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E7C6362" w14:textId="1F949B39" w:rsidR="0057397F" w:rsidRPr="00C64064" w:rsidRDefault="00B06368" w:rsidP="003C727B">
      <w:pPr>
        <w:spacing w:line="276" w:lineRule="auto"/>
        <w:ind w:left="993"/>
        <w:rPr>
          <w:rFonts w:asciiTheme="majorHAnsi" w:hAnsiTheme="majorHAnsi" w:cstheme="majorHAnsi"/>
        </w:rPr>
      </w:pPr>
      <w:bookmarkStart w:id="0" w:name="_Hlk151555241"/>
      <w:r w:rsidRPr="00C64064">
        <w:rPr>
          <w:rFonts w:asciiTheme="majorHAnsi" w:hAnsiTheme="majorHAnsi" w:cstheme="majorHAnsi"/>
          <w:noProof/>
        </w:rPr>
        <mc:AlternateContent>
          <mc:Choice Requires="wps">
            <w:drawing>
              <wp:anchor distT="0" distB="0" distL="114300" distR="114300" simplePos="0" relativeHeight="251559424" behindDoc="1" locked="0" layoutInCell="1" allowOverlap="1" wp14:anchorId="2D79EA37" wp14:editId="60C49BAB">
                <wp:simplePos x="0" y="0"/>
                <wp:positionH relativeFrom="column">
                  <wp:posOffset>220980</wp:posOffset>
                </wp:positionH>
                <wp:positionV relativeFrom="paragraph">
                  <wp:posOffset>-41275</wp:posOffset>
                </wp:positionV>
                <wp:extent cx="4578350" cy="728980"/>
                <wp:effectExtent l="0" t="0" r="0" b="0"/>
                <wp:wrapNone/>
                <wp:docPr id="1507085814" name="Rectangle 15070858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78350" cy="7289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05CF44" id="Rectangle 1507085814" o:spid="_x0000_s1026" alt="&quot;&quot;" style="position:absolute;margin-left:17.4pt;margin-top:-3.25pt;width:360.5pt;height:57.4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" fillcolor="white [3212]" stroked="f" strokeweight="2pt"/>
            </w:pict>
          </mc:Fallback>
        </mc:AlternateContent>
      </w:r>
      <w:r w:rsidR="00C54CAA" w:rsidRPr="00C64064">
        <w:rPr>
          <w:rFonts w:asciiTheme="majorHAnsi" w:hAnsiTheme="majorHAnsi" w:cstheme="majorHAnsi"/>
          <w:noProof/>
        </w:rPr>
        <w:drawing>
          <wp:inline distT="0" distB="0" distL="0" distR="0" wp14:anchorId="354F57BB" wp14:editId="6315AF1E">
            <wp:extent cx="3470377" cy="687070"/>
            <wp:effectExtent l="0" t="0" r="0" b="0"/>
            <wp:docPr id="588848807" name="Graphic 588848807" descr="PRISMA, Bappenas, adn 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500028" name="Graphic 346500028" descr="PRISMA, Bappenas, adn Australian Government logo."/>
                    <pic:cNvPicPr/>
                  </pic:nvPicPr>
                  <pic:blipFill rotWithShape="1">
                    <a:blip r:embed="rId12" cstate="email">
                      <a:extLst>
                        <a:ext uri="{28A0092B-C50C-407E-A947-70E740481C1C}">
                          <a14:useLocalDpi xmlns:a14="http://schemas.microsoft.com/office/drawing/2010/main"/>
                        </a:ext>
                        <a:ext uri="{96DAC541-7B7A-43D3-8B79-37D633B846F1}">
                          <asvg:svgBlip xmlns:asvg="http://schemas.microsoft.com/office/drawing/2016/SVG/main" r:embed="rId13"/>
                        </a:ext>
                      </a:extLst>
                    </a:blip>
                    <a:srcRect l="28421"/>
                    <a:stretch/>
                  </pic:blipFill>
                  <pic:spPr bwMode="auto">
                    <a:xfrm>
                      <a:off x="0" y="0"/>
                      <a:ext cx="3500688" cy="693071"/>
                    </a:xfrm>
                    <a:prstGeom prst="rect">
                      <a:avLst/>
                    </a:prstGeom>
                    <a:ln>
                      <a:noFill/>
                    </a:ln>
                    <a:extLst>
                      <a:ext uri="{53640926-AAD7-44D8-BBD7-CCE9431645EC}">
                        <a14:shadowObscured xmlns:a14="http://schemas.microsoft.com/office/drawing/2010/main"/>
                      </a:ext>
                    </a:extLst>
                  </pic:spPr>
                </pic:pic>
              </a:graphicData>
            </a:graphic>
          </wp:inline>
        </w:drawing>
      </w:r>
    </w:p>
    <w:p w14:paraId="54FD67DD" w14:textId="21A55077" w:rsidR="0057397F" w:rsidRPr="00C64064" w:rsidRDefault="00043B15" w:rsidP="00B06368">
      <w:pPr>
        <w:spacing w:line="276" w:lineRule="auto"/>
        <w:ind w:left="1260"/>
        <w:rPr>
          <w:rFonts w:asciiTheme="majorHAnsi" w:hAnsiTheme="majorHAnsi" w:cstheme="majorHAnsi"/>
        </w:rPr>
      </w:pPr>
      <w:r w:rsidRPr="00C64064">
        <w:rPr>
          <w:rFonts w:asciiTheme="majorHAnsi" w:hAnsiTheme="majorHAnsi" w:cstheme="majorHAnsi"/>
          <w:noProof/>
        </w:rPr>
        <w:drawing>
          <wp:anchor distT="0" distB="0" distL="114300" distR="114300" simplePos="0" relativeHeight="251652608" behindDoc="0" locked="0" layoutInCell="1" allowOverlap="1" wp14:anchorId="7EAFE5B2" wp14:editId="6635E33A">
            <wp:simplePos x="0" y="0"/>
            <wp:positionH relativeFrom="column">
              <wp:posOffset>692814</wp:posOffset>
            </wp:positionH>
            <wp:positionV relativeFrom="paragraph">
              <wp:posOffset>149860</wp:posOffset>
            </wp:positionV>
            <wp:extent cx="1612900" cy="494623"/>
            <wp:effectExtent l="0" t="0" r="0" b="1270"/>
            <wp:wrapNone/>
            <wp:docPr id="1317753763" name="Picture 13177537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753763" name="Picture 1">
                      <a:extLst>
                        <a:ext uri="{C183D7F6-B498-43B3-948B-1728B52AA6E4}">
                          <adec:decorative xmlns:adec="http://schemas.microsoft.com/office/drawing/2017/decorative" val="1"/>
                        </a:ext>
                      </a:extLst>
                    </pic:cNvPr>
                    <pic:cNvPicPr/>
                  </pic:nvPicPr>
                  <pic:blipFill>
                    <a:blip r:embed="rId14"/>
                    <a:stretch>
                      <a:fillRect/>
                    </a:stretch>
                  </pic:blipFill>
                  <pic:spPr>
                    <a:xfrm>
                      <a:off x="0" y="0"/>
                      <a:ext cx="1612900" cy="494623"/>
                    </a:xfrm>
                    <a:prstGeom prst="rect">
                      <a:avLst/>
                    </a:prstGeom>
                  </pic:spPr>
                </pic:pic>
              </a:graphicData>
            </a:graphic>
            <wp14:sizeRelH relativeFrom="page">
              <wp14:pctWidth>0</wp14:pctWidth>
            </wp14:sizeRelH>
            <wp14:sizeRelV relativeFrom="page">
              <wp14:pctHeight>0</wp14:pctHeight>
            </wp14:sizeRelV>
          </wp:anchor>
        </w:drawing>
      </w:r>
    </w:p>
    <w:p w14:paraId="18866B25" w14:textId="4B9095E4" w:rsidR="0057397F" w:rsidRPr="00C64064" w:rsidRDefault="0057397F" w:rsidP="00B06368">
      <w:pPr>
        <w:spacing w:line="276" w:lineRule="auto"/>
        <w:ind w:left="1260"/>
        <w:rPr>
          <w:rFonts w:asciiTheme="majorHAnsi" w:hAnsiTheme="majorHAnsi" w:cstheme="majorHAnsi"/>
        </w:rPr>
      </w:pPr>
    </w:p>
    <w:p w14:paraId="77C92675" w14:textId="62F76836" w:rsidR="0057397F" w:rsidRPr="00C64064" w:rsidRDefault="00043B15" w:rsidP="00B06368">
      <w:pPr>
        <w:spacing w:line="276" w:lineRule="auto"/>
        <w:ind w:left="1260"/>
        <w:rPr>
          <w:rFonts w:asciiTheme="majorHAnsi" w:hAnsiTheme="majorHAnsi" w:cstheme="majorHAnsi"/>
        </w:rPr>
      </w:pPr>
      <w:r w:rsidRPr="00C64064">
        <w:rPr>
          <w:rFonts w:asciiTheme="majorHAnsi" w:hAnsiTheme="majorHAnsi" w:cstheme="majorHAnsi"/>
          <w:noProof/>
        </w:rPr>
        <mc:AlternateContent>
          <mc:Choice Requires="wps">
            <w:drawing>
              <wp:anchor distT="0" distB="0" distL="114300" distR="114300" simplePos="0" relativeHeight="251549184" behindDoc="0" locked="0" layoutInCell="1" allowOverlap="1" wp14:anchorId="2042BAF4" wp14:editId="3B0F10C5">
                <wp:simplePos x="0" y="0"/>
                <wp:positionH relativeFrom="column">
                  <wp:posOffset>621030</wp:posOffset>
                </wp:positionH>
                <wp:positionV relativeFrom="paragraph">
                  <wp:posOffset>179070</wp:posOffset>
                </wp:positionV>
                <wp:extent cx="3915410" cy="1530350"/>
                <wp:effectExtent l="0" t="0" r="0" b="0"/>
                <wp:wrapNone/>
                <wp:docPr id="849398674" name="Text Box 8493986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915410" cy="1530350"/>
                        </a:xfrm>
                        <a:prstGeom prst="rect">
                          <a:avLst/>
                        </a:prstGeom>
                        <a:noFill/>
                        <a:ln w="6350">
                          <a:noFill/>
                        </a:ln>
                      </wps:spPr>
                      <wps:txbx>
                        <w:txbxContent>
                          <w:p w14:paraId="7E4A3336" w14:textId="4A5CD1C6" w:rsidR="0057397F" w:rsidRPr="00043B15" w:rsidRDefault="0057397F" w:rsidP="00043B15">
                            <w:pPr>
                              <w:spacing w:after="240" w:line="240" w:lineRule="auto"/>
                              <w:rPr>
                                <w:color w:val="002060"/>
                                <w:sz w:val="48"/>
                                <w:szCs w:val="48"/>
                                <w:lang w:val="en-AU"/>
                              </w:rPr>
                            </w:pPr>
                            <w:r w:rsidRPr="00043B15">
                              <w:rPr>
                                <w:rStyle w:val="TitleChar"/>
                                <w:color w:val="002060"/>
                                <w:sz w:val="48"/>
                                <w:szCs w:val="48"/>
                              </w:rPr>
                              <w:t xml:space="preserve">Progress Report and Implementation </w:t>
                            </w:r>
                            <w:r w:rsidR="000E58FE">
                              <w:rPr>
                                <w:rStyle w:val="TitleChar"/>
                                <w:color w:val="002060"/>
                                <w:sz w:val="48"/>
                                <w:szCs w:val="48"/>
                              </w:rPr>
                              <w:t>Plan</w:t>
                            </w:r>
                            <w:r w:rsidR="006D35CD" w:rsidRPr="00043B15">
                              <w:rPr>
                                <w:color w:val="002060"/>
                                <w:sz w:val="48"/>
                                <w:szCs w:val="48"/>
                                <w:lang w:val="en-AU"/>
                              </w:rPr>
                              <w:br/>
                            </w:r>
                            <w:r w:rsidR="00D343A6" w:rsidRPr="00043B15">
                              <w:rPr>
                                <w:b/>
                                <w:bCs/>
                                <w:color w:val="002060"/>
                                <w:sz w:val="48"/>
                                <w:szCs w:val="48"/>
                                <w:lang w:val="en-AU"/>
                              </w:rPr>
                              <w:t>Semester 1-</w:t>
                            </w:r>
                            <w:r w:rsidRPr="00043B15">
                              <w:rPr>
                                <w:b/>
                                <w:bCs/>
                                <w:color w:val="002060"/>
                                <w:sz w:val="48"/>
                                <w:szCs w:val="48"/>
                                <w:lang w:val="en-AU"/>
                              </w:rPr>
                              <w:t xml:space="preserve"> 202</w:t>
                            </w:r>
                            <w:r w:rsidR="00D343A6" w:rsidRPr="00043B15">
                              <w:rPr>
                                <w:b/>
                                <w:bCs/>
                                <w:color w:val="002060"/>
                                <w:sz w:val="48"/>
                                <w:szCs w:val="48"/>
                                <w:lang w:val="en-AU"/>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42BAF4" id="_x0000_t202" coordsize="21600,21600" o:spt="202" path="m,l,21600r21600,l21600,xe">
                <v:stroke joinstyle="miter"/>
                <v:path gradientshapeok="t" o:connecttype="rect"/>
              </v:shapetype>
              <v:shape id="Text Box 849398674" o:spid="_x0000_s1026" type="#_x0000_t202" alt="&quot;&quot;" style="position:absolute;left:0;text-align:left;margin-left:48.9pt;margin-top:14.1pt;width:308.3pt;height:120.5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" filled="f" stroked="f" strokeweight=".5pt">
                <v:textbox>
                  <w:txbxContent>
                    <w:p w14:paraId="7E4A3336" w14:textId="4A5CD1C6" w:rsidR="0057397F" w:rsidRPr="00043B15" w:rsidRDefault="0057397F" w:rsidP="00043B15">
                      <w:pPr>
                        <w:spacing w:after="240" w:line="240" w:lineRule="auto"/>
                        <w:rPr>
                          <w:color w:val="002060"/>
                          <w:sz w:val="48"/>
                          <w:szCs w:val="48"/>
                          <w:lang w:val="en-AU"/>
                        </w:rPr>
                      </w:pPr>
                      <w:r w:rsidRPr="00043B15">
                        <w:rPr>
                          <w:rStyle w:val="TitleChar"/>
                          <w:color w:val="002060"/>
                          <w:sz w:val="48"/>
                          <w:szCs w:val="48"/>
                        </w:rPr>
                        <w:t xml:space="preserve">Progress Report and Implementation </w:t>
                      </w:r>
                      <w:r w:rsidR="000E58FE">
                        <w:rPr>
                          <w:rStyle w:val="TitleChar"/>
                          <w:color w:val="002060"/>
                          <w:sz w:val="48"/>
                          <w:szCs w:val="48"/>
                        </w:rPr>
                        <w:t>Plan</w:t>
                      </w:r>
                      <w:r w:rsidR="006D35CD" w:rsidRPr="00043B15">
                        <w:rPr>
                          <w:color w:val="002060"/>
                          <w:sz w:val="48"/>
                          <w:szCs w:val="48"/>
                          <w:lang w:val="en-AU"/>
                        </w:rPr>
                        <w:br/>
                      </w:r>
                      <w:r w:rsidR="00D343A6" w:rsidRPr="00043B15">
                        <w:rPr>
                          <w:b/>
                          <w:bCs/>
                          <w:color w:val="002060"/>
                          <w:sz w:val="48"/>
                          <w:szCs w:val="48"/>
                          <w:lang w:val="en-AU"/>
                        </w:rPr>
                        <w:t>Semester 1-</w:t>
                      </w:r>
                      <w:r w:rsidRPr="00043B15">
                        <w:rPr>
                          <w:b/>
                          <w:bCs/>
                          <w:color w:val="002060"/>
                          <w:sz w:val="48"/>
                          <w:szCs w:val="48"/>
                          <w:lang w:val="en-AU"/>
                        </w:rPr>
                        <w:t xml:space="preserve"> 202</w:t>
                      </w:r>
                      <w:r w:rsidR="00D343A6" w:rsidRPr="00043B15">
                        <w:rPr>
                          <w:b/>
                          <w:bCs/>
                          <w:color w:val="002060"/>
                          <w:sz w:val="48"/>
                          <w:szCs w:val="48"/>
                          <w:lang w:val="en-AU"/>
                        </w:rPr>
                        <w:t>4</w:t>
                      </w:r>
                    </w:p>
                  </w:txbxContent>
                </v:textbox>
              </v:shape>
            </w:pict>
          </mc:Fallback>
        </mc:AlternateContent>
      </w:r>
    </w:p>
    <w:p w14:paraId="7AD5434C" w14:textId="27E9A3AD" w:rsidR="0057397F" w:rsidRPr="00C64064" w:rsidRDefault="008C2A9F" w:rsidP="00B06368">
      <w:pPr>
        <w:tabs>
          <w:tab w:val="left" w:pos="6820"/>
          <w:tab w:val="right" w:pos="11042"/>
        </w:tabs>
        <w:spacing w:line="276" w:lineRule="auto"/>
        <w:ind w:left="1260"/>
        <w:rPr>
          <w:rFonts w:asciiTheme="majorHAnsi" w:hAnsiTheme="majorHAnsi" w:cstheme="majorHAnsi"/>
        </w:rPr>
      </w:pPr>
      <w:r w:rsidRPr="00C64064">
        <w:rPr>
          <w:rFonts w:asciiTheme="majorHAnsi" w:hAnsiTheme="majorHAnsi" w:cstheme="majorHAnsi"/>
        </w:rPr>
        <w:tab/>
      </w:r>
      <w:r w:rsidRPr="00C64064">
        <w:rPr>
          <w:rFonts w:asciiTheme="majorHAnsi" w:hAnsiTheme="majorHAnsi" w:cstheme="majorHAnsi"/>
        </w:rPr>
        <w:tab/>
      </w:r>
    </w:p>
    <w:p w14:paraId="6283B0EB" w14:textId="6179D90A" w:rsidR="0057397F" w:rsidRPr="00C64064" w:rsidRDefault="008C2A9F" w:rsidP="00B06368">
      <w:pPr>
        <w:tabs>
          <w:tab w:val="left" w:pos="7490"/>
        </w:tabs>
        <w:spacing w:line="276" w:lineRule="auto"/>
        <w:ind w:left="1260"/>
        <w:rPr>
          <w:rFonts w:asciiTheme="majorHAnsi" w:hAnsiTheme="majorHAnsi" w:cstheme="majorHAnsi"/>
        </w:rPr>
      </w:pPr>
      <w:r w:rsidRPr="00C64064">
        <w:rPr>
          <w:rFonts w:asciiTheme="majorHAnsi" w:hAnsiTheme="majorHAnsi" w:cstheme="majorHAnsi"/>
        </w:rPr>
        <w:tab/>
      </w:r>
    </w:p>
    <w:p w14:paraId="71272061" w14:textId="7E20FF97" w:rsidR="0057397F" w:rsidRPr="00C64064" w:rsidRDefault="00A76551" w:rsidP="00B06368">
      <w:pPr>
        <w:spacing w:line="276" w:lineRule="auto"/>
        <w:ind w:left="1260"/>
        <w:rPr>
          <w:rFonts w:asciiTheme="majorHAnsi" w:hAnsiTheme="majorHAnsi" w:cstheme="majorHAnsi"/>
        </w:rPr>
      </w:pPr>
      <w:r>
        <w:rPr>
          <w:rFonts w:asciiTheme="majorHAnsi" w:hAnsiTheme="majorHAnsi" w:cstheme="majorHAnsi"/>
          <w:noProof/>
        </w:rPr>
        <w:drawing>
          <wp:anchor distT="0" distB="0" distL="114300" distR="114300" simplePos="0" relativeHeight="251667968" behindDoc="1" locked="0" layoutInCell="1" allowOverlap="1" wp14:anchorId="31E7E16D" wp14:editId="0E9575D9">
            <wp:simplePos x="0" y="0"/>
            <wp:positionH relativeFrom="margin">
              <wp:posOffset>-269240</wp:posOffset>
            </wp:positionH>
            <wp:positionV relativeFrom="paragraph">
              <wp:posOffset>161290</wp:posOffset>
            </wp:positionV>
            <wp:extent cx="7747000" cy="5810250"/>
            <wp:effectExtent l="0" t="0" r="0" b="0"/>
            <wp:wrapNone/>
            <wp:docPr id="128564766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647669" name="Picture 1">
                      <a:extLst>
                        <a:ext uri="{C183D7F6-B498-43B3-948B-1728B52AA6E4}">
                          <adec:decorative xmlns:adec="http://schemas.microsoft.com/office/drawing/2017/decorative" val="1"/>
                        </a:ext>
                      </a:extLst>
                    </pic:cNvPr>
                    <pic:cNvPicPr>
                      <a:picLocks noChangeAspect="1" noChangeArrowheads="1"/>
                    </pic:cNvPicPr>
                  </pic:nvPicPr>
                  <pic:blipFill>
                    <a:blip r:embed="rId15"/>
                    <a:stretch>
                      <a:fillRect/>
                    </a:stretch>
                  </pic:blipFill>
                  <pic:spPr bwMode="auto">
                    <a:xfrm>
                      <a:off x="0" y="0"/>
                      <a:ext cx="7747000" cy="5810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12107E" w14:textId="38369076" w:rsidR="0057397F" w:rsidRPr="00C64064" w:rsidRDefault="0057397F" w:rsidP="00B06368">
      <w:pPr>
        <w:spacing w:line="276" w:lineRule="auto"/>
        <w:ind w:left="1260"/>
        <w:rPr>
          <w:rFonts w:asciiTheme="majorHAnsi" w:hAnsiTheme="majorHAnsi" w:cstheme="majorHAnsi"/>
        </w:rPr>
      </w:pPr>
    </w:p>
    <w:p w14:paraId="210F70F1" w14:textId="2CA4D686" w:rsidR="0057397F" w:rsidRPr="00C64064" w:rsidRDefault="0057397F" w:rsidP="00B06368">
      <w:pPr>
        <w:spacing w:line="276" w:lineRule="auto"/>
        <w:ind w:left="1260"/>
        <w:rPr>
          <w:rFonts w:asciiTheme="majorHAnsi" w:hAnsiTheme="majorHAnsi" w:cstheme="majorHAnsi"/>
        </w:rPr>
      </w:pPr>
    </w:p>
    <w:p w14:paraId="686C85BF" w14:textId="0ED76078" w:rsidR="0057397F" w:rsidRPr="00C64064" w:rsidRDefault="00A46E6B" w:rsidP="00B06368">
      <w:pPr>
        <w:tabs>
          <w:tab w:val="left" w:pos="7300"/>
        </w:tabs>
        <w:spacing w:line="276" w:lineRule="auto"/>
        <w:ind w:left="1260"/>
        <w:rPr>
          <w:rFonts w:asciiTheme="majorHAnsi" w:hAnsiTheme="majorHAnsi" w:cstheme="majorHAnsi"/>
        </w:rPr>
      </w:pPr>
      <w:r w:rsidRPr="00C64064">
        <w:rPr>
          <w:rFonts w:asciiTheme="majorHAnsi" w:hAnsiTheme="majorHAnsi" w:cstheme="majorHAnsi"/>
        </w:rPr>
        <w:tab/>
      </w:r>
    </w:p>
    <w:p w14:paraId="2653D312" w14:textId="1C1C7357" w:rsidR="0057397F" w:rsidRPr="00C64064" w:rsidRDefault="0057397F" w:rsidP="00B06368">
      <w:pPr>
        <w:spacing w:line="276" w:lineRule="auto"/>
        <w:ind w:left="1260"/>
        <w:rPr>
          <w:rFonts w:asciiTheme="majorHAnsi" w:hAnsiTheme="majorHAnsi" w:cstheme="majorHAnsi"/>
        </w:rPr>
      </w:pPr>
    </w:p>
    <w:p w14:paraId="78D5157B" w14:textId="42878B4F" w:rsidR="0057397F" w:rsidRPr="00C64064" w:rsidRDefault="0057397F" w:rsidP="00B06368">
      <w:pPr>
        <w:spacing w:line="276" w:lineRule="auto"/>
        <w:ind w:left="1260"/>
        <w:rPr>
          <w:rFonts w:asciiTheme="majorHAnsi" w:hAnsiTheme="majorHAnsi" w:cstheme="majorHAnsi"/>
        </w:rPr>
      </w:pPr>
    </w:p>
    <w:p w14:paraId="21A5F583" w14:textId="5226AD37" w:rsidR="0057397F" w:rsidRPr="00C64064" w:rsidRDefault="0057397F" w:rsidP="00B06368">
      <w:pPr>
        <w:spacing w:line="276" w:lineRule="auto"/>
        <w:ind w:left="1260"/>
        <w:rPr>
          <w:rFonts w:asciiTheme="majorHAnsi" w:hAnsiTheme="majorHAnsi" w:cstheme="majorHAnsi"/>
        </w:rPr>
      </w:pPr>
    </w:p>
    <w:p w14:paraId="76C876BB" w14:textId="37296A99" w:rsidR="0057397F" w:rsidRPr="00C64064" w:rsidRDefault="00634E60" w:rsidP="0045601F">
      <w:pPr>
        <w:spacing w:line="276" w:lineRule="auto"/>
        <w:ind w:left="630"/>
        <w:rPr>
          <w:rFonts w:asciiTheme="majorHAnsi" w:hAnsiTheme="majorHAnsi" w:cstheme="majorHAnsi"/>
        </w:rPr>
      </w:pPr>
      <w:r w:rsidRPr="00C64064">
        <w:rPr>
          <w:rFonts w:asciiTheme="majorHAnsi" w:hAnsiTheme="majorHAnsi" w:cstheme="majorHAnsi"/>
          <w:noProof/>
        </w:rPr>
        <mc:AlternateContent>
          <mc:Choice Requires="wps">
            <w:drawing>
              <wp:anchor distT="0" distB="0" distL="114300" distR="114300" simplePos="0" relativeHeight="251554304" behindDoc="1" locked="0" layoutInCell="1" allowOverlap="1" wp14:anchorId="2F6B8F9C" wp14:editId="4688CDB8">
                <wp:simplePos x="0" y="0"/>
                <wp:positionH relativeFrom="column">
                  <wp:posOffset>304800</wp:posOffset>
                </wp:positionH>
                <wp:positionV relativeFrom="paragraph">
                  <wp:posOffset>5715</wp:posOffset>
                </wp:positionV>
                <wp:extent cx="4754880" cy="2623624"/>
                <wp:effectExtent l="0" t="0" r="7620" b="5715"/>
                <wp:wrapNone/>
                <wp:docPr id="494717334" name="Rectangle 4947173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754880" cy="262362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251E26" id="Rectangle 494717334" o:spid="_x0000_s1026" alt="&quot;&quot;" style="position:absolute;margin-left:24pt;margin-top:.45pt;width:374.4pt;height:206.6pt;z-index:-25176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" fillcolor="white [3212]" stroked="f" strokeweight="2pt"/>
            </w:pict>
          </mc:Fallback>
        </mc:AlternateContent>
      </w:r>
    </w:p>
    <w:p w14:paraId="037FE377" w14:textId="7065CD55" w:rsidR="0057397F" w:rsidRPr="00C64064" w:rsidRDefault="0057397F" w:rsidP="0045601F">
      <w:pPr>
        <w:spacing w:line="276" w:lineRule="auto"/>
        <w:ind w:left="630"/>
        <w:rPr>
          <w:rFonts w:asciiTheme="majorHAnsi" w:hAnsiTheme="majorHAnsi" w:cstheme="majorHAnsi"/>
        </w:rPr>
      </w:pPr>
    </w:p>
    <w:p w14:paraId="5C4605B3" w14:textId="200243C3" w:rsidR="0057397F" w:rsidRPr="00C64064" w:rsidRDefault="0057397F" w:rsidP="0045601F">
      <w:pPr>
        <w:spacing w:line="276" w:lineRule="auto"/>
        <w:ind w:left="630"/>
        <w:rPr>
          <w:rFonts w:asciiTheme="majorHAnsi" w:hAnsiTheme="majorHAnsi" w:cstheme="majorHAnsi"/>
        </w:rPr>
      </w:pPr>
    </w:p>
    <w:p w14:paraId="05558A15" w14:textId="4F54C151" w:rsidR="0057397F" w:rsidRPr="00C64064" w:rsidRDefault="0057397F" w:rsidP="0045601F">
      <w:pPr>
        <w:spacing w:line="276" w:lineRule="auto"/>
        <w:ind w:left="630"/>
        <w:rPr>
          <w:rFonts w:asciiTheme="majorHAnsi" w:hAnsiTheme="majorHAnsi" w:cstheme="majorHAnsi"/>
        </w:rPr>
      </w:pPr>
    </w:p>
    <w:p w14:paraId="3D9F0A3E" w14:textId="16F1A47D" w:rsidR="0057397F" w:rsidRPr="00C64064" w:rsidRDefault="0057397F" w:rsidP="0045601F">
      <w:pPr>
        <w:spacing w:line="276" w:lineRule="auto"/>
        <w:ind w:left="630"/>
        <w:rPr>
          <w:rFonts w:asciiTheme="majorHAnsi" w:hAnsiTheme="majorHAnsi" w:cstheme="majorHAnsi"/>
        </w:rPr>
      </w:pPr>
    </w:p>
    <w:p w14:paraId="1958B25C" w14:textId="544CA64B" w:rsidR="0057397F" w:rsidRPr="00C64064" w:rsidRDefault="0057397F" w:rsidP="0045601F">
      <w:pPr>
        <w:spacing w:line="276" w:lineRule="auto"/>
        <w:ind w:left="630"/>
        <w:rPr>
          <w:rFonts w:asciiTheme="majorHAnsi" w:hAnsiTheme="majorHAnsi" w:cstheme="majorHAnsi"/>
        </w:rPr>
      </w:pPr>
    </w:p>
    <w:p w14:paraId="7ABF31FC" w14:textId="1593477B" w:rsidR="0057397F" w:rsidRPr="00C64064" w:rsidRDefault="0057397F" w:rsidP="0045601F">
      <w:pPr>
        <w:spacing w:line="276" w:lineRule="auto"/>
        <w:ind w:left="630"/>
        <w:rPr>
          <w:rFonts w:asciiTheme="majorHAnsi" w:hAnsiTheme="majorHAnsi" w:cstheme="majorHAnsi"/>
        </w:rPr>
      </w:pPr>
    </w:p>
    <w:p w14:paraId="13ED8417" w14:textId="27300763" w:rsidR="0057397F" w:rsidRPr="00C64064" w:rsidRDefault="0057397F" w:rsidP="0045601F">
      <w:pPr>
        <w:spacing w:line="276" w:lineRule="auto"/>
        <w:ind w:left="630"/>
        <w:jc w:val="right"/>
        <w:rPr>
          <w:rFonts w:asciiTheme="majorHAnsi" w:hAnsiTheme="majorHAnsi" w:cstheme="majorHAnsi"/>
        </w:rPr>
      </w:pPr>
    </w:p>
    <w:p w14:paraId="6F275719" w14:textId="2500CD35" w:rsidR="00D141BF" w:rsidRPr="00C64064" w:rsidRDefault="00D141BF" w:rsidP="0045601F">
      <w:pPr>
        <w:spacing w:line="276" w:lineRule="auto"/>
        <w:rPr>
          <w:rFonts w:asciiTheme="majorHAnsi" w:hAnsiTheme="majorHAnsi" w:cstheme="majorHAnsi"/>
        </w:rPr>
      </w:pPr>
    </w:p>
    <w:p w14:paraId="38269E79" w14:textId="45A928BB" w:rsidR="00717C40" w:rsidRPr="00C64064" w:rsidRDefault="00717C40" w:rsidP="0045601F">
      <w:pPr>
        <w:spacing w:line="276" w:lineRule="auto"/>
        <w:rPr>
          <w:rFonts w:asciiTheme="majorHAnsi" w:hAnsiTheme="majorHAnsi" w:cstheme="majorHAnsi"/>
        </w:rPr>
      </w:pPr>
    </w:p>
    <w:p w14:paraId="08564FEB" w14:textId="77777777" w:rsidR="00717C40" w:rsidRPr="00C64064" w:rsidRDefault="00717C40" w:rsidP="0045601F">
      <w:pPr>
        <w:spacing w:line="276" w:lineRule="auto"/>
        <w:rPr>
          <w:rFonts w:asciiTheme="majorHAnsi" w:hAnsiTheme="majorHAnsi" w:cstheme="majorHAnsi"/>
        </w:rPr>
      </w:pPr>
    </w:p>
    <w:p w14:paraId="4ADBDCDC" w14:textId="688DFEB6" w:rsidR="00717C40" w:rsidRPr="00C64064" w:rsidRDefault="00717C40" w:rsidP="0045601F">
      <w:pPr>
        <w:spacing w:line="276" w:lineRule="auto"/>
        <w:rPr>
          <w:rFonts w:asciiTheme="majorHAnsi" w:hAnsiTheme="majorHAnsi" w:cstheme="majorHAnsi"/>
        </w:rPr>
      </w:pPr>
    </w:p>
    <w:p w14:paraId="06089AAF" w14:textId="253306CA" w:rsidR="00717C40" w:rsidRPr="00C64064" w:rsidRDefault="00717C40" w:rsidP="0045601F">
      <w:pPr>
        <w:spacing w:line="276" w:lineRule="auto"/>
        <w:rPr>
          <w:rFonts w:asciiTheme="majorHAnsi" w:hAnsiTheme="majorHAnsi" w:cstheme="majorHAnsi"/>
        </w:rPr>
      </w:pPr>
    </w:p>
    <w:p w14:paraId="4DB544B1" w14:textId="77777777" w:rsidR="00D141BF" w:rsidRPr="00C64064" w:rsidRDefault="00D141BF" w:rsidP="0045601F">
      <w:pPr>
        <w:spacing w:line="276" w:lineRule="auto"/>
        <w:rPr>
          <w:rFonts w:asciiTheme="majorHAnsi" w:hAnsiTheme="majorHAnsi" w:cstheme="majorHAnsi"/>
        </w:rPr>
      </w:pPr>
    </w:p>
    <w:p w14:paraId="7680467C" w14:textId="11B00922" w:rsidR="0058366A" w:rsidRPr="00C64064" w:rsidRDefault="0058366A" w:rsidP="00442EBE">
      <w:pPr>
        <w:rPr>
          <w:rFonts w:asciiTheme="majorHAnsi" w:hAnsiTheme="majorHAnsi" w:cstheme="majorHAnsi"/>
        </w:rPr>
      </w:pPr>
    </w:p>
    <w:tbl>
      <w:tblPr>
        <w:tblStyle w:val="TableGrid2"/>
        <w:tblW w:w="0" w:type="auto"/>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1"/>
        <w:gridCol w:w="7088"/>
      </w:tblGrid>
      <w:tr w:rsidR="0058366A" w:rsidRPr="00C64064" w14:paraId="39CFC1AC" w14:textId="77777777" w:rsidTr="00C0447F">
        <w:trPr>
          <w:trHeight w:val="1330"/>
        </w:trPr>
        <w:tc>
          <w:tcPr>
            <w:tcW w:w="2551" w:type="dxa"/>
            <w:shd w:val="clear" w:color="auto" w:fill="39B54A"/>
            <w:vAlign w:val="center"/>
          </w:tcPr>
          <w:p w14:paraId="3A171513" w14:textId="77777777" w:rsidR="0058366A" w:rsidRPr="00C64064" w:rsidRDefault="0058366A" w:rsidP="0058366A">
            <w:pPr>
              <w:spacing w:line="276" w:lineRule="auto"/>
              <w:ind w:left="-86"/>
              <w:jc w:val="center"/>
              <w:rPr>
                <w:rFonts w:asciiTheme="majorHAnsi" w:hAnsiTheme="majorHAnsi" w:cstheme="majorHAnsi"/>
                <w:b/>
                <w:bCs/>
                <w:color w:val="000000" w:themeColor="text1"/>
              </w:rPr>
            </w:pPr>
            <w:r w:rsidRPr="00C64064">
              <w:rPr>
                <w:rFonts w:asciiTheme="majorHAnsi" w:hAnsiTheme="majorHAnsi" w:cstheme="majorHAnsi"/>
                <w:b/>
                <w:bCs/>
                <w:color w:val="000000" w:themeColor="text1"/>
              </w:rPr>
              <w:t>Accessible</w:t>
            </w:r>
          </w:p>
          <w:p w14:paraId="7FA0A757" w14:textId="229046EE" w:rsidR="0058366A" w:rsidRPr="00C64064" w:rsidRDefault="0058366A" w:rsidP="0058366A">
            <w:pPr>
              <w:jc w:val="center"/>
              <w:rPr>
                <w:rFonts w:asciiTheme="majorHAnsi" w:hAnsiTheme="majorHAnsi" w:cstheme="majorHAnsi"/>
              </w:rPr>
            </w:pPr>
            <w:r w:rsidRPr="00C64064">
              <w:rPr>
                <w:rFonts w:asciiTheme="majorHAnsi" w:hAnsiTheme="majorHAnsi" w:cstheme="majorHAnsi"/>
                <w:b/>
                <w:bCs/>
                <w:color w:val="000000" w:themeColor="text1"/>
              </w:rPr>
              <w:t>Word Document</w:t>
            </w:r>
          </w:p>
        </w:tc>
        <w:tc>
          <w:tcPr>
            <w:tcW w:w="7088" w:type="dxa"/>
            <w:shd w:val="clear" w:color="auto" w:fill="252D65"/>
            <w:vAlign w:val="center"/>
          </w:tcPr>
          <w:p w14:paraId="5140B0E9" w14:textId="20194609" w:rsidR="0058366A" w:rsidRPr="00C64064" w:rsidRDefault="0058366A" w:rsidP="0058366A">
            <w:pPr>
              <w:jc w:val="center"/>
              <w:rPr>
                <w:rFonts w:asciiTheme="majorHAnsi" w:hAnsiTheme="majorHAnsi" w:cstheme="majorHAnsi"/>
              </w:rPr>
            </w:pPr>
            <w:r w:rsidRPr="00C64064">
              <w:rPr>
                <w:rFonts w:asciiTheme="majorHAnsi" w:hAnsiTheme="majorHAnsi" w:cstheme="majorHAnsi"/>
                <w:color w:val="FFFFFF" w:themeColor="background1"/>
              </w:rPr>
              <w:t xml:space="preserve">This report follows accessible and inclusive design principles. </w:t>
            </w:r>
            <w:r w:rsidRPr="00C64064">
              <w:rPr>
                <w:rFonts w:asciiTheme="majorHAnsi" w:hAnsiTheme="majorHAnsi" w:cstheme="majorHAnsi"/>
                <w:color w:val="FFFFFF" w:themeColor="background1"/>
              </w:rPr>
              <w:br/>
              <w:t>The report is published in Word format for easy navigation.</w:t>
            </w:r>
          </w:p>
        </w:tc>
      </w:tr>
    </w:tbl>
    <w:p w14:paraId="572AD714" w14:textId="5AF7FBB5" w:rsidR="00442EBE" w:rsidRPr="00C64064" w:rsidRDefault="00442EBE" w:rsidP="00442EBE">
      <w:pPr>
        <w:rPr>
          <w:rFonts w:asciiTheme="majorHAnsi" w:hAnsiTheme="majorHAnsi" w:cstheme="majorHAnsi"/>
        </w:rPr>
      </w:pPr>
    </w:p>
    <w:p w14:paraId="4466817B" w14:textId="77777777" w:rsidR="00442EBE" w:rsidRPr="00C64064" w:rsidRDefault="00442EBE" w:rsidP="00442EBE">
      <w:pPr>
        <w:rPr>
          <w:rFonts w:asciiTheme="majorHAnsi" w:hAnsiTheme="majorHAnsi" w:cstheme="majorHAnsi"/>
        </w:rPr>
      </w:pPr>
    </w:p>
    <w:p w14:paraId="4FF10138" w14:textId="79D7AEC0" w:rsidR="007F7DBD" w:rsidRPr="00C64064" w:rsidRDefault="007F7DBD" w:rsidP="00442EBE">
      <w:pPr>
        <w:tabs>
          <w:tab w:val="center" w:pos="5521"/>
        </w:tabs>
        <w:rPr>
          <w:rFonts w:asciiTheme="majorHAnsi" w:hAnsiTheme="majorHAnsi" w:cstheme="majorHAnsi"/>
        </w:rPr>
        <w:sectPr w:rsidR="007F7DBD" w:rsidRPr="00C64064" w:rsidSect="003C727B">
          <w:headerReference w:type="even" r:id="rId16"/>
          <w:headerReference w:type="default" r:id="rId17"/>
          <w:footerReference w:type="even" r:id="rId18"/>
          <w:footerReference w:type="default" r:id="rId19"/>
          <w:headerReference w:type="first" r:id="rId20"/>
          <w:footerReference w:type="first" r:id="rId21"/>
          <w:type w:val="continuous"/>
          <w:pgSz w:w="11906" w:h="16838" w:code="9"/>
          <w:pgMar w:top="726" w:right="432" w:bottom="288" w:left="432" w:header="432" w:footer="144" w:gutter="0"/>
          <w:cols w:space="708"/>
          <w:docGrid w:linePitch="360"/>
        </w:sectPr>
      </w:pPr>
    </w:p>
    <w:bookmarkEnd w:id="0"/>
    <w:p w14:paraId="3F8BBBB0" w14:textId="77777777" w:rsidR="00F86722" w:rsidRDefault="00D17B5D">
      <w:pPr>
        <w:pStyle w:val="TOC1"/>
        <w:tabs>
          <w:tab w:val="right" w:leader="dot" w:pos="9227"/>
        </w:tabs>
        <w:rPr>
          <w:rFonts w:asciiTheme="majorHAnsi" w:hAnsiTheme="majorHAnsi" w:cstheme="majorHAnsi"/>
          <w:sz w:val="28"/>
          <w:szCs w:val="28"/>
        </w:rPr>
      </w:pPr>
      <w:r w:rsidRPr="00D17B5D">
        <w:rPr>
          <w:rFonts w:asciiTheme="majorHAnsi" w:hAnsiTheme="majorHAnsi" w:cstheme="majorHAnsi"/>
          <w:sz w:val="28"/>
          <w:szCs w:val="28"/>
        </w:rPr>
        <w:lastRenderedPageBreak/>
        <w:t>CONTENT</w:t>
      </w:r>
    </w:p>
    <w:p w14:paraId="7FFAD875" w14:textId="756F3A26" w:rsidR="00CD1547" w:rsidRDefault="006A0A1B">
      <w:pPr>
        <w:pStyle w:val="TOC1"/>
        <w:tabs>
          <w:tab w:val="right" w:leader="dot" w:pos="9227"/>
        </w:tabs>
        <w:rPr>
          <w:rFonts w:cstheme="minorBidi"/>
          <w:b w:val="0"/>
          <w:bCs w:val="0"/>
          <w:noProof/>
          <w:kern w:val="2"/>
          <w:sz w:val="24"/>
          <w:szCs w:val="24"/>
          <w:lang w:val="en-US" w:eastAsia="en-US"/>
          <w14:ligatures w14:val="standardContextual"/>
        </w:rPr>
      </w:pPr>
      <w:r>
        <w:rPr>
          <w:rFonts w:eastAsiaTheme="majorEastAsia" w:cstheme="majorHAnsi"/>
          <w:caps/>
          <w:color w:val="02616F" w:themeColor="accent1" w:themeShade="80"/>
          <w:sz w:val="22"/>
          <w:szCs w:val="22"/>
        </w:rPr>
        <w:fldChar w:fldCharType="begin"/>
      </w:r>
      <w:r>
        <w:rPr>
          <w:rFonts w:eastAsiaTheme="majorEastAsia" w:cstheme="majorHAnsi"/>
          <w:caps/>
          <w:color w:val="02616F" w:themeColor="accent1" w:themeShade="80"/>
          <w:sz w:val="22"/>
          <w:szCs w:val="22"/>
        </w:rPr>
        <w:instrText xml:space="preserve"> TOC \o "1-2" \h \z </w:instrText>
      </w:r>
      <w:r>
        <w:rPr>
          <w:rFonts w:eastAsiaTheme="majorEastAsia" w:cstheme="majorHAnsi"/>
          <w:caps/>
          <w:color w:val="02616F" w:themeColor="accent1" w:themeShade="80"/>
          <w:sz w:val="22"/>
          <w:szCs w:val="22"/>
        </w:rPr>
        <w:fldChar w:fldCharType="separate"/>
      </w:r>
      <w:hyperlink w:anchor="_Toc180155142" w:history="1">
        <w:r w:rsidR="00CD1547" w:rsidRPr="00BA492B">
          <w:rPr>
            <w:rStyle w:val="Hyperlink"/>
            <w:rFonts w:asciiTheme="majorHAnsi" w:hAnsiTheme="majorHAnsi" w:cstheme="majorHAnsi"/>
            <w:noProof/>
          </w:rPr>
          <w:t>Purpose of this Report</w:t>
        </w:r>
        <w:r w:rsidR="00CD1547">
          <w:rPr>
            <w:noProof/>
            <w:webHidden/>
          </w:rPr>
          <w:tab/>
        </w:r>
        <w:r w:rsidR="00CD1547">
          <w:rPr>
            <w:noProof/>
            <w:webHidden/>
          </w:rPr>
          <w:fldChar w:fldCharType="begin"/>
        </w:r>
        <w:r w:rsidR="00CD1547">
          <w:rPr>
            <w:noProof/>
            <w:webHidden/>
          </w:rPr>
          <w:instrText xml:space="preserve"> PAGEREF _Toc180155142 \h </w:instrText>
        </w:r>
        <w:r w:rsidR="00CD1547">
          <w:rPr>
            <w:noProof/>
            <w:webHidden/>
          </w:rPr>
        </w:r>
        <w:r w:rsidR="00CD1547">
          <w:rPr>
            <w:noProof/>
            <w:webHidden/>
          </w:rPr>
          <w:fldChar w:fldCharType="separate"/>
        </w:r>
        <w:r w:rsidR="009A4647">
          <w:rPr>
            <w:noProof/>
            <w:webHidden/>
          </w:rPr>
          <w:t>4</w:t>
        </w:r>
        <w:r w:rsidR="00CD1547">
          <w:rPr>
            <w:noProof/>
            <w:webHidden/>
          </w:rPr>
          <w:fldChar w:fldCharType="end"/>
        </w:r>
      </w:hyperlink>
    </w:p>
    <w:p w14:paraId="554EF1A5" w14:textId="31276682" w:rsidR="00CD1547" w:rsidRDefault="00CD1547">
      <w:pPr>
        <w:pStyle w:val="TOC2"/>
        <w:tabs>
          <w:tab w:val="right" w:leader="dot" w:pos="9227"/>
        </w:tabs>
        <w:rPr>
          <w:rFonts w:cstheme="minorBidi"/>
          <w:i w:val="0"/>
          <w:iCs w:val="0"/>
          <w:noProof/>
          <w:kern w:val="2"/>
          <w:sz w:val="24"/>
          <w:szCs w:val="24"/>
          <w:lang w:val="en-US" w:eastAsia="en-US"/>
          <w14:ligatures w14:val="standardContextual"/>
        </w:rPr>
      </w:pPr>
      <w:hyperlink w:anchor="_Toc180155143" w:history="1">
        <w:r w:rsidRPr="00BA492B">
          <w:rPr>
            <w:rStyle w:val="Hyperlink"/>
            <w:noProof/>
          </w:rPr>
          <w:t>Audience</w:t>
        </w:r>
        <w:r>
          <w:rPr>
            <w:noProof/>
            <w:webHidden/>
          </w:rPr>
          <w:tab/>
        </w:r>
        <w:r>
          <w:rPr>
            <w:noProof/>
            <w:webHidden/>
          </w:rPr>
          <w:fldChar w:fldCharType="begin"/>
        </w:r>
        <w:r>
          <w:rPr>
            <w:noProof/>
            <w:webHidden/>
          </w:rPr>
          <w:instrText xml:space="preserve"> PAGEREF _Toc180155143 \h </w:instrText>
        </w:r>
        <w:r>
          <w:rPr>
            <w:noProof/>
            <w:webHidden/>
          </w:rPr>
        </w:r>
        <w:r>
          <w:rPr>
            <w:noProof/>
            <w:webHidden/>
          </w:rPr>
          <w:fldChar w:fldCharType="separate"/>
        </w:r>
        <w:r w:rsidR="009A4647">
          <w:rPr>
            <w:noProof/>
            <w:webHidden/>
          </w:rPr>
          <w:t>4</w:t>
        </w:r>
        <w:r>
          <w:rPr>
            <w:noProof/>
            <w:webHidden/>
          </w:rPr>
          <w:fldChar w:fldCharType="end"/>
        </w:r>
      </w:hyperlink>
    </w:p>
    <w:p w14:paraId="50992B92" w14:textId="0617697D" w:rsidR="00CD1547" w:rsidRDefault="00CD1547">
      <w:pPr>
        <w:pStyle w:val="TOC2"/>
        <w:tabs>
          <w:tab w:val="right" w:leader="dot" w:pos="9227"/>
        </w:tabs>
        <w:rPr>
          <w:rFonts w:cstheme="minorBidi"/>
          <w:i w:val="0"/>
          <w:iCs w:val="0"/>
          <w:noProof/>
          <w:kern w:val="2"/>
          <w:sz w:val="24"/>
          <w:szCs w:val="24"/>
          <w:lang w:val="en-US" w:eastAsia="en-US"/>
          <w14:ligatures w14:val="standardContextual"/>
        </w:rPr>
      </w:pPr>
      <w:hyperlink w:anchor="_Toc180155144" w:history="1">
        <w:r w:rsidRPr="00BA492B">
          <w:rPr>
            <w:rStyle w:val="Hyperlink"/>
            <w:noProof/>
          </w:rPr>
          <w:t>Reporting Period</w:t>
        </w:r>
        <w:r>
          <w:rPr>
            <w:noProof/>
            <w:webHidden/>
          </w:rPr>
          <w:tab/>
        </w:r>
        <w:r>
          <w:rPr>
            <w:noProof/>
            <w:webHidden/>
          </w:rPr>
          <w:fldChar w:fldCharType="begin"/>
        </w:r>
        <w:r>
          <w:rPr>
            <w:noProof/>
            <w:webHidden/>
          </w:rPr>
          <w:instrText xml:space="preserve"> PAGEREF _Toc180155144 \h </w:instrText>
        </w:r>
        <w:r>
          <w:rPr>
            <w:noProof/>
            <w:webHidden/>
          </w:rPr>
        </w:r>
        <w:r>
          <w:rPr>
            <w:noProof/>
            <w:webHidden/>
          </w:rPr>
          <w:fldChar w:fldCharType="separate"/>
        </w:r>
        <w:r w:rsidR="009A4647">
          <w:rPr>
            <w:noProof/>
            <w:webHidden/>
          </w:rPr>
          <w:t>4</w:t>
        </w:r>
        <w:r>
          <w:rPr>
            <w:noProof/>
            <w:webHidden/>
          </w:rPr>
          <w:fldChar w:fldCharType="end"/>
        </w:r>
      </w:hyperlink>
    </w:p>
    <w:p w14:paraId="1F2957B5" w14:textId="0627F069" w:rsidR="00CD1547" w:rsidRDefault="00CD1547">
      <w:pPr>
        <w:pStyle w:val="TOC1"/>
        <w:tabs>
          <w:tab w:val="right" w:leader="dot" w:pos="9227"/>
        </w:tabs>
        <w:rPr>
          <w:rFonts w:cstheme="minorBidi"/>
          <w:b w:val="0"/>
          <w:bCs w:val="0"/>
          <w:noProof/>
          <w:kern w:val="2"/>
          <w:sz w:val="24"/>
          <w:szCs w:val="24"/>
          <w:lang w:val="en-US" w:eastAsia="en-US"/>
          <w14:ligatures w14:val="standardContextual"/>
        </w:rPr>
      </w:pPr>
      <w:hyperlink w:anchor="_Toc180155145" w:history="1">
        <w:r w:rsidRPr="00BA492B">
          <w:rPr>
            <w:rStyle w:val="Hyperlink"/>
            <w:rFonts w:asciiTheme="majorHAnsi" w:hAnsiTheme="majorHAnsi" w:cstheme="majorHAnsi"/>
            <w:noProof/>
          </w:rPr>
          <w:t>Executive Summary</w:t>
        </w:r>
        <w:r>
          <w:rPr>
            <w:noProof/>
            <w:webHidden/>
          </w:rPr>
          <w:tab/>
        </w:r>
        <w:r>
          <w:rPr>
            <w:noProof/>
            <w:webHidden/>
          </w:rPr>
          <w:fldChar w:fldCharType="begin"/>
        </w:r>
        <w:r>
          <w:rPr>
            <w:noProof/>
            <w:webHidden/>
          </w:rPr>
          <w:instrText xml:space="preserve"> PAGEREF _Toc180155145 \h </w:instrText>
        </w:r>
        <w:r>
          <w:rPr>
            <w:noProof/>
            <w:webHidden/>
          </w:rPr>
        </w:r>
        <w:r>
          <w:rPr>
            <w:noProof/>
            <w:webHidden/>
          </w:rPr>
          <w:fldChar w:fldCharType="separate"/>
        </w:r>
        <w:r w:rsidR="009A4647">
          <w:rPr>
            <w:noProof/>
            <w:webHidden/>
          </w:rPr>
          <w:t>17</w:t>
        </w:r>
        <w:r>
          <w:rPr>
            <w:noProof/>
            <w:webHidden/>
          </w:rPr>
          <w:fldChar w:fldCharType="end"/>
        </w:r>
      </w:hyperlink>
    </w:p>
    <w:p w14:paraId="1016822A" w14:textId="0E75C8D3" w:rsidR="00CD1547" w:rsidRDefault="00CD1547">
      <w:pPr>
        <w:pStyle w:val="TOC2"/>
        <w:tabs>
          <w:tab w:val="left" w:pos="880"/>
          <w:tab w:val="right" w:leader="dot" w:pos="9227"/>
        </w:tabs>
        <w:rPr>
          <w:rFonts w:cstheme="minorBidi"/>
          <w:i w:val="0"/>
          <w:iCs w:val="0"/>
          <w:noProof/>
          <w:kern w:val="2"/>
          <w:sz w:val="24"/>
          <w:szCs w:val="24"/>
          <w:lang w:val="en-US" w:eastAsia="en-US"/>
          <w14:ligatures w14:val="standardContextual"/>
        </w:rPr>
      </w:pPr>
      <w:hyperlink w:anchor="_Toc180155146" w:history="1">
        <w:r w:rsidRPr="00BA492B">
          <w:rPr>
            <w:rStyle w:val="Hyperlink"/>
            <w:noProof/>
          </w:rPr>
          <w:t>1.1.</w:t>
        </w:r>
        <w:r>
          <w:rPr>
            <w:rFonts w:cstheme="minorBidi"/>
            <w:i w:val="0"/>
            <w:iCs w:val="0"/>
            <w:noProof/>
            <w:kern w:val="2"/>
            <w:sz w:val="24"/>
            <w:szCs w:val="24"/>
            <w:lang w:val="en-US" w:eastAsia="en-US"/>
            <w14:ligatures w14:val="standardContextual"/>
          </w:rPr>
          <w:tab/>
        </w:r>
        <w:r w:rsidRPr="00BA492B">
          <w:rPr>
            <w:rStyle w:val="Hyperlink"/>
            <w:noProof/>
          </w:rPr>
          <w:t>Introduction</w:t>
        </w:r>
        <w:r>
          <w:rPr>
            <w:noProof/>
            <w:webHidden/>
          </w:rPr>
          <w:tab/>
        </w:r>
        <w:r>
          <w:rPr>
            <w:noProof/>
            <w:webHidden/>
          </w:rPr>
          <w:fldChar w:fldCharType="begin"/>
        </w:r>
        <w:r>
          <w:rPr>
            <w:noProof/>
            <w:webHidden/>
          </w:rPr>
          <w:instrText xml:space="preserve"> PAGEREF _Toc180155146 \h </w:instrText>
        </w:r>
        <w:r>
          <w:rPr>
            <w:noProof/>
            <w:webHidden/>
          </w:rPr>
        </w:r>
        <w:r>
          <w:rPr>
            <w:noProof/>
            <w:webHidden/>
          </w:rPr>
          <w:fldChar w:fldCharType="separate"/>
        </w:r>
        <w:r w:rsidR="009A4647">
          <w:rPr>
            <w:noProof/>
            <w:webHidden/>
          </w:rPr>
          <w:t>17</w:t>
        </w:r>
        <w:r>
          <w:rPr>
            <w:noProof/>
            <w:webHidden/>
          </w:rPr>
          <w:fldChar w:fldCharType="end"/>
        </w:r>
      </w:hyperlink>
    </w:p>
    <w:p w14:paraId="4A8C3CB4" w14:textId="1742A11A" w:rsidR="00CD1547" w:rsidRDefault="00CD1547">
      <w:pPr>
        <w:pStyle w:val="TOC2"/>
        <w:tabs>
          <w:tab w:val="left" w:pos="880"/>
          <w:tab w:val="right" w:leader="dot" w:pos="9227"/>
        </w:tabs>
        <w:rPr>
          <w:rFonts w:cstheme="minorBidi"/>
          <w:i w:val="0"/>
          <w:iCs w:val="0"/>
          <w:noProof/>
          <w:kern w:val="2"/>
          <w:sz w:val="24"/>
          <w:szCs w:val="24"/>
          <w:lang w:val="en-US" w:eastAsia="en-US"/>
          <w14:ligatures w14:val="standardContextual"/>
        </w:rPr>
      </w:pPr>
      <w:hyperlink w:anchor="_Toc180155147" w:history="1">
        <w:r w:rsidRPr="00BA492B">
          <w:rPr>
            <w:rStyle w:val="Hyperlink"/>
            <w:noProof/>
          </w:rPr>
          <w:t>1.2.</w:t>
        </w:r>
        <w:r>
          <w:rPr>
            <w:rFonts w:cstheme="minorBidi"/>
            <w:i w:val="0"/>
            <w:iCs w:val="0"/>
            <w:noProof/>
            <w:kern w:val="2"/>
            <w:sz w:val="24"/>
            <w:szCs w:val="24"/>
            <w:lang w:val="en-US" w:eastAsia="en-US"/>
            <w14:ligatures w14:val="standardContextual"/>
          </w:rPr>
          <w:tab/>
        </w:r>
        <w:r w:rsidRPr="00BA492B">
          <w:rPr>
            <w:rStyle w:val="Hyperlink"/>
            <w:noProof/>
          </w:rPr>
          <w:t>PRISMA progress</w:t>
        </w:r>
        <w:r>
          <w:rPr>
            <w:noProof/>
            <w:webHidden/>
          </w:rPr>
          <w:tab/>
        </w:r>
        <w:r>
          <w:rPr>
            <w:noProof/>
            <w:webHidden/>
          </w:rPr>
          <w:fldChar w:fldCharType="begin"/>
        </w:r>
        <w:r>
          <w:rPr>
            <w:noProof/>
            <w:webHidden/>
          </w:rPr>
          <w:instrText xml:space="preserve"> PAGEREF _Toc180155147 \h </w:instrText>
        </w:r>
        <w:r>
          <w:rPr>
            <w:noProof/>
            <w:webHidden/>
          </w:rPr>
        </w:r>
        <w:r>
          <w:rPr>
            <w:noProof/>
            <w:webHidden/>
          </w:rPr>
          <w:fldChar w:fldCharType="separate"/>
        </w:r>
        <w:r w:rsidR="009A4647">
          <w:rPr>
            <w:noProof/>
            <w:webHidden/>
          </w:rPr>
          <w:t>18</w:t>
        </w:r>
        <w:r>
          <w:rPr>
            <w:noProof/>
            <w:webHidden/>
          </w:rPr>
          <w:fldChar w:fldCharType="end"/>
        </w:r>
      </w:hyperlink>
    </w:p>
    <w:p w14:paraId="38A7D0B0" w14:textId="796DB67B" w:rsidR="00CD1547" w:rsidRDefault="00CD1547">
      <w:pPr>
        <w:pStyle w:val="TOC2"/>
        <w:tabs>
          <w:tab w:val="left" w:pos="880"/>
          <w:tab w:val="right" w:leader="dot" w:pos="9227"/>
        </w:tabs>
        <w:rPr>
          <w:rFonts w:cstheme="minorBidi"/>
          <w:i w:val="0"/>
          <w:iCs w:val="0"/>
          <w:noProof/>
          <w:kern w:val="2"/>
          <w:sz w:val="24"/>
          <w:szCs w:val="24"/>
          <w:lang w:val="en-US" w:eastAsia="en-US"/>
          <w14:ligatures w14:val="standardContextual"/>
        </w:rPr>
      </w:pPr>
      <w:hyperlink w:anchor="_Toc180155149" w:history="1">
        <w:r w:rsidRPr="00BA492B">
          <w:rPr>
            <w:rStyle w:val="Hyperlink"/>
            <w:noProof/>
          </w:rPr>
          <w:t>1.3.</w:t>
        </w:r>
        <w:r>
          <w:rPr>
            <w:rFonts w:cstheme="minorBidi"/>
            <w:i w:val="0"/>
            <w:iCs w:val="0"/>
            <w:noProof/>
            <w:kern w:val="2"/>
            <w:sz w:val="24"/>
            <w:szCs w:val="24"/>
            <w:lang w:val="en-US" w:eastAsia="en-US"/>
            <w14:ligatures w14:val="standardContextual"/>
          </w:rPr>
          <w:tab/>
        </w:r>
        <w:r w:rsidRPr="00BA492B">
          <w:rPr>
            <w:rStyle w:val="Hyperlink"/>
            <w:noProof/>
          </w:rPr>
          <w:t>Focus on sustainability</w:t>
        </w:r>
        <w:r>
          <w:rPr>
            <w:noProof/>
            <w:webHidden/>
          </w:rPr>
          <w:tab/>
        </w:r>
        <w:r>
          <w:rPr>
            <w:noProof/>
            <w:webHidden/>
          </w:rPr>
          <w:fldChar w:fldCharType="begin"/>
        </w:r>
        <w:r>
          <w:rPr>
            <w:noProof/>
            <w:webHidden/>
          </w:rPr>
          <w:instrText xml:space="preserve"> PAGEREF _Toc180155149 \h </w:instrText>
        </w:r>
        <w:r>
          <w:rPr>
            <w:noProof/>
            <w:webHidden/>
          </w:rPr>
        </w:r>
        <w:r>
          <w:rPr>
            <w:noProof/>
            <w:webHidden/>
          </w:rPr>
          <w:fldChar w:fldCharType="separate"/>
        </w:r>
        <w:r w:rsidR="009A4647">
          <w:rPr>
            <w:noProof/>
            <w:webHidden/>
          </w:rPr>
          <w:t>24</w:t>
        </w:r>
        <w:r>
          <w:rPr>
            <w:noProof/>
            <w:webHidden/>
          </w:rPr>
          <w:fldChar w:fldCharType="end"/>
        </w:r>
      </w:hyperlink>
    </w:p>
    <w:p w14:paraId="5C6EE634" w14:textId="40A92FA0" w:rsidR="00CD1547" w:rsidRDefault="00CD1547">
      <w:pPr>
        <w:pStyle w:val="TOC1"/>
        <w:tabs>
          <w:tab w:val="left" w:pos="1320"/>
          <w:tab w:val="right" w:leader="dot" w:pos="9227"/>
        </w:tabs>
        <w:rPr>
          <w:rFonts w:cstheme="minorBidi"/>
          <w:b w:val="0"/>
          <w:bCs w:val="0"/>
          <w:noProof/>
          <w:kern w:val="2"/>
          <w:sz w:val="24"/>
          <w:szCs w:val="24"/>
          <w:lang w:val="en-US" w:eastAsia="en-US"/>
          <w14:ligatures w14:val="standardContextual"/>
        </w:rPr>
      </w:pPr>
      <w:hyperlink w:anchor="_Toc180155151" w:history="1">
        <w:r w:rsidRPr="00BA492B">
          <w:rPr>
            <w:rStyle w:val="Hyperlink"/>
            <w:rFonts w:asciiTheme="majorHAnsi" w:hAnsiTheme="majorHAnsi" w:cstheme="majorHAnsi"/>
            <w:noProof/>
          </w:rPr>
          <w:t>Chapter 2.</w:t>
        </w:r>
        <w:r>
          <w:rPr>
            <w:rFonts w:cstheme="minorBidi"/>
            <w:b w:val="0"/>
            <w:bCs w:val="0"/>
            <w:noProof/>
            <w:kern w:val="2"/>
            <w:sz w:val="24"/>
            <w:szCs w:val="24"/>
            <w:lang w:val="en-US" w:eastAsia="en-US"/>
            <w14:ligatures w14:val="standardContextual"/>
          </w:rPr>
          <w:tab/>
        </w:r>
        <w:r w:rsidRPr="00BA492B">
          <w:rPr>
            <w:rStyle w:val="Hyperlink"/>
            <w:rFonts w:asciiTheme="majorHAnsi" w:hAnsiTheme="majorHAnsi" w:cstheme="majorHAnsi"/>
            <w:noProof/>
          </w:rPr>
          <w:t>About the Program</w:t>
        </w:r>
        <w:r>
          <w:rPr>
            <w:noProof/>
            <w:webHidden/>
          </w:rPr>
          <w:tab/>
        </w:r>
        <w:r>
          <w:rPr>
            <w:noProof/>
            <w:webHidden/>
          </w:rPr>
          <w:fldChar w:fldCharType="begin"/>
        </w:r>
        <w:r>
          <w:rPr>
            <w:noProof/>
            <w:webHidden/>
          </w:rPr>
          <w:instrText xml:space="preserve"> PAGEREF _Toc180155151 \h </w:instrText>
        </w:r>
        <w:r>
          <w:rPr>
            <w:noProof/>
            <w:webHidden/>
          </w:rPr>
        </w:r>
        <w:r>
          <w:rPr>
            <w:noProof/>
            <w:webHidden/>
          </w:rPr>
          <w:fldChar w:fldCharType="separate"/>
        </w:r>
        <w:r w:rsidR="009A4647">
          <w:rPr>
            <w:noProof/>
            <w:webHidden/>
          </w:rPr>
          <w:t>36</w:t>
        </w:r>
        <w:r>
          <w:rPr>
            <w:noProof/>
            <w:webHidden/>
          </w:rPr>
          <w:fldChar w:fldCharType="end"/>
        </w:r>
      </w:hyperlink>
    </w:p>
    <w:p w14:paraId="2582314F" w14:textId="2C8D0D72" w:rsidR="00CD1547" w:rsidRDefault="00CD1547">
      <w:pPr>
        <w:pStyle w:val="TOC2"/>
        <w:tabs>
          <w:tab w:val="left" w:pos="880"/>
          <w:tab w:val="right" w:leader="dot" w:pos="9227"/>
        </w:tabs>
        <w:rPr>
          <w:rFonts w:cstheme="minorBidi"/>
          <w:i w:val="0"/>
          <w:iCs w:val="0"/>
          <w:noProof/>
          <w:kern w:val="2"/>
          <w:sz w:val="24"/>
          <w:szCs w:val="24"/>
          <w:lang w:val="en-US" w:eastAsia="en-US"/>
          <w14:ligatures w14:val="standardContextual"/>
        </w:rPr>
      </w:pPr>
      <w:hyperlink w:anchor="_Toc180155152" w:history="1">
        <w:r w:rsidRPr="00BA492B">
          <w:rPr>
            <w:rStyle w:val="Hyperlink"/>
            <w:noProof/>
          </w:rPr>
          <w:t>2.1.</w:t>
        </w:r>
        <w:r>
          <w:rPr>
            <w:rFonts w:cstheme="minorBidi"/>
            <w:i w:val="0"/>
            <w:iCs w:val="0"/>
            <w:noProof/>
            <w:kern w:val="2"/>
            <w:sz w:val="24"/>
            <w:szCs w:val="24"/>
            <w:lang w:val="en-US" w:eastAsia="en-US"/>
            <w14:ligatures w14:val="standardContextual"/>
          </w:rPr>
          <w:tab/>
        </w:r>
        <w:r w:rsidRPr="00BA492B">
          <w:rPr>
            <w:rStyle w:val="Hyperlink"/>
            <w:noProof/>
          </w:rPr>
          <w:t>PRISMA’s Approach</w:t>
        </w:r>
        <w:r>
          <w:rPr>
            <w:noProof/>
            <w:webHidden/>
          </w:rPr>
          <w:tab/>
        </w:r>
        <w:r>
          <w:rPr>
            <w:noProof/>
            <w:webHidden/>
          </w:rPr>
          <w:fldChar w:fldCharType="begin"/>
        </w:r>
        <w:r>
          <w:rPr>
            <w:noProof/>
            <w:webHidden/>
          </w:rPr>
          <w:instrText xml:space="preserve"> PAGEREF _Toc180155152 \h </w:instrText>
        </w:r>
        <w:r>
          <w:rPr>
            <w:noProof/>
            <w:webHidden/>
          </w:rPr>
        </w:r>
        <w:r>
          <w:rPr>
            <w:noProof/>
            <w:webHidden/>
          </w:rPr>
          <w:fldChar w:fldCharType="separate"/>
        </w:r>
        <w:r w:rsidR="009A4647">
          <w:rPr>
            <w:noProof/>
            <w:webHidden/>
          </w:rPr>
          <w:t>36</w:t>
        </w:r>
        <w:r>
          <w:rPr>
            <w:noProof/>
            <w:webHidden/>
          </w:rPr>
          <w:fldChar w:fldCharType="end"/>
        </w:r>
      </w:hyperlink>
    </w:p>
    <w:p w14:paraId="0EAA6411" w14:textId="347871ED" w:rsidR="00CD1547" w:rsidRDefault="00CD1547">
      <w:pPr>
        <w:pStyle w:val="TOC2"/>
        <w:tabs>
          <w:tab w:val="left" w:pos="880"/>
          <w:tab w:val="right" w:leader="dot" w:pos="9227"/>
        </w:tabs>
        <w:rPr>
          <w:rFonts w:cstheme="minorBidi"/>
          <w:i w:val="0"/>
          <w:iCs w:val="0"/>
          <w:noProof/>
          <w:kern w:val="2"/>
          <w:sz w:val="24"/>
          <w:szCs w:val="24"/>
          <w:lang w:val="en-US" w:eastAsia="en-US"/>
          <w14:ligatures w14:val="standardContextual"/>
        </w:rPr>
      </w:pPr>
      <w:hyperlink w:anchor="_Toc180155153" w:history="1">
        <w:r w:rsidRPr="00BA492B">
          <w:rPr>
            <w:rStyle w:val="Hyperlink"/>
            <w:rFonts w:cstheme="majorHAnsi"/>
            <w:noProof/>
          </w:rPr>
          <w:t>2.2.</w:t>
        </w:r>
        <w:r>
          <w:rPr>
            <w:rFonts w:cstheme="minorBidi"/>
            <w:i w:val="0"/>
            <w:iCs w:val="0"/>
            <w:noProof/>
            <w:kern w:val="2"/>
            <w:sz w:val="24"/>
            <w:szCs w:val="24"/>
            <w:lang w:val="en-US" w:eastAsia="en-US"/>
            <w14:ligatures w14:val="standardContextual"/>
          </w:rPr>
          <w:tab/>
        </w:r>
        <w:r w:rsidRPr="00BA492B">
          <w:rPr>
            <w:rStyle w:val="Hyperlink"/>
            <w:rFonts w:cstheme="majorHAnsi"/>
            <w:noProof/>
          </w:rPr>
          <w:t>Governance Structure</w:t>
        </w:r>
        <w:r>
          <w:rPr>
            <w:noProof/>
            <w:webHidden/>
          </w:rPr>
          <w:tab/>
        </w:r>
        <w:r>
          <w:rPr>
            <w:noProof/>
            <w:webHidden/>
          </w:rPr>
          <w:fldChar w:fldCharType="begin"/>
        </w:r>
        <w:r>
          <w:rPr>
            <w:noProof/>
            <w:webHidden/>
          </w:rPr>
          <w:instrText xml:space="preserve"> PAGEREF _Toc180155153 \h </w:instrText>
        </w:r>
        <w:r>
          <w:rPr>
            <w:noProof/>
            <w:webHidden/>
          </w:rPr>
        </w:r>
        <w:r>
          <w:rPr>
            <w:noProof/>
            <w:webHidden/>
          </w:rPr>
          <w:fldChar w:fldCharType="separate"/>
        </w:r>
        <w:r w:rsidR="009A4647">
          <w:rPr>
            <w:noProof/>
            <w:webHidden/>
          </w:rPr>
          <w:t>37</w:t>
        </w:r>
        <w:r>
          <w:rPr>
            <w:noProof/>
            <w:webHidden/>
          </w:rPr>
          <w:fldChar w:fldCharType="end"/>
        </w:r>
      </w:hyperlink>
    </w:p>
    <w:p w14:paraId="39CD94C7" w14:textId="173AC31A" w:rsidR="00CD1547" w:rsidRDefault="00CD1547">
      <w:pPr>
        <w:pStyle w:val="TOC2"/>
        <w:tabs>
          <w:tab w:val="left" w:pos="880"/>
          <w:tab w:val="right" w:leader="dot" w:pos="9227"/>
        </w:tabs>
        <w:rPr>
          <w:rFonts w:cstheme="minorBidi"/>
          <w:i w:val="0"/>
          <w:iCs w:val="0"/>
          <w:noProof/>
          <w:kern w:val="2"/>
          <w:sz w:val="24"/>
          <w:szCs w:val="24"/>
          <w:lang w:val="en-US" w:eastAsia="en-US"/>
          <w14:ligatures w14:val="standardContextual"/>
        </w:rPr>
      </w:pPr>
      <w:hyperlink w:anchor="_Toc180155154" w:history="1">
        <w:r w:rsidRPr="00BA492B">
          <w:rPr>
            <w:rStyle w:val="Hyperlink"/>
            <w:rFonts w:cstheme="majorHAnsi"/>
            <w:noProof/>
          </w:rPr>
          <w:t>2.3.</w:t>
        </w:r>
        <w:r>
          <w:rPr>
            <w:rFonts w:cstheme="minorBidi"/>
            <w:i w:val="0"/>
            <w:iCs w:val="0"/>
            <w:noProof/>
            <w:kern w:val="2"/>
            <w:sz w:val="24"/>
            <w:szCs w:val="24"/>
            <w:lang w:val="en-US" w:eastAsia="en-US"/>
            <w14:ligatures w14:val="standardContextual"/>
          </w:rPr>
          <w:tab/>
        </w:r>
        <w:r w:rsidRPr="00BA492B">
          <w:rPr>
            <w:rStyle w:val="Hyperlink"/>
            <w:rFonts w:cstheme="majorHAnsi"/>
            <w:noProof/>
          </w:rPr>
          <w:t>Relevance to the Government of Australia</w:t>
        </w:r>
        <w:r>
          <w:rPr>
            <w:noProof/>
            <w:webHidden/>
          </w:rPr>
          <w:tab/>
        </w:r>
        <w:r>
          <w:rPr>
            <w:noProof/>
            <w:webHidden/>
          </w:rPr>
          <w:fldChar w:fldCharType="begin"/>
        </w:r>
        <w:r>
          <w:rPr>
            <w:noProof/>
            <w:webHidden/>
          </w:rPr>
          <w:instrText xml:space="preserve"> PAGEREF _Toc180155154 \h </w:instrText>
        </w:r>
        <w:r>
          <w:rPr>
            <w:noProof/>
            <w:webHidden/>
          </w:rPr>
        </w:r>
        <w:r>
          <w:rPr>
            <w:noProof/>
            <w:webHidden/>
          </w:rPr>
          <w:fldChar w:fldCharType="separate"/>
        </w:r>
        <w:r w:rsidR="009A4647">
          <w:rPr>
            <w:noProof/>
            <w:webHidden/>
          </w:rPr>
          <w:t>37</w:t>
        </w:r>
        <w:r>
          <w:rPr>
            <w:noProof/>
            <w:webHidden/>
          </w:rPr>
          <w:fldChar w:fldCharType="end"/>
        </w:r>
      </w:hyperlink>
    </w:p>
    <w:p w14:paraId="1ED15D67" w14:textId="06009E75" w:rsidR="00CD1547" w:rsidRDefault="00CD1547">
      <w:pPr>
        <w:pStyle w:val="TOC2"/>
        <w:tabs>
          <w:tab w:val="left" w:pos="880"/>
          <w:tab w:val="right" w:leader="dot" w:pos="9227"/>
        </w:tabs>
        <w:rPr>
          <w:rFonts w:cstheme="minorBidi"/>
          <w:i w:val="0"/>
          <w:iCs w:val="0"/>
          <w:noProof/>
          <w:kern w:val="2"/>
          <w:sz w:val="24"/>
          <w:szCs w:val="24"/>
          <w:lang w:val="en-US" w:eastAsia="en-US"/>
          <w14:ligatures w14:val="standardContextual"/>
        </w:rPr>
      </w:pPr>
      <w:hyperlink w:anchor="_Toc180155155" w:history="1">
        <w:r w:rsidRPr="00BA492B">
          <w:rPr>
            <w:rStyle w:val="Hyperlink"/>
            <w:rFonts w:cstheme="majorHAnsi"/>
            <w:noProof/>
          </w:rPr>
          <w:t>2.4.</w:t>
        </w:r>
        <w:r>
          <w:rPr>
            <w:rFonts w:cstheme="minorBidi"/>
            <w:i w:val="0"/>
            <w:iCs w:val="0"/>
            <w:noProof/>
            <w:kern w:val="2"/>
            <w:sz w:val="24"/>
            <w:szCs w:val="24"/>
            <w:lang w:val="en-US" w:eastAsia="en-US"/>
            <w14:ligatures w14:val="standardContextual"/>
          </w:rPr>
          <w:tab/>
        </w:r>
        <w:r w:rsidRPr="00BA492B">
          <w:rPr>
            <w:rStyle w:val="Hyperlink"/>
            <w:rFonts w:cstheme="majorHAnsi"/>
            <w:noProof/>
          </w:rPr>
          <w:t>Relevance to the Government of Indonesia</w:t>
        </w:r>
        <w:r>
          <w:rPr>
            <w:noProof/>
            <w:webHidden/>
          </w:rPr>
          <w:tab/>
        </w:r>
        <w:r>
          <w:rPr>
            <w:noProof/>
            <w:webHidden/>
          </w:rPr>
          <w:fldChar w:fldCharType="begin"/>
        </w:r>
        <w:r>
          <w:rPr>
            <w:noProof/>
            <w:webHidden/>
          </w:rPr>
          <w:instrText xml:space="preserve"> PAGEREF _Toc180155155 \h </w:instrText>
        </w:r>
        <w:r>
          <w:rPr>
            <w:noProof/>
            <w:webHidden/>
          </w:rPr>
        </w:r>
        <w:r>
          <w:rPr>
            <w:noProof/>
            <w:webHidden/>
          </w:rPr>
          <w:fldChar w:fldCharType="separate"/>
        </w:r>
        <w:r w:rsidR="009A4647">
          <w:rPr>
            <w:noProof/>
            <w:webHidden/>
          </w:rPr>
          <w:t>38</w:t>
        </w:r>
        <w:r>
          <w:rPr>
            <w:noProof/>
            <w:webHidden/>
          </w:rPr>
          <w:fldChar w:fldCharType="end"/>
        </w:r>
      </w:hyperlink>
    </w:p>
    <w:p w14:paraId="60F8FA5A" w14:textId="7FC9E393" w:rsidR="00CD1547" w:rsidRDefault="00CD1547">
      <w:pPr>
        <w:pStyle w:val="TOC2"/>
        <w:tabs>
          <w:tab w:val="left" w:pos="880"/>
          <w:tab w:val="right" w:leader="dot" w:pos="9227"/>
        </w:tabs>
        <w:rPr>
          <w:rFonts w:cstheme="minorBidi"/>
          <w:i w:val="0"/>
          <w:iCs w:val="0"/>
          <w:noProof/>
          <w:kern w:val="2"/>
          <w:sz w:val="24"/>
          <w:szCs w:val="24"/>
          <w:lang w:val="en-US" w:eastAsia="en-US"/>
          <w14:ligatures w14:val="standardContextual"/>
        </w:rPr>
      </w:pPr>
      <w:hyperlink w:anchor="_Toc180155156" w:history="1">
        <w:r w:rsidRPr="00BA492B">
          <w:rPr>
            <w:rStyle w:val="Hyperlink"/>
            <w:rFonts w:cstheme="majorHAnsi"/>
            <w:noProof/>
          </w:rPr>
          <w:t>2.5.</w:t>
        </w:r>
        <w:r>
          <w:rPr>
            <w:rFonts w:cstheme="minorBidi"/>
            <w:i w:val="0"/>
            <w:iCs w:val="0"/>
            <w:noProof/>
            <w:kern w:val="2"/>
            <w:sz w:val="24"/>
            <w:szCs w:val="24"/>
            <w:lang w:val="en-US" w:eastAsia="en-US"/>
            <w14:ligatures w14:val="standardContextual"/>
          </w:rPr>
          <w:tab/>
        </w:r>
        <w:r w:rsidRPr="00BA492B">
          <w:rPr>
            <w:rStyle w:val="Hyperlink"/>
            <w:rFonts w:cstheme="majorHAnsi"/>
            <w:noProof/>
          </w:rPr>
          <w:t>Relevance to Sustainable Development Goals</w:t>
        </w:r>
        <w:r>
          <w:rPr>
            <w:noProof/>
            <w:webHidden/>
          </w:rPr>
          <w:tab/>
        </w:r>
        <w:r>
          <w:rPr>
            <w:noProof/>
            <w:webHidden/>
          </w:rPr>
          <w:fldChar w:fldCharType="begin"/>
        </w:r>
        <w:r>
          <w:rPr>
            <w:noProof/>
            <w:webHidden/>
          </w:rPr>
          <w:instrText xml:space="preserve"> PAGEREF _Toc180155156 \h </w:instrText>
        </w:r>
        <w:r>
          <w:rPr>
            <w:noProof/>
            <w:webHidden/>
          </w:rPr>
        </w:r>
        <w:r>
          <w:rPr>
            <w:noProof/>
            <w:webHidden/>
          </w:rPr>
          <w:fldChar w:fldCharType="separate"/>
        </w:r>
        <w:r w:rsidR="009A4647">
          <w:rPr>
            <w:noProof/>
            <w:webHidden/>
          </w:rPr>
          <w:t>39</w:t>
        </w:r>
        <w:r>
          <w:rPr>
            <w:noProof/>
            <w:webHidden/>
          </w:rPr>
          <w:fldChar w:fldCharType="end"/>
        </w:r>
      </w:hyperlink>
    </w:p>
    <w:p w14:paraId="4AA948E7" w14:textId="69A88A8D" w:rsidR="00CD1547" w:rsidRDefault="00CD1547">
      <w:pPr>
        <w:pStyle w:val="TOC1"/>
        <w:tabs>
          <w:tab w:val="left" w:pos="1320"/>
          <w:tab w:val="right" w:leader="dot" w:pos="9227"/>
        </w:tabs>
        <w:rPr>
          <w:rFonts w:cstheme="minorBidi"/>
          <w:b w:val="0"/>
          <w:bCs w:val="0"/>
          <w:noProof/>
          <w:kern w:val="2"/>
          <w:sz w:val="24"/>
          <w:szCs w:val="24"/>
          <w:lang w:val="en-US" w:eastAsia="en-US"/>
          <w14:ligatures w14:val="standardContextual"/>
        </w:rPr>
      </w:pPr>
      <w:hyperlink w:anchor="_Toc180155157" w:history="1">
        <w:r w:rsidRPr="00BA492B">
          <w:rPr>
            <w:rStyle w:val="Hyperlink"/>
            <w:rFonts w:asciiTheme="majorHAnsi" w:hAnsiTheme="majorHAnsi" w:cstheme="majorHAnsi"/>
            <w:noProof/>
          </w:rPr>
          <w:t>Chapter 3.</w:t>
        </w:r>
        <w:r>
          <w:rPr>
            <w:rFonts w:cstheme="minorBidi"/>
            <w:b w:val="0"/>
            <w:bCs w:val="0"/>
            <w:noProof/>
            <w:kern w:val="2"/>
            <w:sz w:val="24"/>
            <w:szCs w:val="24"/>
            <w:lang w:val="en-US" w:eastAsia="en-US"/>
            <w14:ligatures w14:val="standardContextual"/>
          </w:rPr>
          <w:tab/>
        </w:r>
        <w:r w:rsidRPr="00BA492B">
          <w:rPr>
            <w:rStyle w:val="Hyperlink"/>
            <w:rFonts w:asciiTheme="majorHAnsi" w:hAnsiTheme="majorHAnsi" w:cstheme="majorHAnsi"/>
            <w:noProof/>
          </w:rPr>
          <w:t>Portfolio Overview and Progress</w:t>
        </w:r>
        <w:r>
          <w:rPr>
            <w:noProof/>
            <w:webHidden/>
          </w:rPr>
          <w:tab/>
        </w:r>
        <w:r>
          <w:rPr>
            <w:noProof/>
            <w:webHidden/>
          </w:rPr>
          <w:fldChar w:fldCharType="begin"/>
        </w:r>
        <w:r>
          <w:rPr>
            <w:noProof/>
            <w:webHidden/>
          </w:rPr>
          <w:instrText xml:space="preserve"> PAGEREF _Toc180155157 \h </w:instrText>
        </w:r>
        <w:r>
          <w:rPr>
            <w:noProof/>
            <w:webHidden/>
          </w:rPr>
        </w:r>
        <w:r>
          <w:rPr>
            <w:noProof/>
            <w:webHidden/>
          </w:rPr>
          <w:fldChar w:fldCharType="separate"/>
        </w:r>
        <w:r w:rsidR="009A4647">
          <w:rPr>
            <w:noProof/>
            <w:webHidden/>
          </w:rPr>
          <w:t>41</w:t>
        </w:r>
        <w:r>
          <w:rPr>
            <w:noProof/>
            <w:webHidden/>
          </w:rPr>
          <w:fldChar w:fldCharType="end"/>
        </w:r>
      </w:hyperlink>
    </w:p>
    <w:p w14:paraId="5B5EA992" w14:textId="60494226" w:rsidR="00CD1547" w:rsidRDefault="00CD1547">
      <w:pPr>
        <w:pStyle w:val="TOC2"/>
        <w:tabs>
          <w:tab w:val="left" w:pos="880"/>
          <w:tab w:val="right" w:leader="dot" w:pos="9227"/>
        </w:tabs>
        <w:rPr>
          <w:rFonts w:cstheme="minorBidi"/>
          <w:i w:val="0"/>
          <w:iCs w:val="0"/>
          <w:noProof/>
          <w:kern w:val="2"/>
          <w:sz w:val="24"/>
          <w:szCs w:val="24"/>
          <w:lang w:val="en-US" w:eastAsia="en-US"/>
          <w14:ligatures w14:val="standardContextual"/>
        </w:rPr>
      </w:pPr>
      <w:hyperlink w:anchor="_Toc180155158" w:history="1">
        <w:r w:rsidRPr="00BA492B">
          <w:rPr>
            <w:rStyle w:val="Hyperlink"/>
            <w:noProof/>
          </w:rPr>
          <w:t>3.1.</w:t>
        </w:r>
        <w:r>
          <w:rPr>
            <w:rFonts w:cstheme="minorBidi"/>
            <w:i w:val="0"/>
            <w:iCs w:val="0"/>
            <w:noProof/>
            <w:kern w:val="2"/>
            <w:sz w:val="24"/>
            <w:szCs w:val="24"/>
            <w:lang w:val="en-US" w:eastAsia="en-US"/>
            <w14:ligatures w14:val="standardContextual"/>
          </w:rPr>
          <w:tab/>
        </w:r>
        <w:r w:rsidRPr="00BA492B">
          <w:rPr>
            <w:rStyle w:val="Hyperlink"/>
            <w:noProof/>
          </w:rPr>
          <w:t>PRISMA progress</w:t>
        </w:r>
        <w:r>
          <w:rPr>
            <w:noProof/>
            <w:webHidden/>
          </w:rPr>
          <w:tab/>
        </w:r>
        <w:r>
          <w:rPr>
            <w:noProof/>
            <w:webHidden/>
          </w:rPr>
          <w:fldChar w:fldCharType="begin"/>
        </w:r>
        <w:r>
          <w:rPr>
            <w:noProof/>
            <w:webHidden/>
          </w:rPr>
          <w:instrText xml:space="preserve"> PAGEREF _Toc180155158 \h </w:instrText>
        </w:r>
        <w:r>
          <w:rPr>
            <w:noProof/>
            <w:webHidden/>
          </w:rPr>
        </w:r>
        <w:r>
          <w:rPr>
            <w:noProof/>
            <w:webHidden/>
          </w:rPr>
          <w:fldChar w:fldCharType="separate"/>
        </w:r>
        <w:r w:rsidR="009A4647">
          <w:rPr>
            <w:noProof/>
            <w:webHidden/>
          </w:rPr>
          <w:t>41</w:t>
        </w:r>
        <w:r>
          <w:rPr>
            <w:noProof/>
            <w:webHidden/>
          </w:rPr>
          <w:fldChar w:fldCharType="end"/>
        </w:r>
      </w:hyperlink>
    </w:p>
    <w:p w14:paraId="00C8F4F5" w14:textId="1FF965A7" w:rsidR="00CD1547" w:rsidRDefault="00CD1547">
      <w:pPr>
        <w:pStyle w:val="TOC2"/>
        <w:tabs>
          <w:tab w:val="left" w:pos="880"/>
          <w:tab w:val="right" w:leader="dot" w:pos="9227"/>
        </w:tabs>
        <w:rPr>
          <w:rFonts w:cstheme="minorBidi"/>
          <w:i w:val="0"/>
          <w:iCs w:val="0"/>
          <w:noProof/>
          <w:kern w:val="2"/>
          <w:sz w:val="24"/>
          <w:szCs w:val="24"/>
          <w:lang w:val="en-US" w:eastAsia="en-US"/>
          <w14:ligatures w14:val="standardContextual"/>
        </w:rPr>
      </w:pPr>
      <w:hyperlink w:anchor="_Toc180155161" w:history="1">
        <w:r w:rsidRPr="00BA492B">
          <w:rPr>
            <w:rStyle w:val="Hyperlink"/>
            <w:noProof/>
          </w:rPr>
          <w:t>3.2.</w:t>
        </w:r>
        <w:r>
          <w:rPr>
            <w:rFonts w:cstheme="minorBidi"/>
            <w:i w:val="0"/>
            <w:iCs w:val="0"/>
            <w:noProof/>
            <w:kern w:val="2"/>
            <w:sz w:val="24"/>
            <w:szCs w:val="24"/>
            <w:lang w:val="en-US" w:eastAsia="en-US"/>
            <w14:ligatures w14:val="standardContextual"/>
          </w:rPr>
          <w:tab/>
        </w:r>
        <w:r w:rsidRPr="00BA492B">
          <w:rPr>
            <w:rStyle w:val="Hyperlink"/>
            <w:noProof/>
          </w:rPr>
          <w:t>Other Key Performance Indicators</w:t>
        </w:r>
        <w:r>
          <w:rPr>
            <w:noProof/>
            <w:webHidden/>
          </w:rPr>
          <w:tab/>
        </w:r>
        <w:r>
          <w:rPr>
            <w:noProof/>
            <w:webHidden/>
          </w:rPr>
          <w:fldChar w:fldCharType="begin"/>
        </w:r>
        <w:r>
          <w:rPr>
            <w:noProof/>
            <w:webHidden/>
          </w:rPr>
          <w:instrText xml:space="preserve"> PAGEREF _Toc180155161 \h </w:instrText>
        </w:r>
        <w:r>
          <w:rPr>
            <w:noProof/>
            <w:webHidden/>
          </w:rPr>
        </w:r>
        <w:r>
          <w:rPr>
            <w:noProof/>
            <w:webHidden/>
          </w:rPr>
          <w:fldChar w:fldCharType="separate"/>
        </w:r>
        <w:r w:rsidR="009A4647">
          <w:rPr>
            <w:noProof/>
            <w:webHidden/>
          </w:rPr>
          <w:t>45</w:t>
        </w:r>
        <w:r>
          <w:rPr>
            <w:noProof/>
            <w:webHidden/>
          </w:rPr>
          <w:fldChar w:fldCharType="end"/>
        </w:r>
      </w:hyperlink>
    </w:p>
    <w:p w14:paraId="3869FF6B" w14:textId="27A47207" w:rsidR="00CD1547" w:rsidRDefault="00CD1547">
      <w:pPr>
        <w:pStyle w:val="TOC2"/>
        <w:tabs>
          <w:tab w:val="left" w:pos="880"/>
          <w:tab w:val="right" w:leader="dot" w:pos="9227"/>
        </w:tabs>
        <w:rPr>
          <w:rFonts w:cstheme="minorBidi"/>
          <w:i w:val="0"/>
          <w:iCs w:val="0"/>
          <w:noProof/>
          <w:kern w:val="2"/>
          <w:sz w:val="24"/>
          <w:szCs w:val="24"/>
          <w:lang w:val="en-US" w:eastAsia="en-US"/>
          <w14:ligatures w14:val="standardContextual"/>
        </w:rPr>
      </w:pPr>
      <w:hyperlink w:anchor="_Toc180155162" w:history="1">
        <w:r w:rsidRPr="00BA492B">
          <w:rPr>
            <w:rStyle w:val="Hyperlink"/>
            <w:noProof/>
          </w:rPr>
          <w:t>3.3.</w:t>
        </w:r>
        <w:r>
          <w:rPr>
            <w:rFonts w:cstheme="minorBidi"/>
            <w:i w:val="0"/>
            <w:iCs w:val="0"/>
            <w:noProof/>
            <w:kern w:val="2"/>
            <w:sz w:val="24"/>
            <w:szCs w:val="24"/>
            <w:lang w:val="en-US" w:eastAsia="en-US"/>
            <w14:ligatures w14:val="standardContextual"/>
          </w:rPr>
          <w:tab/>
        </w:r>
        <w:r w:rsidRPr="00BA492B">
          <w:rPr>
            <w:rStyle w:val="Hyperlink"/>
            <w:noProof/>
          </w:rPr>
          <w:t>Value for Money</w:t>
        </w:r>
        <w:r>
          <w:rPr>
            <w:noProof/>
            <w:webHidden/>
          </w:rPr>
          <w:tab/>
        </w:r>
        <w:r>
          <w:rPr>
            <w:noProof/>
            <w:webHidden/>
          </w:rPr>
          <w:fldChar w:fldCharType="begin"/>
        </w:r>
        <w:r>
          <w:rPr>
            <w:noProof/>
            <w:webHidden/>
          </w:rPr>
          <w:instrText xml:space="preserve"> PAGEREF _Toc180155162 \h </w:instrText>
        </w:r>
        <w:r>
          <w:rPr>
            <w:noProof/>
            <w:webHidden/>
          </w:rPr>
        </w:r>
        <w:r>
          <w:rPr>
            <w:noProof/>
            <w:webHidden/>
          </w:rPr>
          <w:fldChar w:fldCharType="separate"/>
        </w:r>
        <w:r w:rsidR="009A4647">
          <w:rPr>
            <w:noProof/>
            <w:webHidden/>
          </w:rPr>
          <w:t>46</w:t>
        </w:r>
        <w:r>
          <w:rPr>
            <w:noProof/>
            <w:webHidden/>
          </w:rPr>
          <w:fldChar w:fldCharType="end"/>
        </w:r>
      </w:hyperlink>
    </w:p>
    <w:p w14:paraId="0D46A1E4" w14:textId="1354AB24" w:rsidR="00CD1547" w:rsidRDefault="00CD1547">
      <w:pPr>
        <w:pStyle w:val="TOC2"/>
        <w:tabs>
          <w:tab w:val="left" w:pos="880"/>
          <w:tab w:val="right" w:leader="dot" w:pos="9227"/>
        </w:tabs>
        <w:rPr>
          <w:rFonts w:cstheme="minorBidi"/>
          <w:i w:val="0"/>
          <w:iCs w:val="0"/>
          <w:noProof/>
          <w:kern w:val="2"/>
          <w:sz w:val="24"/>
          <w:szCs w:val="24"/>
          <w:lang w:val="en-US" w:eastAsia="en-US"/>
          <w14:ligatures w14:val="standardContextual"/>
        </w:rPr>
      </w:pPr>
      <w:hyperlink w:anchor="_Toc180155164" w:history="1">
        <w:r w:rsidRPr="00BA492B">
          <w:rPr>
            <w:rStyle w:val="Hyperlink"/>
            <w:noProof/>
          </w:rPr>
          <w:t>3.4.</w:t>
        </w:r>
        <w:r>
          <w:rPr>
            <w:rFonts w:cstheme="minorBidi"/>
            <w:i w:val="0"/>
            <w:iCs w:val="0"/>
            <w:noProof/>
            <w:kern w:val="2"/>
            <w:sz w:val="24"/>
            <w:szCs w:val="24"/>
            <w:lang w:val="en-US" w:eastAsia="en-US"/>
            <w14:ligatures w14:val="standardContextual"/>
          </w:rPr>
          <w:tab/>
        </w:r>
        <w:r w:rsidRPr="00BA492B">
          <w:rPr>
            <w:rStyle w:val="Hyperlink"/>
            <w:noProof/>
          </w:rPr>
          <w:t>Collaborations</w:t>
        </w:r>
        <w:r>
          <w:rPr>
            <w:noProof/>
            <w:webHidden/>
          </w:rPr>
          <w:tab/>
        </w:r>
        <w:r>
          <w:rPr>
            <w:noProof/>
            <w:webHidden/>
          </w:rPr>
          <w:fldChar w:fldCharType="begin"/>
        </w:r>
        <w:r>
          <w:rPr>
            <w:noProof/>
            <w:webHidden/>
          </w:rPr>
          <w:instrText xml:space="preserve"> PAGEREF _Toc180155164 \h </w:instrText>
        </w:r>
        <w:r>
          <w:rPr>
            <w:noProof/>
            <w:webHidden/>
          </w:rPr>
        </w:r>
        <w:r>
          <w:rPr>
            <w:noProof/>
            <w:webHidden/>
          </w:rPr>
          <w:fldChar w:fldCharType="separate"/>
        </w:r>
        <w:r w:rsidR="009A4647">
          <w:rPr>
            <w:noProof/>
            <w:webHidden/>
          </w:rPr>
          <w:t>49</w:t>
        </w:r>
        <w:r>
          <w:rPr>
            <w:noProof/>
            <w:webHidden/>
          </w:rPr>
          <w:fldChar w:fldCharType="end"/>
        </w:r>
      </w:hyperlink>
    </w:p>
    <w:p w14:paraId="36AF3AAB" w14:textId="67B5B4F5" w:rsidR="00CD1547" w:rsidRDefault="00CD1547">
      <w:pPr>
        <w:pStyle w:val="TOC2"/>
        <w:tabs>
          <w:tab w:val="left" w:pos="880"/>
          <w:tab w:val="right" w:leader="dot" w:pos="9227"/>
        </w:tabs>
        <w:rPr>
          <w:rFonts w:cstheme="minorBidi"/>
          <w:i w:val="0"/>
          <w:iCs w:val="0"/>
          <w:noProof/>
          <w:kern w:val="2"/>
          <w:sz w:val="24"/>
          <w:szCs w:val="24"/>
          <w:lang w:val="en-US" w:eastAsia="en-US"/>
          <w14:ligatures w14:val="standardContextual"/>
        </w:rPr>
      </w:pPr>
      <w:hyperlink w:anchor="_Toc180155168" w:history="1">
        <w:r w:rsidRPr="00BA492B">
          <w:rPr>
            <w:rStyle w:val="Hyperlink"/>
            <w:noProof/>
          </w:rPr>
          <w:t>3.5.</w:t>
        </w:r>
        <w:r>
          <w:rPr>
            <w:rFonts w:cstheme="minorBidi"/>
            <w:i w:val="0"/>
            <w:iCs w:val="0"/>
            <w:noProof/>
            <w:kern w:val="2"/>
            <w:sz w:val="24"/>
            <w:szCs w:val="24"/>
            <w:lang w:val="en-US" w:eastAsia="en-US"/>
            <w14:ligatures w14:val="standardContextual"/>
          </w:rPr>
          <w:tab/>
        </w:r>
        <w:r w:rsidRPr="00BA492B">
          <w:rPr>
            <w:rStyle w:val="Hyperlink"/>
            <w:noProof/>
          </w:rPr>
          <w:t>Challenges, Responses, and Learnings</w:t>
        </w:r>
        <w:r>
          <w:rPr>
            <w:noProof/>
            <w:webHidden/>
          </w:rPr>
          <w:tab/>
        </w:r>
        <w:r>
          <w:rPr>
            <w:noProof/>
            <w:webHidden/>
          </w:rPr>
          <w:fldChar w:fldCharType="begin"/>
        </w:r>
        <w:r>
          <w:rPr>
            <w:noProof/>
            <w:webHidden/>
          </w:rPr>
          <w:instrText xml:space="preserve"> PAGEREF _Toc180155168 \h </w:instrText>
        </w:r>
        <w:r>
          <w:rPr>
            <w:noProof/>
            <w:webHidden/>
          </w:rPr>
        </w:r>
        <w:r>
          <w:rPr>
            <w:noProof/>
            <w:webHidden/>
          </w:rPr>
          <w:fldChar w:fldCharType="separate"/>
        </w:r>
        <w:r w:rsidR="009A4647">
          <w:rPr>
            <w:noProof/>
            <w:webHidden/>
          </w:rPr>
          <w:t>50</w:t>
        </w:r>
        <w:r>
          <w:rPr>
            <w:noProof/>
            <w:webHidden/>
          </w:rPr>
          <w:fldChar w:fldCharType="end"/>
        </w:r>
      </w:hyperlink>
    </w:p>
    <w:p w14:paraId="7B6A89A2" w14:textId="3CD11272" w:rsidR="00CD1547" w:rsidRDefault="00CD1547">
      <w:pPr>
        <w:pStyle w:val="TOC2"/>
        <w:tabs>
          <w:tab w:val="left" w:pos="880"/>
          <w:tab w:val="right" w:leader="dot" w:pos="9227"/>
        </w:tabs>
        <w:rPr>
          <w:rFonts w:cstheme="minorBidi"/>
          <w:i w:val="0"/>
          <w:iCs w:val="0"/>
          <w:noProof/>
          <w:kern w:val="2"/>
          <w:sz w:val="24"/>
          <w:szCs w:val="24"/>
          <w:lang w:val="en-US" w:eastAsia="en-US"/>
          <w14:ligatures w14:val="standardContextual"/>
        </w:rPr>
      </w:pPr>
      <w:hyperlink w:anchor="_Toc180155169" w:history="1">
        <w:r w:rsidRPr="00BA492B">
          <w:rPr>
            <w:rStyle w:val="Hyperlink"/>
            <w:noProof/>
          </w:rPr>
          <w:t>3.6.</w:t>
        </w:r>
        <w:r>
          <w:rPr>
            <w:rFonts w:cstheme="minorBidi"/>
            <w:i w:val="0"/>
            <w:iCs w:val="0"/>
            <w:noProof/>
            <w:kern w:val="2"/>
            <w:sz w:val="24"/>
            <w:szCs w:val="24"/>
            <w:lang w:val="en-US" w:eastAsia="en-US"/>
            <w14:ligatures w14:val="standardContextual"/>
          </w:rPr>
          <w:tab/>
        </w:r>
        <w:r w:rsidRPr="00BA492B">
          <w:rPr>
            <w:rStyle w:val="Hyperlink"/>
            <w:noProof/>
          </w:rPr>
          <w:t>Risk Matrix</w:t>
        </w:r>
        <w:r>
          <w:rPr>
            <w:noProof/>
            <w:webHidden/>
          </w:rPr>
          <w:tab/>
        </w:r>
        <w:r>
          <w:rPr>
            <w:noProof/>
            <w:webHidden/>
          </w:rPr>
          <w:fldChar w:fldCharType="begin"/>
        </w:r>
        <w:r>
          <w:rPr>
            <w:noProof/>
            <w:webHidden/>
          </w:rPr>
          <w:instrText xml:space="preserve"> PAGEREF _Toc180155169 \h </w:instrText>
        </w:r>
        <w:r>
          <w:rPr>
            <w:noProof/>
            <w:webHidden/>
          </w:rPr>
        </w:r>
        <w:r>
          <w:rPr>
            <w:noProof/>
            <w:webHidden/>
          </w:rPr>
          <w:fldChar w:fldCharType="separate"/>
        </w:r>
        <w:r w:rsidR="009A4647">
          <w:rPr>
            <w:noProof/>
            <w:webHidden/>
          </w:rPr>
          <w:t>52</w:t>
        </w:r>
        <w:r>
          <w:rPr>
            <w:noProof/>
            <w:webHidden/>
          </w:rPr>
          <w:fldChar w:fldCharType="end"/>
        </w:r>
      </w:hyperlink>
    </w:p>
    <w:p w14:paraId="412F120C" w14:textId="6B88EAD2" w:rsidR="00CD1547" w:rsidRDefault="00CD1547">
      <w:pPr>
        <w:pStyle w:val="TOC1"/>
        <w:tabs>
          <w:tab w:val="left" w:pos="1320"/>
          <w:tab w:val="right" w:leader="dot" w:pos="9227"/>
        </w:tabs>
        <w:rPr>
          <w:rFonts w:cstheme="minorBidi"/>
          <w:b w:val="0"/>
          <w:bCs w:val="0"/>
          <w:noProof/>
          <w:kern w:val="2"/>
          <w:sz w:val="24"/>
          <w:szCs w:val="24"/>
          <w:lang w:val="en-US" w:eastAsia="en-US"/>
          <w14:ligatures w14:val="standardContextual"/>
        </w:rPr>
      </w:pPr>
      <w:hyperlink w:anchor="_Toc180155170" w:history="1">
        <w:r w:rsidRPr="00BA492B">
          <w:rPr>
            <w:rStyle w:val="Hyperlink"/>
            <w:rFonts w:asciiTheme="majorHAnsi" w:hAnsiTheme="majorHAnsi" w:cstheme="majorHAnsi"/>
            <w:noProof/>
          </w:rPr>
          <w:t>Chapter 4.</w:t>
        </w:r>
        <w:r>
          <w:rPr>
            <w:rFonts w:cstheme="minorBidi"/>
            <w:b w:val="0"/>
            <w:bCs w:val="0"/>
            <w:noProof/>
            <w:kern w:val="2"/>
            <w:sz w:val="24"/>
            <w:szCs w:val="24"/>
            <w:lang w:val="en-US" w:eastAsia="en-US"/>
            <w14:ligatures w14:val="standardContextual"/>
          </w:rPr>
          <w:tab/>
        </w:r>
        <w:r w:rsidRPr="00BA492B">
          <w:rPr>
            <w:rStyle w:val="Hyperlink"/>
            <w:rFonts w:asciiTheme="majorHAnsi" w:hAnsiTheme="majorHAnsi" w:cstheme="majorHAnsi"/>
            <w:noProof/>
          </w:rPr>
          <w:t>Final Year Focus</w:t>
        </w:r>
        <w:r>
          <w:rPr>
            <w:noProof/>
            <w:webHidden/>
          </w:rPr>
          <w:tab/>
        </w:r>
        <w:r>
          <w:rPr>
            <w:noProof/>
            <w:webHidden/>
          </w:rPr>
          <w:fldChar w:fldCharType="begin"/>
        </w:r>
        <w:r>
          <w:rPr>
            <w:noProof/>
            <w:webHidden/>
          </w:rPr>
          <w:instrText xml:space="preserve"> PAGEREF _Toc180155170 \h </w:instrText>
        </w:r>
        <w:r>
          <w:rPr>
            <w:noProof/>
            <w:webHidden/>
          </w:rPr>
        </w:r>
        <w:r>
          <w:rPr>
            <w:noProof/>
            <w:webHidden/>
          </w:rPr>
          <w:fldChar w:fldCharType="separate"/>
        </w:r>
        <w:r w:rsidR="009A4647">
          <w:rPr>
            <w:noProof/>
            <w:webHidden/>
          </w:rPr>
          <w:t>53</w:t>
        </w:r>
        <w:r>
          <w:rPr>
            <w:noProof/>
            <w:webHidden/>
          </w:rPr>
          <w:fldChar w:fldCharType="end"/>
        </w:r>
      </w:hyperlink>
    </w:p>
    <w:p w14:paraId="45D43C7D" w14:textId="2D590586" w:rsidR="00CD1547" w:rsidRDefault="00CD1547">
      <w:pPr>
        <w:pStyle w:val="TOC2"/>
        <w:tabs>
          <w:tab w:val="left" w:pos="880"/>
          <w:tab w:val="right" w:leader="dot" w:pos="9227"/>
        </w:tabs>
        <w:rPr>
          <w:rFonts w:cstheme="minorBidi"/>
          <w:i w:val="0"/>
          <w:iCs w:val="0"/>
          <w:noProof/>
          <w:kern w:val="2"/>
          <w:sz w:val="24"/>
          <w:szCs w:val="24"/>
          <w:lang w:val="en-US" w:eastAsia="en-US"/>
          <w14:ligatures w14:val="standardContextual"/>
        </w:rPr>
      </w:pPr>
      <w:hyperlink w:anchor="_Toc180155171" w:history="1">
        <w:r w:rsidRPr="00BA492B">
          <w:rPr>
            <w:rStyle w:val="Hyperlink"/>
            <w:rFonts w:cstheme="majorHAnsi"/>
            <w:noProof/>
          </w:rPr>
          <w:t>4.1.</w:t>
        </w:r>
        <w:r>
          <w:rPr>
            <w:rFonts w:cstheme="minorBidi"/>
            <w:i w:val="0"/>
            <w:iCs w:val="0"/>
            <w:noProof/>
            <w:kern w:val="2"/>
            <w:sz w:val="24"/>
            <w:szCs w:val="24"/>
            <w:lang w:val="en-US" w:eastAsia="en-US"/>
            <w14:ligatures w14:val="standardContextual"/>
          </w:rPr>
          <w:tab/>
        </w:r>
        <w:r w:rsidRPr="00BA492B">
          <w:rPr>
            <w:rStyle w:val="Hyperlink"/>
            <w:rFonts w:cstheme="majorHAnsi"/>
            <w:noProof/>
          </w:rPr>
          <w:t>Systemic Change and Sustainability</w:t>
        </w:r>
        <w:r>
          <w:rPr>
            <w:noProof/>
            <w:webHidden/>
          </w:rPr>
          <w:tab/>
        </w:r>
        <w:r>
          <w:rPr>
            <w:noProof/>
            <w:webHidden/>
          </w:rPr>
          <w:fldChar w:fldCharType="begin"/>
        </w:r>
        <w:r>
          <w:rPr>
            <w:noProof/>
            <w:webHidden/>
          </w:rPr>
          <w:instrText xml:space="preserve"> PAGEREF _Toc180155171 \h </w:instrText>
        </w:r>
        <w:r>
          <w:rPr>
            <w:noProof/>
            <w:webHidden/>
          </w:rPr>
        </w:r>
        <w:r>
          <w:rPr>
            <w:noProof/>
            <w:webHidden/>
          </w:rPr>
          <w:fldChar w:fldCharType="separate"/>
        </w:r>
        <w:r w:rsidR="009A4647">
          <w:rPr>
            <w:noProof/>
            <w:webHidden/>
          </w:rPr>
          <w:t>53</w:t>
        </w:r>
        <w:r>
          <w:rPr>
            <w:noProof/>
            <w:webHidden/>
          </w:rPr>
          <w:fldChar w:fldCharType="end"/>
        </w:r>
      </w:hyperlink>
    </w:p>
    <w:p w14:paraId="6B2CE1FC" w14:textId="633E59D2" w:rsidR="00CD1547" w:rsidRDefault="00CD1547">
      <w:pPr>
        <w:pStyle w:val="TOC2"/>
        <w:tabs>
          <w:tab w:val="right" w:leader="dot" w:pos="9227"/>
        </w:tabs>
        <w:rPr>
          <w:rFonts w:cstheme="minorBidi"/>
          <w:i w:val="0"/>
          <w:iCs w:val="0"/>
          <w:noProof/>
          <w:kern w:val="2"/>
          <w:sz w:val="24"/>
          <w:szCs w:val="24"/>
          <w:lang w:val="en-US" w:eastAsia="en-US"/>
          <w14:ligatures w14:val="standardContextual"/>
        </w:rPr>
      </w:pPr>
      <w:hyperlink w:anchor="_Toc180155173" w:history="1">
        <w:r w:rsidRPr="00BA492B">
          <w:rPr>
            <w:rStyle w:val="Hyperlink"/>
            <w:noProof/>
          </w:rPr>
          <w:t>3.3.1 High-priority policy initiatives</w:t>
        </w:r>
        <w:r>
          <w:rPr>
            <w:noProof/>
            <w:webHidden/>
          </w:rPr>
          <w:tab/>
        </w:r>
        <w:r>
          <w:rPr>
            <w:noProof/>
            <w:webHidden/>
          </w:rPr>
          <w:fldChar w:fldCharType="begin"/>
        </w:r>
        <w:r>
          <w:rPr>
            <w:noProof/>
            <w:webHidden/>
          </w:rPr>
          <w:instrText xml:space="preserve"> PAGEREF _Toc180155173 \h </w:instrText>
        </w:r>
        <w:r>
          <w:rPr>
            <w:noProof/>
            <w:webHidden/>
          </w:rPr>
        </w:r>
        <w:r>
          <w:rPr>
            <w:noProof/>
            <w:webHidden/>
          </w:rPr>
          <w:fldChar w:fldCharType="separate"/>
        </w:r>
        <w:r w:rsidR="009A4647">
          <w:rPr>
            <w:noProof/>
            <w:webHidden/>
          </w:rPr>
          <w:t>56</w:t>
        </w:r>
        <w:r>
          <w:rPr>
            <w:noProof/>
            <w:webHidden/>
          </w:rPr>
          <w:fldChar w:fldCharType="end"/>
        </w:r>
      </w:hyperlink>
    </w:p>
    <w:p w14:paraId="28E105CC" w14:textId="6C140B39" w:rsidR="00CD1547" w:rsidRDefault="00CD1547">
      <w:pPr>
        <w:pStyle w:val="TOC1"/>
        <w:tabs>
          <w:tab w:val="left" w:pos="1320"/>
          <w:tab w:val="right" w:leader="dot" w:pos="9227"/>
        </w:tabs>
        <w:rPr>
          <w:rFonts w:cstheme="minorBidi"/>
          <w:b w:val="0"/>
          <w:bCs w:val="0"/>
          <w:noProof/>
          <w:kern w:val="2"/>
          <w:sz w:val="24"/>
          <w:szCs w:val="24"/>
          <w:lang w:val="en-US" w:eastAsia="en-US"/>
          <w14:ligatures w14:val="standardContextual"/>
        </w:rPr>
      </w:pPr>
      <w:hyperlink w:anchor="_Toc180155175" w:history="1">
        <w:r w:rsidRPr="00BA492B">
          <w:rPr>
            <w:rStyle w:val="Hyperlink"/>
            <w:rFonts w:asciiTheme="majorHAnsi" w:hAnsiTheme="majorHAnsi" w:cstheme="majorHAnsi"/>
            <w:noProof/>
          </w:rPr>
          <w:t>Chapter 5.</w:t>
        </w:r>
        <w:r>
          <w:rPr>
            <w:rFonts w:cstheme="minorBidi"/>
            <w:b w:val="0"/>
            <w:bCs w:val="0"/>
            <w:noProof/>
            <w:kern w:val="2"/>
            <w:sz w:val="24"/>
            <w:szCs w:val="24"/>
            <w:lang w:val="en-US" w:eastAsia="en-US"/>
            <w14:ligatures w14:val="standardContextual"/>
          </w:rPr>
          <w:tab/>
        </w:r>
        <w:r w:rsidRPr="00BA492B">
          <w:rPr>
            <w:rStyle w:val="Hyperlink"/>
            <w:rFonts w:asciiTheme="majorHAnsi" w:hAnsiTheme="majorHAnsi" w:cstheme="majorHAnsi"/>
            <w:noProof/>
          </w:rPr>
          <w:t>Cross-cutting Area Progress</w:t>
        </w:r>
        <w:r>
          <w:rPr>
            <w:noProof/>
            <w:webHidden/>
          </w:rPr>
          <w:tab/>
        </w:r>
        <w:r>
          <w:rPr>
            <w:noProof/>
            <w:webHidden/>
          </w:rPr>
          <w:fldChar w:fldCharType="begin"/>
        </w:r>
        <w:r>
          <w:rPr>
            <w:noProof/>
            <w:webHidden/>
          </w:rPr>
          <w:instrText xml:space="preserve"> PAGEREF _Toc180155175 \h </w:instrText>
        </w:r>
        <w:r>
          <w:rPr>
            <w:noProof/>
            <w:webHidden/>
          </w:rPr>
        </w:r>
        <w:r>
          <w:rPr>
            <w:noProof/>
            <w:webHidden/>
          </w:rPr>
          <w:fldChar w:fldCharType="separate"/>
        </w:r>
        <w:r w:rsidR="009A4647">
          <w:rPr>
            <w:noProof/>
            <w:webHidden/>
          </w:rPr>
          <w:t>62</w:t>
        </w:r>
        <w:r>
          <w:rPr>
            <w:noProof/>
            <w:webHidden/>
          </w:rPr>
          <w:fldChar w:fldCharType="end"/>
        </w:r>
      </w:hyperlink>
    </w:p>
    <w:p w14:paraId="5BA82EA3" w14:textId="7ECB1EE0" w:rsidR="00CD1547" w:rsidRDefault="00CD1547">
      <w:pPr>
        <w:pStyle w:val="TOC2"/>
        <w:tabs>
          <w:tab w:val="left" w:pos="880"/>
          <w:tab w:val="right" w:leader="dot" w:pos="9227"/>
        </w:tabs>
        <w:rPr>
          <w:rFonts w:cstheme="minorBidi"/>
          <w:i w:val="0"/>
          <w:iCs w:val="0"/>
          <w:noProof/>
          <w:kern w:val="2"/>
          <w:sz w:val="24"/>
          <w:szCs w:val="24"/>
          <w:lang w:val="en-US" w:eastAsia="en-US"/>
          <w14:ligatures w14:val="standardContextual"/>
        </w:rPr>
      </w:pPr>
      <w:hyperlink w:anchor="_Toc180155176" w:history="1">
        <w:r w:rsidRPr="00BA492B">
          <w:rPr>
            <w:rStyle w:val="Hyperlink"/>
            <w:rFonts w:cstheme="majorHAnsi"/>
            <w:noProof/>
          </w:rPr>
          <w:t>5.1.</w:t>
        </w:r>
        <w:r>
          <w:rPr>
            <w:rFonts w:cstheme="minorBidi"/>
            <w:i w:val="0"/>
            <w:iCs w:val="0"/>
            <w:noProof/>
            <w:kern w:val="2"/>
            <w:sz w:val="24"/>
            <w:szCs w:val="24"/>
            <w:lang w:val="en-US" w:eastAsia="en-US"/>
            <w14:ligatures w14:val="standardContextual"/>
          </w:rPr>
          <w:tab/>
        </w:r>
        <w:r w:rsidRPr="00BA492B">
          <w:rPr>
            <w:rStyle w:val="Hyperlink"/>
            <w:rFonts w:cstheme="majorHAnsi"/>
            <w:noProof/>
          </w:rPr>
          <w:t>Climate-smart Agriculture</w:t>
        </w:r>
        <w:r>
          <w:rPr>
            <w:noProof/>
            <w:webHidden/>
          </w:rPr>
          <w:tab/>
        </w:r>
        <w:r>
          <w:rPr>
            <w:noProof/>
            <w:webHidden/>
          </w:rPr>
          <w:fldChar w:fldCharType="begin"/>
        </w:r>
        <w:r>
          <w:rPr>
            <w:noProof/>
            <w:webHidden/>
          </w:rPr>
          <w:instrText xml:space="preserve"> PAGEREF _Toc180155176 \h </w:instrText>
        </w:r>
        <w:r>
          <w:rPr>
            <w:noProof/>
            <w:webHidden/>
          </w:rPr>
        </w:r>
        <w:r>
          <w:rPr>
            <w:noProof/>
            <w:webHidden/>
          </w:rPr>
          <w:fldChar w:fldCharType="separate"/>
        </w:r>
        <w:r w:rsidR="009A4647">
          <w:rPr>
            <w:noProof/>
            <w:webHidden/>
          </w:rPr>
          <w:t>62</w:t>
        </w:r>
        <w:r>
          <w:rPr>
            <w:noProof/>
            <w:webHidden/>
          </w:rPr>
          <w:fldChar w:fldCharType="end"/>
        </w:r>
      </w:hyperlink>
    </w:p>
    <w:p w14:paraId="5E1200A6" w14:textId="4742F0F6" w:rsidR="00CD1547" w:rsidRDefault="00CD1547">
      <w:pPr>
        <w:pStyle w:val="TOC2"/>
        <w:tabs>
          <w:tab w:val="left" w:pos="880"/>
          <w:tab w:val="right" w:leader="dot" w:pos="9227"/>
        </w:tabs>
        <w:rPr>
          <w:rFonts w:cstheme="minorBidi"/>
          <w:i w:val="0"/>
          <w:iCs w:val="0"/>
          <w:noProof/>
          <w:kern w:val="2"/>
          <w:sz w:val="24"/>
          <w:szCs w:val="24"/>
          <w:lang w:val="en-US" w:eastAsia="en-US"/>
          <w14:ligatures w14:val="standardContextual"/>
        </w:rPr>
      </w:pPr>
      <w:hyperlink w:anchor="_Toc180155177" w:history="1">
        <w:r w:rsidRPr="00BA492B">
          <w:rPr>
            <w:rStyle w:val="Hyperlink"/>
            <w:rFonts w:cstheme="majorHAnsi"/>
            <w:noProof/>
            <w:lang w:eastAsia="en-US"/>
          </w:rPr>
          <w:t>5.2.</w:t>
        </w:r>
        <w:r>
          <w:rPr>
            <w:rFonts w:cstheme="minorBidi"/>
            <w:i w:val="0"/>
            <w:iCs w:val="0"/>
            <w:noProof/>
            <w:kern w:val="2"/>
            <w:sz w:val="24"/>
            <w:szCs w:val="24"/>
            <w:lang w:val="en-US" w:eastAsia="en-US"/>
            <w14:ligatures w14:val="standardContextual"/>
          </w:rPr>
          <w:tab/>
        </w:r>
        <w:r w:rsidRPr="00BA492B">
          <w:rPr>
            <w:rStyle w:val="Hyperlink"/>
            <w:rFonts w:cstheme="majorHAnsi"/>
            <w:noProof/>
            <w:lang w:eastAsia="en-US"/>
          </w:rPr>
          <w:t>Gender Equality, Disability, and Social Inclusion</w:t>
        </w:r>
        <w:r>
          <w:rPr>
            <w:noProof/>
            <w:webHidden/>
          </w:rPr>
          <w:tab/>
        </w:r>
        <w:r>
          <w:rPr>
            <w:noProof/>
            <w:webHidden/>
          </w:rPr>
          <w:fldChar w:fldCharType="begin"/>
        </w:r>
        <w:r>
          <w:rPr>
            <w:noProof/>
            <w:webHidden/>
          </w:rPr>
          <w:instrText xml:space="preserve"> PAGEREF _Toc180155177 \h </w:instrText>
        </w:r>
        <w:r>
          <w:rPr>
            <w:noProof/>
            <w:webHidden/>
          </w:rPr>
        </w:r>
        <w:r>
          <w:rPr>
            <w:noProof/>
            <w:webHidden/>
          </w:rPr>
          <w:fldChar w:fldCharType="separate"/>
        </w:r>
        <w:r w:rsidR="009A4647">
          <w:rPr>
            <w:noProof/>
            <w:webHidden/>
          </w:rPr>
          <w:t>63</w:t>
        </w:r>
        <w:r>
          <w:rPr>
            <w:noProof/>
            <w:webHidden/>
          </w:rPr>
          <w:fldChar w:fldCharType="end"/>
        </w:r>
      </w:hyperlink>
    </w:p>
    <w:p w14:paraId="38D0785E" w14:textId="4BADD231" w:rsidR="00CD1547" w:rsidRDefault="00CD1547">
      <w:pPr>
        <w:pStyle w:val="TOC2"/>
        <w:tabs>
          <w:tab w:val="left" w:pos="880"/>
          <w:tab w:val="right" w:leader="dot" w:pos="9227"/>
        </w:tabs>
        <w:rPr>
          <w:rFonts w:cstheme="minorBidi"/>
          <w:i w:val="0"/>
          <w:iCs w:val="0"/>
          <w:noProof/>
          <w:kern w:val="2"/>
          <w:sz w:val="24"/>
          <w:szCs w:val="24"/>
          <w:lang w:val="en-US" w:eastAsia="en-US"/>
          <w14:ligatures w14:val="standardContextual"/>
        </w:rPr>
      </w:pPr>
      <w:hyperlink w:anchor="_Toc180155182" w:history="1">
        <w:r w:rsidRPr="00BA492B">
          <w:rPr>
            <w:rStyle w:val="Hyperlink"/>
            <w:rFonts w:cstheme="majorHAnsi"/>
            <w:noProof/>
          </w:rPr>
          <w:t>5.3.</w:t>
        </w:r>
        <w:r>
          <w:rPr>
            <w:rFonts w:cstheme="minorBidi"/>
            <w:i w:val="0"/>
            <w:iCs w:val="0"/>
            <w:noProof/>
            <w:kern w:val="2"/>
            <w:sz w:val="24"/>
            <w:szCs w:val="24"/>
            <w:lang w:val="en-US" w:eastAsia="en-US"/>
            <w14:ligatures w14:val="standardContextual"/>
          </w:rPr>
          <w:tab/>
        </w:r>
        <w:r w:rsidRPr="00BA492B">
          <w:rPr>
            <w:rStyle w:val="Hyperlink"/>
            <w:rFonts w:cstheme="majorHAnsi"/>
            <w:noProof/>
          </w:rPr>
          <w:t>Strategic Communications</w:t>
        </w:r>
        <w:r>
          <w:rPr>
            <w:noProof/>
            <w:webHidden/>
          </w:rPr>
          <w:tab/>
        </w:r>
        <w:r>
          <w:rPr>
            <w:noProof/>
            <w:webHidden/>
          </w:rPr>
          <w:fldChar w:fldCharType="begin"/>
        </w:r>
        <w:r>
          <w:rPr>
            <w:noProof/>
            <w:webHidden/>
          </w:rPr>
          <w:instrText xml:space="preserve"> PAGEREF _Toc180155182 \h </w:instrText>
        </w:r>
        <w:r>
          <w:rPr>
            <w:noProof/>
            <w:webHidden/>
          </w:rPr>
        </w:r>
        <w:r>
          <w:rPr>
            <w:noProof/>
            <w:webHidden/>
          </w:rPr>
          <w:fldChar w:fldCharType="separate"/>
        </w:r>
        <w:r w:rsidR="009A4647">
          <w:rPr>
            <w:noProof/>
            <w:webHidden/>
          </w:rPr>
          <w:t>75</w:t>
        </w:r>
        <w:r>
          <w:rPr>
            <w:noProof/>
            <w:webHidden/>
          </w:rPr>
          <w:fldChar w:fldCharType="end"/>
        </w:r>
      </w:hyperlink>
    </w:p>
    <w:p w14:paraId="0ACEFB6D" w14:textId="6158B0D0" w:rsidR="00CD1547" w:rsidRDefault="00CD1547">
      <w:pPr>
        <w:pStyle w:val="TOC1"/>
        <w:tabs>
          <w:tab w:val="left" w:pos="1320"/>
          <w:tab w:val="right" w:leader="dot" w:pos="9227"/>
        </w:tabs>
        <w:rPr>
          <w:rFonts w:cstheme="minorBidi"/>
          <w:b w:val="0"/>
          <w:bCs w:val="0"/>
          <w:noProof/>
          <w:kern w:val="2"/>
          <w:sz w:val="24"/>
          <w:szCs w:val="24"/>
          <w:lang w:val="en-US" w:eastAsia="en-US"/>
          <w14:ligatures w14:val="standardContextual"/>
        </w:rPr>
      </w:pPr>
      <w:hyperlink w:anchor="_Toc180155189" w:history="1">
        <w:r w:rsidRPr="00BA492B">
          <w:rPr>
            <w:rStyle w:val="Hyperlink"/>
            <w:rFonts w:asciiTheme="majorHAnsi" w:hAnsiTheme="majorHAnsi" w:cstheme="majorHAnsi"/>
            <w:noProof/>
          </w:rPr>
          <w:t>Chapter 6.</w:t>
        </w:r>
        <w:r>
          <w:rPr>
            <w:rFonts w:cstheme="minorBidi"/>
            <w:b w:val="0"/>
            <w:bCs w:val="0"/>
            <w:noProof/>
            <w:kern w:val="2"/>
            <w:sz w:val="24"/>
            <w:szCs w:val="24"/>
            <w:lang w:val="en-US" w:eastAsia="en-US"/>
            <w14:ligatures w14:val="standardContextual"/>
          </w:rPr>
          <w:tab/>
        </w:r>
        <w:r w:rsidRPr="00BA492B">
          <w:rPr>
            <w:rStyle w:val="Hyperlink"/>
            <w:rFonts w:asciiTheme="majorHAnsi" w:hAnsiTheme="majorHAnsi" w:cstheme="majorHAnsi"/>
            <w:noProof/>
          </w:rPr>
          <w:t>Operations</w:t>
        </w:r>
        <w:r>
          <w:rPr>
            <w:noProof/>
            <w:webHidden/>
          </w:rPr>
          <w:tab/>
        </w:r>
        <w:r>
          <w:rPr>
            <w:noProof/>
            <w:webHidden/>
          </w:rPr>
          <w:fldChar w:fldCharType="begin"/>
        </w:r>
        <w:r>
          <w:rPr>
            <w:noProof/>
            <w:webHidden/>
          </w:rPr>
          <w:instrText xml:space="preserve"> PAGEREF _Toc180155189 \h </w:instrText>
        </w:r>
        <w:r>
          <w:rPr>
            <w:noProof/>
            <w:webHidden/>
          </w:rPr>
        </w:r>
        <w:r>
          <w:rPr>
            <w:noProof/>
            <w:webHidden/>
          </w:rPr>
          <w:fldChar w:fldCharType="separate"/>
        </w:r>
        <w:r w:rsidR="009A4647">
          <w:rPr>
            <w:noProof/>
            <w:webHidden/>
          </w:rPr>
          <w:t>79</w:t>
        </w:r>
        <w:r>
          <w:rPr>
            <w:noProof/>
            <w:webHidden/>
          </w:rPr>
          <w:fldChar w:fldCharType="end"/>
        </w:r>
      </w:hyperlink>
    </w:p>
    <w:p w14:paraId="41903141" w14:textId="3E9A9D5D" w:rsidR="00CD1547" w:rsidRDefault="00CD1547">
      <w:pPr>
        <w:pStyle w:val="TOC2"/>
        <w:tabs>
          <w:tab w:val="left" w:pos="880"/>
          <w:tab w:val="right" w:leader="dot" w:pos="9227"/>
        </w:tabs>
        <w:rPr>
          <w:rFonts w:cstheme="minorBidi"/>
          <w:i w:val="0"/>
          <w:iCs w:val="0"/>
          <w:noProof/>
          <w:kern w:val="2"/>
          <w:sz w:val="24"/>
          <w:szCs w:val="24"/>
          <w:lang w:val="en-US" w:eastAsia="en-US"/>
          <w14:ligatures w14:val="standardContextual"/>
        </w:rPr>
      </w:pPr>
      <w:hyperlink w:anchor="_Toc180155190" w:history="1">
        <w:r w:rsidRPr="00BA492B">
          <w:rPr>
            <w:rStyle w:val="Hyperlink"/>
            <w:rFonts w:cstheme="majorHAnsi"/>
            <w:noProof/>
          </w:rPr>
          <w:t>6.1.</w:t>
        </w:r>
        <w:r>
          <w:rPr>
            <w:rFonts w:cstheme="minorBidi"/>
            <w:i w:val="0"/>
            <w:iCs w:val="0"/>
            <w:noProof/>
            <w:kern w:val="2"/>
            <w:sz w:val="24"/>
            <w:szCs w:val="24"/>
            <w:lang w:val="en-US" w:eastAsia="en-US"/>
            <w14:ligatures w14:val="standardContextual"/>
          </w:rPr>
          <w:tab/>
        </w:r>
        <w:r w:rsidRPr="00BA492B">
          <w:rPr>
            <w:rStyle w:val="Hyperlink"/>
            <w:rFonts w:cstheme="majorHAnsi"/>
            <w:noProof/>
          </w:rPr>
          <w:t>Human Resources</w:t>
        </w:r>
        <w:r>
          <w:rPr>
            <w:noProof/>
            <w:webHidden/>
          </w:rPr>
          <w:tab/>
        </w:r>
        <w:r>
          <w:rPr>
            <w:noProof/>
            <w:webHidden/>
          </w:rPr>
          <w:fldChar w:fldCharType="begin"/>
        </w:r>
        <w:r>
          <w:rPr>
            <w:noProof/>
            <w:webHidden/>
          </w:rPr>
          <w:instrText xml:space="preserve"> PAGEREF _Toc180155190 \h </w:instrText>
        </w:r>
        <w:r>
          <w:rPr>
            <w:noProof/>
            <w:webHidden/>
          </w:rPr>
        </w:r>
        <w:r>
          <w:rPr>
            <w:noProof/>
            <w:webHidden/>
          </w:rPr>
          <w:fldChar w:fldCharType="separate"/>
        </w:r>
        <w:r w:rsidR="009A4647">
          <w:rPr>
            <w:noProof/>
            <w:webHidden/>
          </w:rPr>
          <w:t>79</w:t>
        </w:r>
        <w:r>
          <w:rPr>
            <w:noProof/>
            <w:webHidden/>
          </w:rPr>
          <w:fldChar w:fldCharType="end"/>
        </w:r>
      </w:hyperlink>
    </w:p>
    <w:p w14:paraId="53BE6E58" w14:textId="5B077832" w:rsidR="00CD1547" w:rsidRDefault="00CD1547">
      <w:pPr>
        <w:pStyle w:val="TOC2"/>
        <w:tabs>
          <w:tab w:val="left" w:pos="880"/>
          <w:tab w:val="right" w:leader="dot" w:pos="9227"/>
        </w:tabs>
        <w:rPr>
          <w:rFonts w:cstheme="minorBidi"/>
          <w:i w:val="0"/>
          <w:iCs w:val="0"/>
          <w:noProof/>
          <w:kern w:val="2"/>
          <w:sz w:val="24"/>
          <w:szCs w:val="24"/>
          <w:lang w:val="en-US" w:eastAsia="en-US"/>
          <w14:ligatures w14:val="standardContextual"/>
        </w:rPr>
      </w:pPr>
      <w:hyperlink w:anchor="_Toc180155191" w:history="1">
        <w:r w:rsidRPr="00BA492B">
          <w:rPr>
            <w:rStyle w:val="Hyperlink"/>
            <w:noProof/>
          </w:rPr>
          <w:t>6.2.</w:t>
        </w:r>
        <w:r>
          <w:rPr>
            <w:rFonts w:cstheme="minorBidi"/>
            <w:i w:val="0"/>
            <w:iCs w:val="0"/>
            <w:noProof/>
            <w:kern w:val="2"/>
            <w:sz w:val="24"/>
            <w:szCs w:val="24"/>
            <w:lang w:val="en-US" w:eastAsia="en-US"/>
            <w14:ligatures w14:val="standardContextual"/>
          </w:rPr>
          <w:tab/>
        </w:r>
        <w:r w:rsidRPr="00BA492B">
          <w:rPr>
            <w:rStyle w:val="Hyperlink"/>
            <w:rFonts w:cstheme="majorHAnsi"/>
            <w:noProof/>
          </w:rPr>
          <w:t>Operations</w:t>
        </w:r>
        <w:r>
          <w:rPr>
            <w:noProof/>
            <w:webHidden/>
          </w:rPr>
          <w:tab/>
        </w:r>
        <w:r>
          <w:rPr>
            <w:noProof/>
            <w:webHidden/>
          </w:rPr>
          <w:fldChar w:fldCharType="begin"/>
        </w:r>
        <w:r>
          <w:rPr>
            <w:noProof/>
            <w:webHidden/>
          </w:rPr>
          <w:instrText xml:space="preserve"> PAGEREF _Toc180155191 \h </w:instrText>
        </w:r>
        <w:r>
          <w:rPr>
            <w:noProof/>
            <w:webHidden/>
          </w:rPr>
        </w:r>
        <w:r>
          <w:rPr>
            <w:noProof/>
            <w:webHidden/>
          </w:rPr>
          <w:fldChar w:fldCharType="separate"/>
        </w:r>
        <w:r w:rsidR="009A4647">
          <w:rPr>
            <w:noProof/>
            <w:webHidden/>
          </w:rPr>
          <w:t>79</w:t>
        </w:r>
        <w:r>
          <w:rPr>
            <w:noProof/>
            <w:webHidden/>
          </w:rPr>
          <w:fldChar w:fldCharType="end"/>
        </w:r>
      </w:hyperlink>
    </w:p>
    <w:p w14:paraId="3955A985" w14:textId="7E3202C9" w:rsidR="00CD1547" w:rsidRDefault="00CD1547">
      <w:pPr>
        <w:pStyle w:val="TOC1"/>
        <w:tabs>
          <w:tab w:val="left" w:pos="1320"/>
          <w:tab w:val="right" w:leader="dot" w:pos="9227"/>
        </w:tabs>
        <w:rPr>
          <w:rFonts w:cstheme="minorBidi"/>
          <w:b w:val="0"/>
          <w:bCs w:val="0"/>
          <w:noProof/>
          <w:kern w:val="2"/>
          <w:sz w:val="24"/>
          <w:szCs w:val="24"/>
          <w:lang w:val="en-US" w:eastAsia="en-US"/>
          <w14:ligatures w14:val="standardContextual"/>
        </w:rPr>
      </w:pPr>
      <w:hyperlink w:anchor="_Toc180155193" w:history="1">
        <w:r w:rsidRPr="00BA492B">
          <w:rPr>
            <w:rStyle w:val="Hyperlink"/>
            <w:rFonts w:asciiTheme="majorHAnsi" w:hAnsiTheme="majorHAnsi" w:cstheme="majorHAnsi"/>
            <w:noProof/>
          </w:rPr>
          <w:t>Chapter 7.</w:t>
        </w:r>
        <w:r>
          <w:rPr>
            <w:rFonts w:cstheme="minorBidi"/>
            <w:b w:val="0"/>
            <w:bCs w:val="0"/>
            <w:noProof/>
            <w:kern w:val="2"/>
            <w:sz w:val="24"/>
            <w:szCs w:val="24"/>
            <w:lang w:val="en-US" w:eastAsia="en-US"/>
            <w14:ligatures w14:val="standardContextual"/>
          </w:rPr>
          <w:tab/>
        </w:r>
        <w:r w:rsidRPr="00BA492B">
          <w:rPr>
            <w:rStyle w:val="Hyperlink"/>
            <w:rFonts w:asciiTheme="majorHAnsi" w:hAnsiTheme="majorHAnsi" w:cstheme="majorHAnsi"/>
            <w:noProof/>
          </w:rPr>
          <w:t>Annexures</w:t>
        </w:r>
        <w:r>
          <w:rPr>
            <w:noProof/>
            <w:webHidden/>
          </w:rPr>
          <w:tab/>
        </w:r>
        <w:r>
          <w:rPr>
            <w:noProof/>
            <w:webHidden/>
          </w:rPr>
          <w:fldChar w:fldCharType="begin"/>
        </w:r>
        <w:r>
          <w:rPr>
            <w:noProof/>
            <w:webHidden/>
          </w:rPr>
          <w:instrText xml:space="preserve"> PAGEREF _Toc180155193 \h </w:instrText>
        </w:r>
        <w:r>
          <w:rPr>
            <w:noProof/>
            <w:webHidden/>
          </w:rPr>
        </w:r>
        <w:r>
          <w:rPr>
            <w:noProof/>
            <w:webHidden/>
          </w:rPr>
          <w:fldChar w:fldCharType="separate"/>
        </w:r>
        <w:r w:rsidR="009A4647">
          <w:rPr>
            <w:noProof/>
            <w:webHidden/>
          </w:rPr>
          <w:t>81</w:t>
        </w:r>
        <w:r>
          <w:rPr>
            <w:noProof/>
            <w:webHidden/>
          </w:rPr>
          <w:fldChar w:fldCharType="end"/>
        </w:r>
      </w:hyperlink>
    </w:p>
    <w:p w14:paraId="26552CA2" w14:textId="5F61EE17" w:rsidR="00CD1547" w:rsidRDefault="00CD1547">
      <w:pPr>
        <w:pStyle w:val="TOC2"/>
        <w:tabs>
          <w:tab w:val="left" w:pos="880"/>
          <w:tab w:val="right" w:leader="dot" w:pos="9227"/>
        </w:tabs>
        <w:rPr>
          <w:rFonts w:cstheme="minorBidi"/>
          <w:i w:val="0"/>
          <w:iCs w:val="0"/>
          <w:noProof/>
          <w:kern w:val="2"/>
          <w:sz w:val="24"/>
          <w:szCs w:val="24"/>
          <w:lang w:val="en-US" w:eastAsia="en-US"/>
          <w14:ligatures w14:val="standardContextual"/>
        </w:rPr>
      </w:pPr>
      <w:hyperlink w:anchor="_Toc180155194" w:history="1">
        <w:r w:rsidRPr="00BA492B">
          <w:rPr>
            <w:rStyle w:val="Hyperlink"/>
            <w:rFonts w:cstheme="majorHAnsi"/>
            <w:noProof/>
          </w:rPr>
          <w:t>7.1.</w:t>
        </w:r>
        <w:r>
          <w:rPr>
            <w:rFonts w:cstheme="minorBidi"/>
            <w:i w:val="0"/>
            <w:iCs w:val="0"/>
            <w:noProof/>
            <w:kern w:val="2"/>
            <w:sz w:val="24"/>
            <w:szCs w:val="24"/>
            <w:lang w:val="en-US" w:eastAsia="en-US"/>
            <w14:ligatures w14:val="standardContextual"/>
          </w:rPr>
          <w:tab/>
        </w:r>
        <w:r w:rsidRPr="00BA492B">
          <w:rPr>
            <w:rStyle w:val="Hyperlink"/>
            <w:rFonts w:cstheme="majorHAnsi"/>
            <w:noProof/>
          </w:rPr>
          <w:t>Annex 1: Sectors Progress</w:t>
        </w:r>
        <w:r>
          <w:rPr>
            <w:noProof/>
            <w:webHidden/>
          </w:rPr>
          <w:tab/>
        </w:r>
        <w:r>
          <w:rPr>
            <w:noProof/>
            <w:webHidden/>
          </w:rPr>
          <w:fldChar w:fldCharType="begin"/>
        </w:r>
        <w:r>
          <w:rPr>
            <w:noProof/>
            <w:webHidden/>
          </w:rPr>
          <w:instrText xml:space="preserve"> PAGEREF _Toc180155194 \h </w:instrText>
        </w:r>
        <w:r>
          <w:rPr>
            <w:noProof/>
            <w:webHidden/>
          </w:rPr>
        </w:r>
        <w:r>
          <w:rPr>
            <w:noProof/>
            <w:webHidden/>
          </w:rPr>
          <w:fldChar w:fldCharType="separate"/>
        </w:r>
        <w:r w:rsidR="009A4647">
          <w:rPr>
            <w:noProof/>
            <w:webHidden/>
          </w:rPr>
          <w:t>81</w:t>
        </w:r>
        <w:r>
          <w:rPr>
            <w:noProof/>
            <w:webHidden/>
          </w:rPr>
          <w:fldChar w:fldCharType="end"/>
        </w:r>
      </w:hyperlink>
    </w:p>
    <w:p w14:paraId="2C9E0A1C" w14:textId="200C90E1" w:rsidR="00CD1547" w:rsidRDefault="00CD1547">
      <w:pPr>
        <w:pStyle w:val="TOC2"/>
        <w:tabs>
          <w:tab w:val="left" w:pos="880"/>
          <w:tab w:val="right" w:leader="dot" w:pos="9227"/>
        </w:tabs>
        <w:rPr>
          <w:rFonts w:cstheme="minorBidi"/>
          <w:i w:val="0"/>
          <w:iCs w:val="0"/>
          <w:noProof/>
          <w:kern w:val="2"/>
          <w:sz w:val="24"/>
          <w:szCs w:val="24"/>
          <w:lang w:val="en-US" w:eastAsia="en-US"/>
          <w14:ligatures w14:val="standardContextual"/>
        </w:rPr>
      </w:pPr>
      <w:hyperlink w:anchor="_Toc180155195" w:history="1">
        <w:r w:rsidRPr="00BA492B">
          <w:rPr>
            <w:rStyle w:val="Hyperlink"/>
            <w:rFonts w:cstheme="majorHAnsi"/>
            <w:noProof/>
          </w:rPr>
          <w:t>7.2.</w:t>
        </w:r>
        <w:r>
          <w:rPr>
            <w:rFonts w:cstheme="minorBidi"/>
            <w:i w:val="0"/>
            <w:iCs w:val="0"/>
            <w:noProof/>
            <w:kern w:val="2"/>
            <w:sz w:val="24"/>
            <w:szCs w:val="24"/>
            <w:lang w:val="en-US" w:eastAsia="en-US"/>
            <w14:ligatures w14:val="standardContextual"/>
          </w:rPr>
          <w:tab/>
        </w:r>
        <w:r w:rsidRPr="00BA492B">
          <w:rPr>
            <w:rStyle w:val="Hyperlink"/>
            <w:rFonts w:cstheme="majorHAnsi"/>
            <w:noProof/>
          </w:rPr>
          <w:t>Annex 2: High-Priority Policy Initiatives</w:t>
        </w:r>
        <w:r>
          <w:rPr>
            <w:noProof/>
            <w:webHidden/>
          </w:rPr>
          <w:tab/>
        </w:r>
        <w:r>
          <w:rPr>
            <w:noProof/>
            <w:webHidden/>
          </w:rPr>
          <w:fldChar w:fldCharType="begin"/>
        </w:r>
        <w:r>
          <w:rPr>
            <w:noProof/>
            <w:webHidden/>
          </w:rPr>
          <w:instrText xml:space="preserve"> PAGEREF _Toc180155195 \h </w:instrText>
        </w:r>
        <w:r>
          <w:rPr>
            <w:noProof/>
            <w:webHidden/>
          </w:rPr>
        </w:r>
        <w:r>
          <w:rPr>
            <w:noProof/>
            <w:webHidden/>
          </w:rPr>
          <w:fldChar w:fldCharType="separate"/>
        </w:r>
        <w:r w:rsidR="009A4647">
          <w:rPr>
            <w:noProof/>
            <w:webHidden/>
          </w:rPr>
          <w:t>148</w:t>
        </w:r>
        <w:r>
          <w:rPr>
            <w:noProof/>
            <w:webHidden/>
          </w:rPr>
          <w:fldChar w:fldCharType="end"/>
        </w:r>
      </w:hyperlink>
    </w:p>
    <w:p w14:paraId="45F6A40C" w14:textId="40798DB6" w:rsidR="00CD1547" w:rsidRDefault="00CD1547">
      <w:pPr>
        <w:pStyle w:val="TOC2"/>
        <w:tabs>
          <w:tab w:val="left" w:pos="880"/>
          <w:tab w:val="right" w:leader="dot" w:pos="9227"/>
        </w:tabs>
        <w:rPr>
          <w:rFonts w:cstheme="minorBidi"/>
          <w:i w:val="0"/>
          <w:iCs w:val="0"/>
          <w:noProof/>
          <w:kern w:val="2"/>
          <w:sz w:val="24"/>
          <w:szCs w:val="24"/>
          <w:lang w:val="en-US" w:eastAsia="en-US"/>
          <w14:ligatures w14:val="standardContextual"/>
        </w:rPr>
      </w:pPr>
      <w:hyperlink w:anchor="_Toc180155196" w:history="1">
        <w:r w:rsidRPr="00BA492B">
          <w:rPr>
            <w:rStyle w:val="Hyperlink"/>
            <w:noProof/>
          </w:rPr>
          <w:t>7.3.</w:t>
        </w:r>
        <w:r>
          <w:rPr>
            <w:rFonts w:cstheme="minorBidi"/>
            <w:i w:val="0"/>
            <w:iCs w:val="0"/>
            <w:noProof/>
            <w:kern w:val="2"/>
            <w:sz w:val="24"/>
            <w:szCs w:val="24"/>
            <w:lang w:val="en-US" w:eastAsia="en-US"/>
            <w14:ligatures w14:val="standardContextual"/>
          </w:rPr>
          <w:tab/>
        </w:r>
        <w:r w:rsidRPr="00BA492B">
          <w:rPr>
            <w:rStyle w:val="Hyperlink"/>
            <w:noProof/>
          </w:rPr>
          <w:t>Annex 3: Detailed Key Performance Indicators</w:t>
        </w:r>
        <w:r>
          <w:rPr>
            <w:noProof/>
            <w:webHidden/>
          </w:rPr>
          <w:tab/>
        </w:r>
        <w:r>
          <w:rPr>
            <w:noProof/>
            <w:webHidden/>
          </w:rPr>
          <w:fldChar w:fldCharType="begin"/>
        </w:r>
        <w:r>
          <w:rPr>
            <w:noProof/>
            <w:webHidden/>
          </w:rPr>
          <w:instrText xml:space="preserve"> PAGEREF _Toc180155196 \h </w:instrText>
        </w:r>
        <w:r>
          <w:rPr>
            <w:noProof/>
            <w:webHidden/>
          </w:rPr>
        </w:r>
        <w:r>
          <w:rPr>
            <w:noProof/>
            <w:webHidden/>
          </w:rPr>
          <w:fldChar w:fldCharType="separate"/>
        </w:r>
        <w:r w:rsidR="009A4647">
          <w:rPr>
            <w:noProof/>
            <w:webHidden/>
          </w:rPr>
          <w:t>162</w:t>
        </w:r>
        <w:r>
          <w:rPr>
            <w:noProof/>
            <w:webHidden/>
          </w:rPr>
          <w:fldChar w:fldCharType="end"/>
        </w:r>
      </w:hyperlink>
    </w:p>
    <w:p w14:paraId="70E99D3D" w14:textId="5F92E13D" w:rsidR="00AD0007" w:rsidRPr="00C64064" w:rsidRDefault="006A0A1B" w:rsidP="00450972">
      <w:pPr>
        <w:pStyle w:val="TOC1"/>
        <w:tabs>
          <w:tab w:val="right" w:leader="dot" w:pos="9227"/>
        </w:tabs>
        <w:rPr>
          <w:rFonts w:asciiTheme="majorHAnsi" w:hAnsiTheme="majorHAnsi" w:cstheme="majorHAnsi"/>
        </w:rPr>
      </w:pPr>
      <w:r>
        <w:rPr>
          <w:rFonts w:eastAsiaTheme="majorEastAsia" w:cstheme="majorHAnsi"/>
          <w:b w:val="0"/>
          <w:bCs w:val="0"/>
          <w:caps/>
          <w:color w:val="02616F" w:themeColor="accent1" w:themeShade="80"/>
        </w:rPr>
        <w:lastRenderedPageBreak/>
        <w:fldChar w:fldCharType="end"/>
      </w:r>
      <w:bookmarkStart w:id="1" w:name="_Toc167702227"/>
    </w:p>
    <w:p w14:paraId="528C6FBD" w14:textId="77777777" w:rsidR="00794F83" w:rsidRDefault="00794F83">
      <w:pPr>
        <w:rPr>
          <w:rFonts w:asciiTheme="majorHAnsi" w:eastAsiaTheme="majorEastAsia" w:hAnsiTheme="majorHAnsi" w:cstheme="majorHAnsi"/>
          <w:color w:val="252D65"/>
          <w:sz w:val="56"/>
          <w:szCs w:val="36"/>
          <w:u w:color="252E65"/>
        </w:rPr>
      </w:pPr>
      <w:r>
        <w:rPr>
          <w:rFonts w:asciiTheme="majorHAnsi" w:hAnsiTheme="majorHAnsi" w:cstheme="majorHAnsi"/>
        </w:rPr>
        <w:br w:type="page"/>
      </w:r>
    </w:p>
    <w:p w14:paraId="05F74D11" w14:textId="77777777" w:rsidR="00794F83" w:rsidRDefault="00794F83" w:rsidP="0083277E">
      <w:pPr>
        <w:pStyle w:val="Head1nonumber"/>
        <w:rPr>
          <w:rFonts w:asciiTheme="majorHAnsi" w:hAnsiTheme="majorHAnsi" w:cstheme="majorHAnsi"/>
        </w:rPr>
      </w:pPr>
    </w:p>
    <w:p w14:paraId="7E5417FB" w14:textId="4AD5C51A" w:rsidR="00411466" w:rsidRPr="00C64064" w:rsidRDefault="00411466" w:rsidP="0083277E">
      <w:pPr>
        <w:pStyle w:val="Head1nonumber"/>
        <w:rPr>
          <w:rFonts w:asciiTheme="majorHAnsi" w:hAnsiTheme="majorHAnsi" w:cstheme="majorHAnsi"/>
        </w:rPr>
      </w:pPr>
      <w:bookmarkStart w:id="2" w:name="_Toc180155142"/>
      <w:r w:rsidRPr="00C64064">
        <w:rPr>
          <w:rFonts w:asciiTheme="majorHAnsi" w:hAnsiTheme="majorHAnsi" w:cstheme="majorHAnsi"/>
        </w:rPr>
        <w:t xml:space="preserve">Purpose of this </w:t>
      </w:r>
      <w:r w:rsidR="00CA566D" w:rsidRPr="00C64064">
        <w:rPr>
          <w:rFonts w:asciiTheme="majorHAnsi" w:hAnsiTheme="majorHAnsi" w:cstheme="majorHAnsi"/>
        </w:rPr>
        <w:t>R</w:t>
      </w:r>
      <w:r w:rsidRPr="00C64064">
        <w:rPr>
          <w:rFonts w:asciiTheme="majorHAnsi" w:hAnsiTheme="majorHAnsi" w:cstheme="majorHAnsi"/>
        </w:rPr>
        <w:t>eport</w:t>
      </w:r>
      <w:bookmarkEnd w:id="1"/>
      <w:bookmarkEnd w:id="2"/>
      <w:r w:rsidRPr="00C64064">
        <w:rPr>
          <w:rFonts w:asciiTheme="majorHAnsi" w:hAnsiTheme="majorHAnsi" w:cstheme="majorHAnsi"/>
        </w:rPr>
        <w:t xml:space="preserve"> </w:t>
      </w:r>
    </w:p>
    <w:p w14:paraId="7FCC8D44" w14:textId="77777777" w:rsidR="00FA4C3E" w:rsidRPr="00C64064" w:rsidRDefault="00FA4C3E" w:rsidP="0083277E">
      <w:pPr>
        <w:pStyle w:val="Body"/>
        <w:rPr>
          <w:rFonts w:asciiTheme="majorHAnsi" w:hAnsiTheme="majorHAnsi" w:cstheme="majorHAnsi"/>
        </w:rPr>
      </w:pPr>
    </w:p>
    <w:p w14:paraId="7B28E0EE" w14:textId="5061A101" w:rsidR="00411466" w:rsidRPr="00C64064" w:rsidRDefault="00411466" w:rsidP="0083277E">
      <w:pPr>
        <w:pStyle w:val="Body"/>
        <w:rPr>
          <w:rFonts w:asciiTheme="majorHAnsi" w:hAnsiTheme="majorHAnsi" w:cstheme="majorHAnsi"/>
        </w:rPr>
      </w:pPr>
      <w:r w:rsidRPr="00C64064">
        <w:rPr>
          <w:rFonts w:asciiTheme="majorHAnsi" w:hAnsiTheme="majorHAnsi" w:cstheme="majorHAnsi"/>
        </w:rPr>
        <w:t xml:space="preserve">This report outlines the semester progress of the Australia-Indonesia Partnership for </w:t>
      </w:r>
      <w:r w:rsidR="00686A1D" w:rsidRPr="00C64064">
        <w:rPr>
          <w:rFonts w:asciiTheme="majorHAnsi" w:hAnsiTheme="majorHAnsi" w:cstheme="majorHAnsi"/>
        </w:rPr>
        <w:t xml:space="preserve">Promoting </w:t>
      </w:r>
      <w:r w:rsidRPr="00C64064">
        <w:rPr>
          <w:rFonts w:asciiTheme="majorHAnsi" w:hAnsiTheme="majorHAnsi" w:cstheme="majorHAnsi"/>
        </w:rPr>
        <w:t xml:space="preserve">Rural Incomes </w:t>
      </w:r>
      <w:r w:rsidR="00CA566D" w:rsidRPr="00C64064">
        <w:rPr>
          <w:rFonts w:asciiTheme="majorHAnsi" w:hAnsiTheme="majorHAnsi" w:cstheme="majorHAnsi"/>
        </w:rPr>
        <w:t>t</w:t>
      </w:r>
      <w:r w:rsidRPr="00C64064">
        <w:rPr>
          <w:rFonts w:asciiTheme="majorHAnsi" w:hAnsiTheme="majorHAnsi" w:cstheme="majorHAnsi"/>
        </w:rPr>
        <w:t>hrough the Support for Markets in Agriculture (PRISMA) against the previous annual plan. The report follows the Australian Department of Foreign Affairs and Trade (DFAT) guidelines on progress reporting.</w:t>
      </w:r>
    </w:p>
    <w:p w14:paraId="6A4A0843" w14:textId="3B176261" w:rsidR="00411466" w:rsidRPr="00B03C3A" w:rsidRDefault="00411466" w:rsidP="00B03C3A">
      <w:pPr>
        <w:pStyle w:val="Head3"/>
      </w:pPr>
      <w:bookmarkStart w:id="3" w:name="_Toc167702228"/>
      <w:bookmarkStart w:id="4" w:name="_Toc168321389"/>
      <w:bookmarkStart w:id="5" w:name="_Toc168321630"/>
      <w:bookmarkStart w:id="6" w:name="_Toc180155143"/>
      <w:r w:rsidRPr="00B03C3A">
        <w:t>Audience</w:t>
      </w:r>
      <w:bookmarkEnd w:id="3"/>
      <w:bookmarkEnd w:id="4"/>
      <w:bookmarkEnd w:id="5"/>
      <w:bookmarkEnd w:id="6"/>
      <w:r w:rsidRPr="00B03C3A">
        <w:t xml:space="preserve"> </w:t>
      </w:r>
    </w:p>
    <w:p w14:paraId="352BF1A5" w14:textId="77777777" w:rsidR="00411466" w:rsidRPr="00C64064" w:rsidRDefault="00411466" w:rsidP="0083277E">
      <w:pPr>
        <w:pStyle w:val="Body"/>
        <w:rPr>
          <w:rFonts w:asciiTheme="majorHAnsi" w:hAnsiTheme="majorHAnsi" w:cstheme="majorHAnsi"/>
        </w:rPr>
      </w:pPr>
      <w:r w:rsidRPr="00C64064">
        <w:rPr>
          <w:rFonts w:asciiTheme="majorHAnsi" w:hAnsiTheme="majorHAnsi" w:cstheme="majorHAnsi"/>
        </w:rPr>
        <w:t>This report has been written for DFAT employees, the Indonesian National Development Planning Agency (Bappenas), and other program stakeholders.</w:t>
      </w:r>
    </w:p>
    <w:p w14:paraId="71E211B8" w14:textId="5FD460E7" w:rsidR="00903EB7" w:rsidRPr="00C64064" w:rsidRDefault="00483956" w:rsidP="0083277E">
      <w:pPr>
        <w:pStyle w:val="Body"/>
        <w:rPr>
          <w:rFonts w:asciiTheme="majorHAnsi" w:hAnsiTheme="majorHAnsi" w:cstheme="majorHAnsi"/>
        </w:rPr>
      </w:pPr>
      <w:r w:rsidRPr="00C64064">
        <w:rPr>
          <w:rFonts w:asciiTheme="majorHAnsi" w:hAnsiTheme="majorHAnsi" w:cstheme="majorHAnsi"/>
        </w:rPr>
        <w:br/>
      </w:r>
      <w:r w:rsidR="00411466" w:rsidRPr="00C64064">
        <w:rPr>
          <w:rFonts w:asciiTheme="majorHAnsi" w:hAnsiTheme="majorHAnsi" w:cstheme="majorHAnsi"/>
        </w:rPr>
        <w:t xml:space="preserve">The Progress Report and Implementation Plan (PRIP) is the </w:t>
      </w:r>
      <w:r w:rsidR="005B32E8" w:rsidRPr="00C64064">
        <w:rPr>
          <w:rFonts w:asciiTheme="majorHAnsi" w:hAnsiTheme="majorHAnsi" w:cstheme="majorHAnsi"/>
        </w:rPr>
        <w:t>primary</w:t>
      </w:r>
      <w:r w:rsidR="00411466" w:rsidRPr="00C64064">
        <w:rPr>
          <w:rFonts w:asciiTheme="majorHAnsi" w:hAnsiTheme="majorHAnsi" w:cstheme="majorHAnsi"/>
        </w:rPr>
        <w:t xml:space="preserve"> coordination document between the </w:t>
      </w:r>
      <w:r w:rsidR="00294F93" w:rsidRPr="00C64064">
        <w:rPr>
          <w:rFonts w:asciiTheme="majorHAnsi" w:hAnsiTheme="majorHAnsi" w:cstheme="majorHAnsi"/>
        </w:rPr>
        <w:t>governments of Australia and</w:t>
      </w:r>
      <w:r w:rsidR="00216852" w:rsidRPr="00C64064">
        <w:rPr>
          <w:rFonts w:asciiTheme="majorHAnsi" w:hAnsiTheme="majorHAnsi" w:cstheme="majorHAnsi"/>
        </w:rPr>
        <w:t xml:space="preserve"> </w:t>
      </w:r>
      <w:r w:rsidR="003A20FE" w:rsidRPr="00C64064">
        <w:rPr>
          <w:rFonts w:asciiTheme="majorHAnsi" w:hAnsiTheme="majorHAnsi" w:cstheme="majorHAnsi"/>
        </w:rPr>
        <w:t xml:space="preserve">Indonesia. </w:t>
      </w:r>
    </w:p>
    <w:p w14:paraId="08CEA454" w14:textId="7A293954" w:rsidR="00411466" w:rsidRPr="00C64064" w:rsidRDefault="00BF32AC" w:rsidP="00B03C3A">
      <w:pPr>
        <w:pStyle w:val="Head3"/>
      </w:pPr>
      <w:bookmarkStart w:id="7" w:name="_Toc167702229"/>
      <w:bookmarkStart w:id="8" w:name="_Toc168321390"/>
      <w:bookmarkStart w:id="9" w:name="_Toc168321631"/>
      <w:bookmarkStart w:id="10" w:name="_Toc180155144"/>
      <w:r w:rsidRPr="00C64064">
        <w:t>Report</w:t>
      </w:r>
      <w:r w:rsidR="00411466" w:rsidRPr="00C64064">
        <w:t>ing Period</w:t>
      </w:r>
      <w:bookmarkEnd w:id="7"/>
      <w:bookmarkEnd w:id="8"/>
      <w:bookmarkEnd w:id="9"/>
      <w:bookmarkEnd w:id="10"/>
      <w:r w:rsidR="00411466" w:rsidRPr="00C64064">
        <w:t xml:space="preserve"> </w:t>
      </w:r>
    </w:p>
    <w:p w14:paraId="7A82CDF4" w14:textId="17CC20EC" w:rsidR="00411466" w:rsidRPr="00C64064" w:rsidRDefault="00411466" w:rsidP="0083277E">
      <w:pPr>
        <w:pStyle w:val="Body"/>
        <w:rPr>
          <w:rFonts w:asciiTheme="majorHAnsi" w:hAnsiTheme="majorHAnsi" w:cstheme="majorHAnsi"/>
        </w:rPr>
      </w:pPr>
      <w:r w:rsidRPr="00C64064">
        <w:rPr>
          <w:rFonts w:asciiTheme="majorHAnsi" w:hAnsiTheme="majorHAnsi" w:cstheme="majorHAnsi"/>
        </w:rPr>
        <w:t xml:space="preserve">This PRIP covers PRISMA’s performance between 1 </w:t>
      </w:r>
      <w:r w:rsidR="00686A1D" w:rsidRPr="00C64064">
        <w:rPr>
          <w:rFonts w:asciiTheme="majorHAnsi" w:hAnsiTheme="majorHAnsi" w:cstheme="majorHAnsi"/>
        </w:rPr>
        <w:t>J</w:t>
      </w:r>
      <w:r w:rsidR="00634E60" w:rsidRPr="00C64064">
        <w:rPr>
          <w:rFonts w:asciiTheme="majorHAnsi" w:hAnsiTheme="majorHAnsi" w:cstheme="majorHAnsi"/>
        </w:rPr>
        <w:t>anuary</w:t>
      </w:r>
      <w:r w:rsidRPr="00C64064">
        <w:rPr>
          <w:rFonts w:asciiTheme="majorHAnsi" w:hAnsiTheme="majorHAnsi" w:cstheme="majorHAnsi"/>
        </w:rPr>
        <w:t xml:space="preserve"> and 3</w:t>
      </w:r>
      <w:r w:rsidR="00634E60" w:rsidRPr="00C64064">
        <w:rPr>
          <w:rFonts w:asciiTheme="majorHAnsi" w:hAnsiTheme="majorHAnsi" w:cstheme="majorHAnsi"/>
        </w:rPr>
        <w:t>0</w:t>
      </w:r>
      <w:r w:rsidRPr="00C64064">
        <w:rPr>
          <w:rFonts w:asciiTheme="majorHAnsi" w:hAnsiTheme="majorHAnsi" w:cstheme="majorHAnsi"/>
        </w:rPr>
        <w:t xml:space="preserve"> </w:t>
      </w:r>
      <w:r w:rsidR="00634E60" w:rsidRPr="00C64064">
        <w:rPr>
          <w:rFonts w:asciiTheme="majorHAnsi" w:hAnsiTheme="majorHAnsi" w:cstheme="majorHAnsi"/>
        </w:rPr>
        <w:t>June</w:t>
      </w:r>
      <w:r w:rsidR="00686A1D" w:rsidRPr="00C64064">
        <w:rPr>
          <w:rFonts w:asciiTheme="majorHAnsi" w:hAnsiTheme="majorHAnsi" w:cstheme="majorHAnsi"/>
        </w:rPr>
        <w:t xml:space="preserve"> </w:t>
      </w:r>
      <w:r w:rsidRPr="00C64064">
        <w:rPr>
          <w:rFonts w:asciiTheme="majorHAnsi" w:hAnsiTheme="majorHAnsi" w:cstheme="majorHAnsi"/>
        </w:rPr>
        <w:t>202</w:t>
      </w:r>
      <w:r w:rsidR="00634E60" w:rsidRPr="00C64064">
        <w:rPr>
          <w:rFonts w:asciiTheme="majorHAnsi" w:hAnsiTheme="majorHAnsi" w:cstheme="majorHAnsi"/>
        </w:rPr>
        <w:t>4</w:t>
      </w:r>
      <w:r w:rsidRPr="00C64064">
        <w:rPr>
          <w:rFonts w:asciiTheme="majorHAnsi" w:hAnsiTheme="majorHAnsi" w:cstheme="majorHAnsi"/>
        </w:rPr>
        <w:t xml:space="preserve">. This period is referred to as ‘semester </w:t>
      </w:r>
      <w:r w:rsidR="00634E60" w:rsidRPr="00C64064">
        <w:rPr>
          <w:rFonts w:asciiTheme="majorHAnsi" w:hAnsiTheme="majorHAnsi" w:cstheme="majorHAnsi"/>
        </w:rPr>
        <w:t>1</w:t>
      </w:r>
      <w:r w:rsidRPr="00C64064">
        <w:rPr>
          <w:rFonts w:asciiTheme="majorHAnsi" w:hAnsiTheme="majorHAnsi" w:cstheme="majorHAnsi"/>
        </w:rPr>
        <w:t>’, ‘S</w:t>
      </w:r>
      <w:r w:rsidR="00634E60" w:rsidRPr="00C64064">
        <w:rPr>
          <w:rFonts w:asciiTheme="majorHAnsi" w:hAnsiTheme="majorHAnsi" w:cstheme="majorHAnsi"/>
        </w:rPr>
        <w:t>1</w:t>
      </w:r>
      <w:r w:rsidRPr="00C64064">
        <w:rPr>
          <w:rFonts w:asciiTheme="majorHAnsi" w:hAnsiTheme="majorHAnsi" w:cstheme="majorHAnsi"/>
        </w:rPr>
        <w:t xml:space="preserve">’ or the ‘reporting period’ in this report. </w:t>
      </w:r>
    </w:p>
    <w:p w14:paraId="48478462" w14:textId="45D12D6A" w:rsidR="00071996" w:rsidRPr="00C64064" w:rsidRDefault="00071996" w:rsidP="0045601F">
      <w:pPr>
        <w:spacing w:line="276" w:lineRule="auto"/>
        <w:rPr>
          <w:rFonts w:asciiTheme="majorHAnsi" w:hAnsiTheme="majorHAnsi" w:cstheme="majorHAnsi"/>
          <w:color w:val="000000"/>
        </w:rPr>
      </w:pPr>
      <w:r w:rsidRPr="00C64064">
        <w:rPr>
          <w:rFonts w:asciiTheme="majorHAnsi" w:hAnsiTheme="majorHAnsi" w:cstheme="majorHAnsi"/>
        </w:rPr>
        <w:br w:type="page"/>
      </w:r>
    </w:p>
    <w:p w14:paraId="04C80850" w14:textId="77777777" w:rsidR="00411466" w:rsidRPr="00C64064" w:rsidRDefault="00411466" w:rsidP="00C72B45">
      <w:pPr>
        <w:pStyle w:val="Body"/>
        <w:rPr>
          <w:rFonts w:asciiTheme="majorHAnsi" w:hAnsiTheme="majorHAnsi" w:cstheme="majorHAnsi"/>
        </w:rPr>
      </w:pPr>
    </w:p>
    <w:p w14:paraId="417C4672" w14:textId="64FF46CD" w:rsidR="00E57F2E" w:rsidRPr="00C64064" w:rsidRDefault="652F8BEE" w:rsidP="005D3C20">
      <w:pPr>
        <w:spacing w:line="276" w:lineRule="auto"/>
        <w:rPr>
          <w:rFonts w:asciiTheme="majorHAnsi" w:hAnsiTheme="majorHAnsi" w:cstheme="majorHAnsi"/>
          <w:b/>
        </w:rPr>
      </w:pPr>
      <w:r w:rsidRPr="00C64064">
        <w:rPr>
          <w:rFonts w:asciiTheme="majorHAnsi" w:hAnsiTheme="majorHAnsi" w:cstheme="majorHAnsi"/>
          <w:b/>
          <w:bCs/>
        </w:rPr>
        <w:t xml:space="preserve">List of abbreviations </w:t>
      </w:r>
    </w:p>
    <w:tbl>
      <w:tblPr>
        <w:tblW w:w="9360" w:type="dxa"/>
        <w:tblInd w:w="170" w:type="dxa"/>
        <w:tblBorders>
          <w:top w:val="single" w:sz="4" w:space="0" w:color="auto"/>
          <w:bottom w:val="single" w:sz="4" w:space="0" w:color="auto"/>
          <w:insideH w:val="single" w:sz="4" w:space="0" w:color="auto"/>
        </w:tblBorders>
        <w:tblLayout w:type="fixed"/>
        <w:tblCellMar>
          <w:left w:w="0" w:type="dxa"/>
          <w:right w:w="0" w:type="dxa"/>
        </w:tblCellMar>
        <w:tblLook w:val="0000" w:firstRow="0" w:lastRow="0" w:firstColumn="0" w:lastColumn="0" w:noHBand="0" w:noVBand="0"/>
      </w:tblPr>
      <w:tblGrid>
        <w:gridCol w:w="2520"/>
        <w:gridCol w:w="6840"/>
      </w:tblGrid>
      <w:tr w:rsidR="00D47DCF" w:rsidRPr="00C64064" w14:paraId="54B94522" w14:textId="77777777">
        <w:trPr>
          <w:trHeight w:val="436"/>
        </w:trPr>
        <w:tc>
          <w:tcPr>
            <w:tcW w:w="2520" w:type="dxa"/>
            <w:tcBorders>
              <w:top w:val="single" w:sz="8" w:space="0" w:color="auto"/>
              <w:bottom w:val="single" w:sz="8" w:space="0" w:color="auto"/>
            </w:tcBorders>
            <w:tcMar>
              <w:top w:w="170" w:type="dxa"/>
              <w:left w:w="170" w:type="dxa"/>
              <w:bottom w:w="170" w:type="dxa"/>
              <w:right w:w="170" w:type="dxa"/>
            </w:tcMar>
          </w:tcPr>
          <w:p w14:paraId="3580BDF2" w14:textId="77777777" w:rsidR="00115D63" w:rsidRPr="00C64064" w:rsidRDefault="00115D63">
            <w:pPr>
              <w:pStyle w:val="Bodytext1colmn"/>
              <w:spacing w:before="0" w:after="0" w:line="276" w:lineRule="auto"/>
              <w:jc w:val="left"/>
              <w:rPr>
                <w:rFonts w:asciiTheme="majorHAnsi" w:hAnsiTheme="majorHAnsi" w:cstheme="majorHAnsi"/>
                <w:b/>
                <w:bCs/>
                <w:color w:val="auto"/>
                <w:szCs w:val="22"/>
                <w:lang w:val="en-GB"/>
              </w:rPr>
            </w:pPr>
            <w:bookmarkStart w:id="11" w:name="_Hlk157535493"/>
            <w:r w:rsidRPr="00C64064">
              <w:rPr>
                <w:rFonts w:asciiTheme="majorHAnsi" w:hAnsiTheme="majorHAnsi" w:cstheme="majorHAnsi"/>
                <w:b/>
                <w:bCs/>
                <w:color w:val="auto"/>
              </w:rPr>
              <w:t>Agrosid</w:t>
            </w:r>
          </w:p>
        </w:tc>
        <w:tc>
          <w:tcPr>
            <w:tcW w:w="6840" w:type="dxa"/>
            <w:tcMar>
              <w:top w:w="170" w:type="dxa"/>
              <w:left w:w="170" w:type="dxa"/>
              <w:bottom w:w="170" w:type="dxa"/>
              <w:right w:w="170" w:type="dxa"/>
            </w:tcMar>
          </w:tcPr>
          <w:p w14:paraId="2703B812" w14:textId="77777777" w:rsidR="00115D63" w:rsidRPr="00C64064" w:rsidRDefault="00115D63">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rPr>
              <w:t xml:space="preserve">PT Agrosid Manunggal Sentosa </w:t>
            </w:r>
          </w:p>
        </w:tc>
      </w:tr>
      <w:tr w:rsidR="00D47DCF" w:rsidRPr="00C64064" w14:paraId="0914A563"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BB37804" w14:textId="77777777" w:rsidR="00115D63" w:rsidRPr="00C64064" w:rsidRDefault="00115D63">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rPr>
              <w:t>AI</w:t>
            </w:r>
          </w:p>
        </w:tc>
        <w:tc>
          <w:tcPr>
            <w:tcW w:w="6840" w:type="dxa"/>
            <w:tcMar>
              <w:top w:w="170" w:type="dxa"/>
              <w:left w:w="170" w:type="dxa"/>
              <w:bottom w:w="170" w:type="dxa"/>
              <w:right w:w="170" w:type="dxa"/>
            </w:tcMar>
          </w:tcPr>
          <w:p w14:paraId="5F1022D1" w14:textId="77777777" w:rsidR="00115D63" w:rsidRPr="00C64064" w:rsidRDefault="00115D63">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rPr>
              <w:t>Artificial Insemination</w:t>
            </w:r>
          </w:p>
        </w:tc>
      </w:tr>
      <w:tr w:rsidR="00D47DCF" w:rsidRPr="00C64064" w14:paraId="51DE2983"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38D454D" w14:textId="77777777" w:rsidR="00115D63" w:rsidRPr="00C64064" w:rsidRDefault="00115D63">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rPr>
              <w:t xml:space="preserve">ASF </w:t>
            </w:r>
          </w:p>
        </w:tc>
        <w:tc>
          <w:tcPr>
            <w:tcW w:w="6840" w:type="dxa"/>
            <w:tcMar>
              <w:top w:w="170" w:type="dxa"/>
              <w:left w:w="170" w:type="dxa"/>
              <w:bottom w:w="170" w:type="dxa"/>
              <w:right w:w="170" w:type="dxa"/>
            </w:tcMar>
          </w:tcPr>
          <w:p w14:paraId="4DA87004" w14:textId="77777777" w:rsidR="00115D63" w:rsidRPr="00C64064" w:rsidRDefault="00115D63">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rPr>
              <w:t>African Swine Fever</w:t>
            </w:r>
          </w:p>
        </w:tc>
      </w:tr>
      <w:tr w:rsidR="00D47DCF" w:rsidRPr="00C64064" w14:paraId="27A584E5"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2EB5B2F" w14:textId="77777777" w:rsidR="00115D63" w:rsidRPr="00C64064" w:rsidRDefault="00115D63">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rPr>
              <w:t xml:space="preserve">ATS </w:t>
            </w:r>
          </w:p>
        </w:tc>
        <w:tc>
          <w:tcPr>
            <w:tcW w:w="6840" w:type="dxa"/>
            <w:tcMar>
              <w:top w:w="170" w:type="dxa"/>
              <w:left w:w="170" w:type="dxa"/>
              <w:bottom w:w="170" w:type="dxa"/>
              <w:right w:w="170" w:type="dxa"/>
            </w:tcMar>
          </w:tcPr>
          <w:p w14:paraId="2A15F6B0" w14:textId="77777777" w:rsidR="00115D63" w:rsidRPr="00C64064" w:rsidRDefault="00115D63">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rPr>
              <w:t>PT Agrotama Tunas Sarana</w:t>
            </w:r>
          </w:p>
        </w:tc>
      </w:tr>
      <w:tr w:rsidR="00D47DCF" w:rsidRPr="00C64064" w14:paraId="28E2B764"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3E81F8F" w14:textId="77777777" w:rsidR="00115D63" w:rsidRPr="00C64064" w:rsidRDefault="00115D63">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rPr>
              <w:t>AUD</w:t>
            </w:r>
          </w:p>
        </w:tc>
        <w:tc>
          <w:tcPr>
            <w:tcW w:w="6840" w:type="dxa"/>
            <w:tcMar>
              <w:top w:w="170" w:type="dxa"/>
              <w:left w:w="170" w:type="dxa"/>
              <w:bottom w:w="170" w:type="dxa"/>
              <w:right w:w="170" w:type="dxa"/>
            </w:tcMar>
          </w:tcPr>
          <w:p w14:paraId="4B0F66AC" w14:textId="77777777" w:rsidR="00115D63" w:rsidRPr="00C64064" w:rsidRDefault="00115D63">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rPr>
              <w:t>Australian Dollar</w:t>
            </w:r>
          </w:p>
        </w:tc>
      </w:tr>
      <w:tr w:rsidR="00D47DCF" w:rsidRPr="00C64064" w14:paraId="3987510B"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36DD11C" w14:textId="77777777" w:rsidR="00115D63" w:rsidRPr="00C64064" w:rsidRDefault="00115D63">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rPr>
              <w:t>Bappeda</w:t>
            </w:r>
          </w:p>
        </w:tc>
        <w:tc>
          <w:tcPr>
            <w:tcW w:w="6840" w:type="dxa"/>
            <w:tcMar>
              <w:top w:w="170" w:type="dxa"/>
              <w:left w:w="170" w:type="dxa"/>
              <w:bottom w:w="170" w:type="dxa"/>
              <w:right w:w="170" w:type="dxa"/>
            </w:tcMar>
          </w:tcPr>
          <w:p w14:paraId="76FBEB85" w14:textId="77777777" w:rsidR="00115D63" w:rsidRPr="00C64064" w:rsidRDefault="00115D63">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i/>
                <w:color w:val="auto"/>
              </w:rPr>
              <w:t>Badan Perencanaan dan Pembangunan Daerah</w:t>
            </w:r>
            <w:r w:rsidRPr="00C64064">
              <w:rPr>
                <w:rFonts w:asciiTheme="majorHAnsi" w:hAnsiTheme="majorHAnsi" w:cstheme="majorHAnsi"/>
                <w:color w:val="auto"/>
              </w:rPr>
              <w:t xml:space="preserve"> (Regional Development Planning Agency)</w:t>
            </w:r>
          </w:p>
        </w:tc>
      </w:tr>
      <w:tr w:rsidR="00D47DCF" w:rsidRPr="00C64064" w14:paraId="24BA774F"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13B4608" w14:textId="77777777" w:rsidR="00115D63" w:rsidRPr="00C64064" w:rsidRDefault="00115D63">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rPr>
              <w:t>Bappenas</w:t>
            </w:r>
          </w:p>
        </w:tc>
        <w:tc>
          <w:tcPr>
            <w:tcW w:w="6840" w:type="dxa"/>
            <w:tcMar>
              <w:top w:w="170" w:type="dxa"/>
              <w:left w:w="170" w:type="dxa"/>
              <w:bottom w:w="170" w:type="dxa"/>
              <w:right w:w="170" w:type="dxa"/>
            </w:tcMar>
          </w:tcPr>
          <w:p w14:paraId="49FA5C79" w14:textId="77777777" w:rsidR="00115D63" w:rsidRPr="00C64064" w:rsidRDefault="00115D63">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i/>
                <w:color w:val="auto"/>
              </w:rPr>
              <w:t>Badan Perencanaan dan Pembangunan Nasional</w:t>
            </w:r>
            <w:r w:rsidRPr="00C64064">
              <w:rPr>
                <w:rFonts w:asciiTheme="majorHAnsi" w:hAnsiTheme="majorHAnsi" w:cstheme="majorHAnsi"/>
                <w:color w:val="auto"/>
              </w:rPr>
              <w:t xml:space="preserve"> (National Development Planning Agency)</w:t>
            </w:r>
          </w:p>
        </w:tc>
      </w:tr>
      <w:tr w:rsidR="00A61F1D" w:rsidRPr="00C64064" w14:paraId="77D23C25"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1C39F07" w14:textId="32A94B60" w:rsidR="00A61F1D" w:rsidRPr="00C64064" w:rsidRDefault="00A61F1D">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iCs/>
                <w:color w:val="auto"/>
                <w:lang w:val="en-AU"/>
              </w:rPr>
              <w:t>Bapperida</w:t>
            </w:r>
          </w:p>
        </w:tc>
        <w:tc>
          <w:tcPr>
            <w:tcW w:w="6840" w:type="dxa"/>
            <w:tcMar>
              <w:top w:w="170" w:type="dxa"/>
              <w:left w:w="170" w:type="dxa"/>
              <w:bottom w:w="170" w:type="dxa"/>
              <w:right w:w="170" w:type="dxa"/>
            </w:tcMar>
          </w:tcPr>
          <w:p w14:paraId="18B877A2" w14:textId="7DCAF835" w:rsidR="00A61F1D" w:rsidRPr="00C64064" w:rsidRDefault="007169C0">
            <w:pPr>
              <w:pStyle w:val="Bodytext1colmn"/>
              <w:spacing w:before="0" w:after="0" w:line="276" w:lineRule="auto"/>
              <w:jc w:val="left"/>
              <w:rPr>
                <w:rFonts w:asciiTheme="majorHAnsi" w:hAnsiTheme="majorHAnsi" w:cstheme="majorHAnsi"/>
                <w:iCs/>
                <w:color w:val="auto"/>
              </w:rPr>
            </w:pPr>
            <w:r w:rsidRPr="00C64064">
              <w:rPr>
                <w:rFonts w:asciiTheme="majorHAnsi" w:hAnsiTheme="majorHAnsi" w:cstheme="majorHAnsi"/>
                <w:i/>
                <w:color w:val="auto"/>
              </w:rPr>
              <w:t xml:space="preserve">Badan Perencanaan Pembangunan </w:t>
            </w:r>
            <w:r w:rsidRPr="00C64064">
              <w:rPr>
                <w:rFonts w:asciiTheme="majorHAnsi" w:hAnsiTheme="majorHAnsi" w:cstheme="majorHAnsi"/>
                <w:i/>
                <w:color w:val="auto"/>
                <w:lang w:val="en-AU"/>
              </w:rPr>
              <w:t>Riset dan Inovasi Daerah</w:t>
            </w:r>
            <w:r w:rsidRPr="00C64064">
              <w:rPr>
                <w:rFonts w:asciiTheme="majorHAnsi" w:hAnsiTheme="majorHAnsi" w:cstheme="majorHAnsi"/>
                <w:iCs/>
                <w:color w:val="auto"/>
                <w:lang w:val="en-AU"/>
              </w:rPr>
              <w:t xml:space="preserve"> (</w:t>
            </w:r>
            <w:r w:rsidR="00A61F1D" w:rsidRPr="00C64064">
              <w:rPr>
                <w:rFonts w:asciiTheme="majorHAnsi" w:hAnsiTheme="majorHAnsi" w:cstheme="majorHAnsi"/>
                <w:iCs/>
                <w:color w:val="auto"/>
                <w:lang w:val="en-AU"/>
              </w:rPr>
              <w:t>Regional Development Planning, Research and Innovation Agency</w:t>
            </w:r>
            <w:r w:rsidRPr="00C64064">
              <w:rPr>
                <w:rFonts w:asciiTheme="majorHAnsi" w:hAnsiTheme="majorHAnsi" w:cstheme="majorHAnsi"/>
                <w:iCs/>
                <w:color w:val="auto"/>
                <w:lang w:val="en-AU"/>
              </w:rPr>
              <w:t>)</w:t>
            </w:r>
            <w:r w:rsidR="00A61F1D" w:rsidRPr="00C64064">
              <w:rPr>
                <w:rFonts w:asciiTheme="majorHAnsi" w:hAnsiTheme="majorHAnsi" w:cstheme="majorHAnsi"/>
                <w:iCs/>
                <w:color w:val="auto"/>
                <w:lang w:val="en-AU"/>
              </w:rPr>
              <w:t xml:space="preserve"> </w:t>
            </w:r>
          </w:p>
        </w:tc>
      </w:tr>
      <w:tr w:rsidR="00D47DCF" w:rsidRPr="00C64064" w14:paraId="76C17C8E"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07FD403" w14:textId="427835AA" w:rsidR="00115D63" w:rsidRPr="00C64064" w:rsidRDefault="000F2C37">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iCs/>
                <w:color w:val="auto"/>
                <w:lang w:val="en-GB"/>
              </w:rPr>
              <w:t>BBPP</w:t>
            </w:r>
          </w:p>
        </w:tc>
        <w:tc>
          <w:tcPr>
            <w:tcW w:w="6840" w:type="dxa"/>
            <w:tcMar>
              <w:top w:w="170" w:type="dxa"/>
              <w:left w:w="170" w:type="dxa"/>
              <w:bottom w:w="170" w:type="dxa"/>
              <w:right w:w="170" w:type="dxa"/>
            </w:tcMar>
          </w:tcPr>
          <w:p w14:paraId="62F54769" w14:textId="230FA151" w:rsidR="00115D63" w:rsidRPr="00C64064" w:rsidRDefault="007169C0">
            <w:pPr>
              <w:pStyle w:val="Bodytext1colmn"/>
              <w:spacing w:before="0" w:after="0" w:line="276" w:lineRule="auto"/>
              <w:jc w:val="left"/>
              <w:rPr>
                <w:rFonts w:asciiTheme="majorHAnsi" w:hAnsiTheme="majorHAnsi" w:cstheme="majorHAnsi"/>
                <w:iCs/>
                <w:color w:val="auto"/>
                <w:szCs w:val="22"/>
                <w:lang w:val="en-GB"/>
              </w:rPr>
            </w:pPr>
            <w:r w:rsidRPr="00C64064">
              <w:rPr>
                <w:rFonts w:asciiTheme="majorHAnsi" w:hAnsiTheme="majorHAnsi" w:cstheme="majorHAnsi"/>
                <w:i/>
                <w:color w:val="auto"/>
                <w:lang w:val="en-GB"/>
              </w:rPr>
              <w:t>Balai Besar Pelatihan Pertanian</w:t>
            </w:r>
            <w:r w:rsidRPr="00C64064">
              <w:rPr>
                <w:rFonts w:asciiTheme="majorHAnsi" w:hAnsiTheme="majorHAnsi" w:cstheme="majorHAnsi"/>
                <w:iCs/>
                <w:color w:val="auto"/>
                <w:lang w:val="en-GB"/>
              </w:rPr>
              <w:t xml:space="preserve"> (</w:t>
            </w:r>
            <w:r w:rsidR="000F2C37" w:rsidRPr="00C64064">
              <w:rPr>
                <w:rFonts w:asciiTheme="majorHAnsi" w:hAnsiTheme="majorHAnsi" w:cstheme="majorHAnsi"/>
                <w:iCs/>
                <w:color w:val="auto"/>
                <w:lang w:val="en-GB"/>
              </w:rPr>
              <w:t>Animal Husbandry Training Center</w:t>
            </w:r>
            <w:r w:rsidRPr="00C64064">
              <w:rPr>
                <w:rFonts w:asciiTheme="majorHAnsi" w:hAnsiTheme="majorHAnsi" w:cstheme="majorHAnsi"/>
                <w:iCs/>
                <w:color w:val="auto"/>
                <w:lang w:val="en-GB"/>
              </w:rPr>
              <w:t>)</w:t>
            </w:r>
            <w:r w:rsidR="000F2C37" w:rsidRPr="00C64064">
              <w:rPr>
                <w:rFonts w:asciiTheme="majorHAnsi" w:hAnsiTheme="majorHAnsi" w:cstheme="majorHAnsi"/>
                <w:iCs/>
                <w:color w:val="auto"/>
                <w:lang w:val="en-GB"/>
              </w:rPr>
              <w:t xml:space="preserve"> </w:t>
            </w:r>
          </w:p>
        </w:tc>
      </w:tr>
      <w:tr w:rsidR="00D47DCF" w:rsidRPr="00C64064" w14:paraId="1D1E58AD"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CB0D6F7" w14:textId="77777777" w:rsidR="00115D63" w:rsidRPr="00C64064" w:rsidRDefault="00115D63">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rPr>
              <w:t>BITPRO</w:t>
            </w:r>
          </w:p>
        </w:tc>
        <w:tc>
          <w:tcPr>
            <w:tcW w:w="6840" w:type="dxa"/>
            <w:tcMar>
              <w:top w:w="170" w:type="dxa"/>
              <w:left w:w="170" w:type="dxa"/>
              <w:bottom w:w="170" w:type="dxa"/>
              <w:right w:w="170" w:type="dxa"/>
            </w:tcMar>
          </w:tcPr>
          <w:p w14:paraId="47337BBA" w14:textId="25D4B019" w:rsidR="00115D63" w:rsidRPr="00C64064" w:rsidRDefault="00115D63">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i/>
                <w:color w:val="auto"/>
              </w:rPr>
              <w:t>Direktorat Perbibitan dan Produksi Ternak</w:t>
            </w:r>
            <w:r w:rsidRPr="00C64064">
              <w:rPr>
                <w:rFonts w:asciiTheme="majorHAnsi" w:hAnsiTheme="majorHAnsi" w:cstheme="majorHAnsi"/>
                <w:color w:val="auto"/>
              </w:rPr>
              <w:t xml:space="preserve"> (</w:t>
            </w:r>
            <w:r w:rsidR="00D63C67" w:rsidRPr="00C64064">
              <w:rPr>
                <w:rFonts w:asciiTheme="majorHAnsi" w:hAnsiTheme="majorHAnsi" w:cstheme="majorHAnsi"/>
                <w:color w:val="auto"/>
              </w:rPr>
              <w:t xml:space="preserve">Directorate of </w:t>
            </w:r>
            <w:r w:rsidRPr="00C64064">
              <w:rPr>
                <w:rFonts w:asciiTheme="majorHAnsi" w:hAnsiTheme="majorHAnsi" w:cstheme="majorHAnsi"/>
                <w:color w:val="auto"/>
              </w:rPr>
              <w:t>Livestock Breeding and Production</w:t>
            </w:r>
            <w:r w:rsidR="00D63C67" w:rsidRPr="00C64064">
              <w:rPr>
                <w:rFonts w:asciiTheme="majorHAnsi" w:hAnsiTheme="majorHAnsi" w:cstheme="majorHAnsi"/>
                <w:color w:val="auto"/>
              </w:rPr>
              <w:t>)</w:t>
            </w:r>
            <w:r w:rsidRPr="00C64064">
              <w:rPr>
                <w:rFonts w:asciiTheme="majorHAnsi" w:hAnsiTheme="majorHAnsi" w:cstheme="majorHAnsi"/>
                <w:color w:val="auto"/>
              </w:rPr>
              <w:t xml:space="preserve"> </w:t>
            </w:r>
          </w:p>
        </w:tc>
      </w:tr>
      <w:tr w:rsidR="00D47DCF" w:rsidRPr="00C64064" w14:paraId="2C2AC9F0"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BD91FEE" w14:textId="77777777" w:rsidR="00115D63" w:rsidRPr="00C64064" w:rsidRDefault="00115D63">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rPr>
              <w:t>BNPL</w:t>
            </w:r>
          </w:p>
        </w:tc>
        <w:tc>
          <w:tcPr>
            <w:tcW w:w="6840" w:type="dxa"/>
            <w:tcMar>
              <w:top w:w="170" w:type="dxa"/>
              <w:left w:w="170" w:type="dxa"/>
              <w:bottom w:w="170" w:type="dxa"/>
              <w:right w:w="170" w:type="dxa"/>
            </w:tcMar>
          </w:tcPr>
          <w:p w14:paraId="63AAD7EF" w14:textId="77777777" w:rsidR="00115D63" w:rsidRPr="00C64064" w:rsidRDefault="00115D63">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rPr>
              <w:t>Buy-Now-Pay-Later</w:t>
            </w:r>
          </w:p>
        </w:tc>
      </w:tr>
      <w:tr w:rsidR="00606649" w:rsidRPr="00C64064" w14:paraId="2226D57F"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3A7F62F" w14:textId="621CDE6A" w:rsidR="00606649" w:rsidRPr="00C64064" w:rsidRDefault="00606649">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lang w:val="en-ID"/>
              </w:rPr>
              <w:t>BOSI</w:t>
            </w:r>
          </w:p>
        </w:tc>
        <w:tc>
          <w:tcPr>
            <w:tcW w:w="6840" w:type="dxa"/>
            <w:tcMar>
              <w:top w:w="170" w:type="dxa"/>
              <w:left w:w="170" w:type="dxa"/>
              <w:bottom w:w="170" w:type="dxa"/>
              <w:right w:w="170" w:type="dxa"/>
            </w:tcMar>
          </w:tcPr>
          <w:p w14:paraId="6D9C599D" w14:textId="594B5389" w:rsidR="00606649" w:rsidRPr="00C64064" w:rsidRDefault="00606649">
            <w:pPr>
              <w:pStyle w:val="Bodytext1colmn"/>
              <w:spacing w:before="0" w:after="0" w:line="276" w:lineRule="auto"/>
              <w:jc w:val="left"/>
              <w:rPr>
                <w:rFonts w:asciiTheme="majorHAnsi" w:hAnsiTheme="majorHAnsi" w:cstheme="majorHAnsi"/>
                <w:color w:val="auto"/>
              </w:rPr>
            </w:pPr>
            <w:r w:rsidRPr="00C64064">
              <w:rPr>
                <w:rFonts w:asciiTheme="majorHAnsi" w:hAnsiTheme="majorHAnsi" w:cstheme="majorHAnsi"/>
                <w:color w:val="auto"/>
                <w:lang w:val="en-ID"/>
              </w:rPr>
              <w:t xml:space="preserve">PT Botani Seed Indonesia </w:t>
            </w:r>
          </w:p>
        </w:tc>
      </w:tr>
      <w:tr w:rsidR="000E7BCB" w:rsidRPr="00C64064" w14:paraId="22DE63AA"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2D72845" w14:textId="2BAC6471" w:rsidR="000E7BCB" w:rsidRPr="00C64064" w:rsidRDefault="000E7BCB">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lang w:val="en-GB"/>
              </w:rPr>
              <w:t>BPPSDMP</w:t>
            </w:r>
          </w:p>
        </w:tc>
        <w:tc>
          <w:tcPr>
            <w:tcW w:w="6840" w:type="dxa"/>
            <w:tcMar>
              <w:top w:w="170" w:type="dxa"/>
              <w:left w:w="170" w:type="dxa"/>
              <w:bottom w:w="170" w:type="dxa"/>
              <w:right w:w="170" w:type="dxa"/>
            </w:tcMar>
          </w:tcPr>
          <w:p w14:paraId="2330D169" w14:textId="24CE6A80" w:rsidR="000E7BCB" w:rsidRPr="00C64064" w:rsidRDefault="00694BB0">
            <w:pPr>
              <w:pStyle w:val="Bodytext1colmn"/>
              <w:spacing w:before="0" w:after="0" w:line="276" w:lineRule="auto"/>
              <w:jc w:val="left"/>
              <w:rPr>
                <w:rFonts w:asciiTheme="majorHAnsi" w:hAnsiTheme="majorHAnsi" w:cstheme="majorHAnsi"/>
                <w:color w:val="auto"/>
              </w:rPr>
            </w:pPr>
            <w:r w:rsidRPr="00C64064">
              <w:rPr>
                <w:rFonts w:asciiTheme="majorHAnsi" w:hAnsiTheme="majorHAnsi" w:cstheme="majorHAnsi"/>
                <w:i/>
                <w:iCs/>
                <w:color w:val="auto"/>
                <w:lang w:val="en-GB"/>
              </w:rPr>
              <w:t>Badan Penyuluhan</w:t>
            </w:r>
            <w:r w:rsidRPr="00C64064">
              <w:rPr>
                <w:rFonts w:asciiTheme="majorHAnsi" w:hAnsiTheme="majorHAnsi" w:cstheme="majorHAnsi"/>
                <w:color w:val="auto"/>
                <w:lang w:val="en-GB"/>
              </w:rPr>
              <w:t xml:space="preserve"> </w:t>
            </w:r>
            <w:r w:rsidRPr="00C64064">
              <w:rPr>
                <w:rFonts w:asciiTheme="majorHAnsi" w:hAnsiTheme="majorHAnsi" w:cstheme="majorHAnsi"/>
                <w:i/>
                <w:iCs/>
                <w:color w:val="auto"/>
                <w:lang w:val="en-GB"/>
              </w:rPr>
              <w:t>dan Pengembangan Sumber Daya Manusia Pertanian</w:t>
            </w:r>
            <w:r w:rsidRPr="00C64064">
              <w:rPr>
                <w:rFonts w:asciiTheme="majorHAnsi" w:hAnsiTheme="majorHAnsi" w:cstheme="majorHAnsi"/>
                <w:color w:val="auto"/>
                <w:lang w:val="en-GB"/>
              </w:rPr>
              <w:t xml:space="preserve"> (</w:t>
            </w:r>
            <w:r w:rsidR="000E7BCB" w:rsidRPr="00C64064">
              <w:rPr>
                <w:rFonts w:asciiTheme="majorHAnsi" w:hAnsiTheme="majorHAnsi" w:cstheme="majorHAnsi"/>
                <w:color w:val="auto"/>
                <w:lang w:val="en-GB"/>
              </w:rPr>
              <w:t>Agricultural Human Resources Extension and Development Agency</w:t>
            </w:r>
            <w:r w:rsidRPr="00C64064">
              <w:rPr>
                <w:rFonts w:asciiTheme="majorHAnsi" w:hAnsiTheme="majorHAnsi" w:cstheme="majorHAnsi"/>
                <w:color w:val="auto"/>
                <w:lang w:val="en-GB"/>
              </w:rPr>
              <w:t>)</w:t>
            </w:r>
          </w:p>
        </w:tc>
      </w:tr>
      <w:tr w:rsidR="00D47DCF" w:rsidRPr="00C64064" w14:paraId="3C8BC37B"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091B510" w14:textId="77777777" w:rsidR="00115D63" w:rsidRPr="00C64064" w:rsidRDefault="00115D63">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rPr>
              <w:t>BPSIP</w:t>
            </w:r>
          </w:p>
        </w:tc>
        <w:tc>
          <w:tcPr>
            <w:tcW w:w="6840" w:type="dxa"/>
            <w:tcMar>
              <w:top w:w="170" w:type="dxa"/>
              <w:left w:w="170" w:type="dxa"/>
              <w:bottom w:w="170" w:type="dxa"/>
              <w:right w:w="170" w:type="dxa"/>
            </w:tcMar>
          </w:tcPr>
          <w:p w14:paraId="70DBD51E" w14:textId="77777777" w:rsidR="00115D63" w:rsidRPr="00C64064" w:rsidRDefault="00115D63">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i/>
                <w:color w:val="auto"/>
              </w:rPr>
              <w:t>Balai Penerapan Standar Instrumen Pertanian</w:t>
            </w:r>
            <w:r w:rsidRPr="00C64064">
              <w:rPr>
                <w:rFonts w:asciiTheme="majorHAnsi" w:hAnsiTheme="majorHAnsi" w:cstheme="majorHAnsi"/>
                <w:color w:val="auto"/>
              </w:rPr>
              <w:t xml:space="preserve"> (Standardisation Agency for Application of Agricultural Instruments)</w:t>
            </w:r>
          </w:p>
        </w:tc>
      </w:tr>
      <w:tr w:rsidR="00D47DCF" w:rsidRPr="00C64064" w14:paraId="122D5BB5"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8D71422" w14:textId="4BFAE06B" w:rsidR="00115D63" w:rsidRPr="00C64064" w:rsidRDefault="00CB4488">
            <w:pPr>
              <w:pStyle w:val="Bodytext1colmn"/>
              <w:spacing w:before="0" w:after="0" w:line="276" w:lineRule="auto"/>
              <w:jc w:val="left"/>
              <w:rPr>
                <w:rFonts w:asciiTheme="majorHAnsi" w:hAnsiTheme="majorHAnsi" w:cstheme="majorHAnsi"/>
                <w:b/>
                <w:iCs/>
                <w:color w:val="auto"/>
                <w:szCs w:val="22"/>
                <w:lang w:val="en-GB"/>
              </w:rPr>
            </w:pPr>
            <w:r w:rsidRPr="00C64064">
              <w:rPr>
                <w:rFonts w:asciiTheme="majorHAnsi" w:hAnsiTheme="majorHAnsi" w:cstheme="majorHAnsi"/>
                <w:b/>
                <w:iCs/>
                <w:color w:val="auto"/>
                <w:lang w:val="en-AU"/>
              </w:rPr>
              <w:t xml:space="preserve">BRIN </w:t>
            </w:r>
          </w:p>
        </w:tc>
        <w:tc>
          <w:tcPr>
            <w:tcW w:w="6840" w:type="dxa"/>
            <w:tcMar>
              <w:top w:w="170" w:type="dxa"/>
              <w:left w:w="170" w:type="dxa"/>
              <w:bottom w:w="170" w:type="dxa"/>
              <w:right w:w="170" w:type="dxa"/>
            </w:tcMar>
          </w:tcPr>
          <w:p w14:paraId="4E2C3D02" w14:textId="3E720772" w:rsidR="00115D63" w:rsidRPr="00C64064" w:rsidRDefault="00694BB0">
            <w:pPr>
              <w:pStyle w:val="Bodytext1colmn"/>
              <w:spacing w:before="0" w:after="0" w:line="276" w:lineRule="auto"/>
              <w:jc w:val="left"/>
              <w:rPr>
                <w:rFonts w:asciiTheme="majorHAnsi" w:hAnsiTheme="majorHAnsi" w:cstheme="majorHAnsi"/>
                <w:iCs/>
                <w:color w:val="auto"/>
                <w:szCs w:val="22"/>
                <w:lang w:val="en-GB"/>
              </w:rPr>
            </w:pPr>
            <w:r w:rsidRPr="00C64064">
              <w:rPr>
                <w:rFonts w:asciiTheme="majorHAnsi" w:hAnsiTheme="majorHAnsi" w:cstheme="majorHAnsi"/>
                <w:bCs/>
                <w:i/>
                <w:color w:val="auto"/>
                <w:lang w:val="en-AU"/>
              </w:rPr>
              <w:t>Badan Riset dan Inovasi Nasional</w:t>
            </w:r>
            <w:r w:rsidRPr="00C64064">
              <w:rPr>
                <w:rFonts w:asciiTheme="majorHAnsi" w:hAnsiTheme="majorHAnsi" w:cstheme="majorHAnsi"/>
                <w:bCs/>
                <w:iCs/>
                <w:color w:val="auto"/>
                <w:lang w:val="en-AU"/>
              </w:rPr>
              <w:t xml:space="preserve"> (</w:t>
            </w:r>
            <w:r w:rsidR="00CB4488" w:rsidRPr="00C64064">
              <w:rPr>
                <w:rFonts w:asciiTheme="majorHAnsi" w:hAnsiTheme="majorHAnsi" w:cstheme="majorHAnsi"/>
                <w:bCs/>
                <w:iCs/>
                <w:color w:val="auto"/>
                <w:lang w:val="en-AU"/>
              </w:rPr>
              <w:t>The National Research and Innovation Agenc</w:t>
            </w:r>
            <w:r w:rsidRPr="00C64064">
              <w:rPr>
                <w:rFonts w:asciiTheme="majorHAnsi" w:hAnsiTheme="majorHAnsi" w:cstheme="majorHAnsi"/>
                <w:bCs/>
                <w:iCs/>
                <w:color w:val="auto"/>
                <w:lang w:val="en-AU"/>
              </w:rPr>
              <w:t>y)</w:t>
            </w:r>
            <w:r w:rsidR="00CB4488" w:rsidRPr="00C64064">
              <w:rPr>
                <w:rFonts w:asciiTheme="majorHAnsi" w:hAnsiTheme="majorHAnsi" w:cstheme="majorHAnsi"/>
                <w:bCs/>
                <w:iCs/>
                <w:color w:val="auto"/>
                <w:lang w:val="en-AU"/>
              </w:rPr>
              <w:t xml:space="preserve"> </w:t>
            </w:r>
          </w:p>
        </w:tc>
      </w:tr>
      <w:tr w:rsidR="00C8694A" w:rsidRPr="00C64064" w14:paraId="71DBDFEE"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EC6ED7B" w14:textId="66E24B0D" w:rsidR="00C8694A" w:rsidRPr="00C64064" w:rsidRDefault="00C8694A">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lang w:val="en-ID"/>
              </w:rPr>
              <w:lastRenderedPageBreak/>
              <w:t>BSN</w:t>
            </w:r>
          </w:p>
        </w:tc>
        <w:tc>
          <w:tcPr>
            <w:tcW w:w="6840" w:type="dxa"/>
            <w:tcMar>
              <w:top w:w="170" w:type="dxa"/>
              <w:left w:w="170" w:type="dxa"/>
              <w:bottom w:w="170" w:type="dxa"/>
              <w:right w:w="170" w:type="dxa"/>
            </w:tcMar>
          </w:tcPr>
          <w:p w14:paraId="509150F6" w14:textId="1EB9F9A5" w:rsidR="00C8694A" w:rsidRPr="00C64064" w:rsidRDefault="00C327F0">
            <w:pPr>
              <w:pStyle w:val="Bodytext1colmn"/>
              <w:spacing w:before="0" w:after="0" w:line="276" w:lineRule="auto"/>
              <w:jc w:val="left"/>
              <w:rPr>
                <w:rFonts w:asciiTheme="majorHAnsi" w:hAnsiTheme="majorHAnsi" w:cstheme="majorHAnsi"/>
                <w:color w:val="auto"/>
              </w:rPr>
            </w:pPr>
            <w:r w:rsidRPr="00C64064">
              <w:rPr>
                <w:rFonts w:asciiTheme="majorHAnsi" w:hAnsiTheme="majorHAnsi" w:cstheme="majorHAnsi"/>
                <w:i/>
                <w:iCs/>
                <w:color w:val="auto"/>
                <w:lang w:val="en-ID"/>
              </w:rPr>
              <w:t>Badan Standardisasi Nasional</w:t>
            </w:r>
            <w:r w:rsidRPr="00C64064">
              <w:rPr>
                <w:rFonts w:asciiTheme="majorHAnsi" w:hAnsiTheme="majorHAnsi" w:cstheme="majorHAnsi"/>
                <w:color w:val="auto"/>
                <w:lang w:val="en-ID"/>
              </w:rPr>
              <w:t xml:space="preserve"> (</w:t>
            </w:r>
            <w:r w:rsidR="00C8694A" w:rsidRPr="00C64064">
              <w:rPr>
                <w:rFonts w:asciiTheme="majorHAnsi" w:hAnsiTheme="majorHAnsi" w:cstheme="majorHAnsi"/>
                <w:color w:val="auto"/>
                <w:lang w:val="en-ID"/>
              </w:rPr>
              <w:t>National Standard</w:t>
            </w:r>
            <w:r w:rsidR="00CB5032" w:rsidRPr="00C64064">
              <w:rPr>
                <w:rFonts w:asciiTheme="majorHAnsi" w:hAnsiTheme="majorHAnsi" w:cstheme="majorHAnsi"/>
                <w:color w:val="auto"/>
                <w:lang w:val="en-ID"/>
              </w:rPr>
              <w:t>s</w:t>
            </w:r>
            <w:r w:rsidR="00C8694A" w:rsidRPr="00C64064">
              <w:rPr>
                <w:rFonts w:asciiTheme="majorHAnsi" w:hAnsiTheme="majorHAnsi" w:cstheme="majorHAnsi"/>
                <w:color w:val="auto"/>
                <w:lang w:val="en-ID"/>
              </w:rPr>
              <w:t xml:space="preserve"> Agency</w:t>
            </w:r>
            <w:r w:rsidRPr="00C64064">
              <w:rPr>
                <w:rFonts w:asciiTheme="majorHAnsi" w:hAnsiTheme="majorHAnsi" w:cstheme="majorHAnsi"/>
                <w:color w:val="auto"/>
                <w:lang w:val="en-ID"/>
              </w:rPr>
              <w:t>)</w:t>
            </w:r>
          </w:p>
        </w:tc>
      </w:tr>
      <w:tr w:rsidR="00D47DCF" w:rsidRPr="00C64064" w14:paraId="0E06D25C"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123EA65" w14:textId="77777777" w:rsidR="00115D63" w:rsidRPr="00C64064" w:rsidRDefault="00115D63">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rPr>
              <w:t xml:space="preserve">B2B </w:t>
            </w:r>
          </w:p>
        </w:tc>
        <w:tc>
          <w:tcPr>
            <w:tcW w:w="6840" w:type="dxa"/>
            <w:tcMar>
              <w:top w:w="170" w:type="dxa"/>
              <w:left w:w="170" w:type="dxa"/>
              <w:bottom w:w="170" w:type="dxa"/>
              <w:right w:w="170" w:type="dxa"/>
            </w:tcMar>
          </w:tcPr>
          <w:p w14:paraId="09E41503" w14:textId="77777777" w:rsidR="00115D63" w:rsidRPr="00C64064" w:rsidRDefault="00115D63">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rPr>
              <w:t xml:space="preserve">Business-to-Business </w:t>
            </w:r>
          </w:p>
        </w:tc>
      </w:tr>
      <w:tr w:rsidR="00D47DCF" w:rsidRPr="00C64064" w14:paraId="0BA886A2"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6C0C4BA" w14:textId="77777777" w:rsidR="00115D63" w:rsidRPr="00C64064" w:rsidRDefault="00115D63">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rPr>
              <w:t xml:space="preserve">CEO </w:t>
            </w:r>
          </w:p>
        </w:tc>
        <w:tc>
          <w:tcPr>
            <w:tcW w:w="6840" w:type="dxa"/>
            <w:tcMar>
              <w:top w:w="170" w:type="dxa"/>
              <w:left w:w="170" w:type="dxa"/>
              <w:bottom w:w="170" w:type="dxa"/>
              <w:right w:w="170" w:type="dxa"/>
            </w:tcMar>
          </w:tcPr>
          <w:p w14:paraId="1C47DAFB" w14:textId="77777777" w:rsidR="00115D63" w:rsidRPr="00C64064" w:rsidRDefault="00115D63">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rPr>
              <w:t>Chief Executive Officer</w:t>
            </w:r>
          </w:p>
        </w:tc>
      </w:tr>
      <w:tr w:rsidR="00124D29" w:rsidRPr="00C64064" w14:paraId="3690FAD3"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4D308AC" w14:textId="2EBB5679" w:rsidR="00124D29" w:rsidRPr="00C64064" w:rsidRDefault="00124D29">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lang w:val="en-GB"/>
              </w:rPr>
              <w:t>CIPS</w:t>
            </w:r>
          </w:p>
        </w:tc>
        <w:tc>
          <w:tcPr>
            <w:tcW w:w="6840" w:type="dxa"/>
            <w:tcMar>
              <w:top w:w="170" w:type="dxa"/>
              <w:left w:w="170" w:type="dxa"/>
              <w:bottom w:w="170" w:type="dxa"/>
              <w:right w:w="170" w:type="dxa"/>
            </w:tcMar>
          </w:tcPr>
          <w:p w14:paraId="5F00A399" w14:textId="0C0B8B75" w:rsidR="00124D29" w:rsidRPr="00C64064" w:rsidRDefault="00124D29">
            <w:pPr>
              <w:pStyle w:val="Bodytext1colmn"/>
              <w:spacing w:before="0" w:after="0" w:line="276" w:lineRule="auto"/>
              <w:jc w:val="left"/>
              <w:rPr>
                <w:rFonts w:asciiTheme="majorHAnsi" w:hAnsiTheme="majorHAnsi" w:cstheme="majorHAnsi"/>
                <w:color w:val="auto"/>
              </w:rPr>
            </w:pPr>
            <w:r w:rsidRPr="00C64064">
              <w:rPr>
                <w:rFonts w:asciiTheme="majorHAnsi" w:hAnsiTheme="majorHAnsi" w:cstheme="majorHAnsi"/>
                <w:color w:val="auto"/>
                <w:lang w:val="en-ID"/>
              </w:rPr>
              <w:t>Center for Indonesian Policy Studies</w:t>
            </w:r>
            <w:r w:rsidRPr="00C64064">
              <w:rPr>
                <w:rFonts w:asciiTheme="majorHAnsi" w:hAnsiTheme="majorHAnsi" w:cstheme="majorHAnsi"/>
                <w:color w:val="auto"/>
                <w:lang w:val="en-GB"/>
              </w:rPr>
              <w:t xml:space="preserve"> </w:t>
            </w:r>
          </w:p>
        </w:tc>
      </w:tr>
      <w:tr w:rsidR="00D47DCF" w:rsidRPr="00C64064" w14:paraId="02A36BA7"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B41B836" w14:textId="77777777" w:rsidR="00115D63" w:rsidRPr="00C64064" w:rsidRDefault="00115D63">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rPr>
              <w:t>COO</w:t>
            </w:r>
          </w:p>
        </w:tc>
        <w:tc>
          <w:tcPr>
            <w:tcW w:w="6840" w:type="dxa"/>
            <w:tcMar>
              <w:top w:w="170" w:type="dxa"/>
              <w:left w:w="170" w:type="dxa"/>
              <w:bottom w:w="170" w:type="dxa"/>
              <w:right w:w="170" w:type="dxa"/>
            </w:tcMar>
          </w:tcPr>
          <w:p w14:paraId="0344D4C6" w14:textId="77777777" w:rsidR="00115D63" w:rsidRPr="00C64064" w:rsidRDefault="00115D63">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rPr>
              <w:t>Chief Operations Officer</w:t>
            </w:r>
          </w:p>
        </w:tc>
      </w:tr>
      <w:tr w:rsidR="00D47DCF" w:rsidRPr="00C64064" w14:paraId="45FC2D3A"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265903B" w14:textId="77777777" w:rsidR="00115D63" w:rsidRPr="00C64064" w:rsidRDefault="00115D63">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rPr>
              <w:t>CO2</w:t>
            </w:r>
          </w:p>
        </w:tc>
        <w:tc>
          <w:tcPr>
            <w:tcW w:w="6840" w:type="dxa"/>
            <w:tcMar>
              <w:top w:w="170" w:type="dxa"/>
              <w:left w:w="170" w:type="dxa"/>
              <w:bottom w:w="170" w:type="dxa"/>
              <w:right w:w="170" w:type="dxa"/>
            </w:tcMar>
          </w:tcPr>
          <w:p w14:paraId="1D5AF881" w14:textId="77777777" w:rsidR="00115D63" w:rsidRPr="00C64064" w:rsidRDefault="00115D63">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rPr>
              <w:t>Carbon Dioxide</w:t>
            </w:r>
          </w:p>
        </w:tc>
      </w:tr>
      <w:tr w:rsidR="00D47DCF" w:rsidRPr="00C64064" w14:paraId="2058B841"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65FE508" w14:textId="77777777" w:rsidR="00115D63" w:rsidRPr="00C64064" w:rsidRDefault="00115D63">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rPr>
              <w:t>CO2e</w:t>
            </w:r>
          </w:p>
        </w:tc>
        <w:tc>
          <w:tcPr>
            <w:tcW w:w="6840" w:type="dxa"/>
            <w:tcMar>
              <w:top w:w="170" w:type="dxa"/>
              <w:left w:w="170" w:type="dxa"/>
              <w:bottom w:w="170" w:type="dxa"/>
              <w:right w:w="170" w:type="dxa"/>
            </w:tcMar>
          </w:tcPr>
          <w:p w14:paraId="57E25160" w14:textId="77777777" w:rsidR="00115D63" w:rsidRPr="00C64064" w:rsidRDefault="00115D63">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rPr>
              <w:t>Carbon Dioxide Equivalent</w:t>
            </w:r>
          </w:p>
        </w:tc>
      </w:tr>
      <w:tr w:rsidR="00D47DCF" w:rsidRPr="00C64064" w14:paraId="32294B83"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6A14A11" w14:textId="722AA1D2" w:rsidR="00115D63" w:rsidRPr="00C64064" w:rsidRDefault="00115D63" w:rsidP="00A602AD">
            <w:pPr>
              <w:pStyle w:val="Bodytext1colmn"/>
              <w:tabs>
                <w:tab w:val="center" w:pos="1090"/>
              </w:tabs>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rPr>
              <w:t>CP</w:t>
            </w:r>
            <w:r w:rsidR="0000033A" w:rsidRPr="00C64064">
              <w:rPr>
                <w:rFonts w:asciiTheme="majorHAnsi" w:hAnsiTheme="majorHAnsi" w:cstheme="majorHAnsi"/>
                <w:b/>
                <w:bCs/>
                <w:color w:val="auto"/>
              </w:rPr>
              <w:tab/>
            </w:r>
          </w:p>
        </w:tc>
        <w:tc>
          <w:tcPr>
            <w:tcW w:w="6840" w:type="dxa"/>
            <w:tcMar>
              <w:top w:w="170" w:type="dxa"/>
              <w:left w:w="170" w:type="dxa"/>
              <w:bottom w:w="170" w:type="dxa"/>
              <w:right w:w="170" w:type="dxa"/>
            </w:tcMar>
          </w:tcPr>
          <w:p w14:paraId="74A32758" w14:textId="098EA133" w:rsidR="00115D63" w:rsidRPr="00C64064" w:rsidRDefault="00115D63">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rPr>
              <w:t>Crop Protection</w:t>
            </w:r>
            <w:r w:rsidR="0000033A" w:rsidRPr="00C64064">
              <w:rPr>
                <w:rFonts w:asciiTheme="majorHAnsi" w:eastAsia="Times New Roman" w:hAnsiTheme="majorHAnsi" w:cstheme="majorHAnsi"/>
                <w:spacing w:val="0"/>
                <w:sz w:val="20"/>
                <w:lang w:val="en-ID" w:eastAsia="en-ID"/>
              </w:rPr>
              <w:t xml:space="preserve"> </w:t>
            </w:r>
          </w:p>
        </w:tc>
      </w:tr>
      <w:tr w:rsidR="00496DF7" w:rsidRPr="00C64064" w14:paraId="61586118"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23E4F47" w14:textId="1FDA4AD6" w:rsidR="00496DF7" w:rsidRPr="00C64064" w:rsidRDefault="00496DF7">
            <w:pPr>
              <w:pStyle w:val="Bodytext1colmn"/>
              <w:spacing w:before="0" w:after="0" w:line="276" w:lineRule="auto"/>
              <w:jc w:val="left"/>
              <w:rPr>
                <w:rFonts w:asciiTheme="majorHAnsi" w:hAnsiTheme="majorHAnsi" w:cstheme="majorHAnsi"/>
                <w:b/>
                <w:bCs/>
                <w:color w:val="auto"/>
                <w:lang w:val="en-ID"/>
              </w:rPr>
            </w:pPr>
            <w:r>
              <w:rPr>
                <w:rFonts w:asciiTheme="majorHAnsi" w:hAnsiTheme="majorHAnsi" w:cstheme="majorHAnsi"/>
                <w:b/>
                <w:bCs/>
                <w:color w:val="auto"/>
                <w:lang w:val="en-ID"/>
              </w:rPr>
              <w:t>CPPB</w:t>
            </w:r>
          </w:p>
        </w:tc>
        <w:tc>
          <w:tcPr>
            <w:tcW w:w="6840" w:type="dxa"/>
            <w:tcMar>
              <w:top w:w="170" w:type="dxa"/>
              <w:left w:w="170" w:type="dxa"/>
              <w:bottom w:w="170" w:type="dxa"/>
              <w:right w:w="170" w:type="dxa"/>
            </w:tcMar>
          </w:tcPr>
          <w:p w14:paraId="6B742265" w14:textId="67BD0283" w:rsidR="00496DF7" w:rsidRPr="00A65F49" w:rsidRDefault="003E146F">
            <w:pPr>
              <w:pStyle w:val="Bodytext1colmn"/>
              <w:spacing w:before="0" w:after="0" w:line="276" w:lineRule="auto"/>
              <w:jc w:val="left"/>
              <w:rPr>
                <w:rFonts w:asciiTheme="majorHAnsi" w:hAnsiTheme="majorHAnsi" w:cstheme="majorHAnsi"/>
                <w:color w:val="auto"/>
                <w:lang w:val="en-ID"/>
              </w:rPr>
            </w:pPr>
            <w:r>
              <w:rPr>
                <w:rFonts w:asciiTheme="majorHAnsi" w:hAnsiTheme="majorHAnsi" w:cstheme="majorHAnsi"/>
                <w:i/>
                <w:iCs/>
                <w:color w:val="auto"/>
                <w:lang w:val="en-ID"/>
              </w:rPr>
              <w:t xml:space="preserve">Cara </w:t>
            </w:r>
            <w:r w:rsidR="0040704F">
              <w:rPr>
                <w:rFonts w:asciiTheme="majorHAnsi" w:hAnsiTheme="majorHAnsi" w:cstheme="majorHAnsi"/>
                <w:i/>
                <w:iCs/>
                <w:color w:val="auto"/>
                <w:lang w:val="en-ID"/>
              </w:rPr>
              <w:t xml:space="preserve">Pembuatan Pakan yang Baik </w:t>
            </w:r>
            <w:r w:rsidR="00A65F49">
              <w:rPr>
                <w:rFonts w:asciiTheme="majorHAnsi" w:hAnsiTheme="majorHAnsi" w:cstheme="majorHAnsi"/>
                <w:color w:val="auto"/>
                <w:lang w:val="en-ID"/>
              </w:rPr>
              <w:t>(Good Feed Manufacturing Practice)</w:t>
            </w:r>
          </w:p>
        </w:tc>
      </w:tr>
      <w:tr w:rsidR="0000033A" w:rsidRPr="00C64064" w14:paraId="22BD5984"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B2E29CD" w14:textId="62E94919" w:rsidR="0000033A" w:rsidRPr="00C64064" w:rsidRDefault="0000033A">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lang w:val="en-ID"/>
              </w:rPr>
              <w:t>CSL</w:t>
            </w:r>
          </w:p>
        </w:tc>
        <w:tc>
          <w:tcPr>
            <w:tcW w:w="6840" w:type="dxa"/>
            <w:tcMar>
              <w:top w:w="170" w:type="dxa"/>
              <w:left w:w="170" w:type="dxa"/>
              <w:bottom w:w="170" w:type="dxa"/>
              <w:right w:w="170" w:type="dxa"/>
            </w:tcMar>
          </w:tcPr>
          <w:p w14:paraId="45066E2C" w14:textId="625C2640" w:rsidR="0000033A" w:rsidRPr="00C64064" w:rsidRDefault="0000033A">
            <w:pPr>
              <w:pStyle w:val="Bodytext1colmn"/>
              <w:spacing w:before="0" w:after="0" w:line="276" w:lineRule="auto"/>
              <w:jc w:val="left"/>
              <w:rPr>
                <w:rFonts w:asciiTheme="majorHAnsi" w:hAnsiTheme="majorHAnsi" w:cstheme="majorHAnsi"/>
                <w:color w:val="auto"/>
              </w:rPr>
            </w:pPr>
            <w:r w:rsidRPr="00C64064">
              <w:rPr>
                <w:rFonts w:asciiTheme="majorHAnsi" w:hAnsiTheme="majorHAnsi" w:cstheme="majorHAnsi"/>
                <w:color w:val="auto"/>
                <w:lang w:val="en-ID"/>
              </w:rPr>
              <w:t>Climate-smart Livestock</w:t>
            </w:r>
          </w:p>
        </w:tc>
      </w:tr>
      <w:tr w:rsidR="00D47DCF" w:rsidRPr="00C64064" w14:paraId="00B9BD04"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542B3D5" w14:textId="77777777" w:rsidR="00115D63" w:rsidRPr="00C64064" w:rsidRDefault="00115D63">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rPr>
              <w:t>CTSI</w:t>
            </w:r>
          </w:p>
        </w:tc>
        <w:tc>
          <w:tcPr>
            <w:tcW w:w="6840" w:type="dxa"/>
            <w:tcMar>
              <w:top w:w="170" w:type="dxa"/>
              <w:left w:w="170" w:type="dxa"/>
              <w:bottom w:w="170" w:type="dxa"/>
              <w:right w:w="170" w:type="dxa"/>
            </w:tcMar>
          </w:tcPr>
          <w:p w14:paraId="1AF9EB04" w14:textId="77777777" w:rsidR="00115D63" w:rsidRPr="00C64064" w:rsidRDefault="00115D63">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rPr>
              <w:t>PT Cipta Ternak Sehat Indonesia (company)</w:t>
            </w:r>
          </w:p>
        </w:tc>
      </w:tr>
      <w:tr w:rsidR="00D47DCF" w:rsidRPr="00C64064" w14:paraId="35410118"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094FDA5" w14:textId="77777777" w:rsidR="00115D63" w:rsidRPr="00C64064" w:rsidRDefault="00115D63">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rPr>
              <w:t>CV</w:t>
            </w:r>
          </w:p>
        </w:tc>
        <w:tc>
          <w:tcPr>
            <w:tcW w:w="6840" w:type="dxa"/>
            <w:tcMar>
              <w:top w:w="170" w:type="dxa"/>
              <w:left w:w="170" w:type="dxa"/>
              <w:bottom w:w="170" w:type="dxa"/>
              <w:right w:w="170" w:type="dxa"/>
            </w:tcMar>
          </w:tcPr>
          <w:p w14:paraId="1ED38FD1" w14:textId="77777777" w:rsidR="00115D63" w:rsidRPr="00C64064" w:rsidRDefault="00115D63">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i/>
                <w:color w:val="auto"/>
              </w:rPr>
              <w:t>Commanditaire Vennootschap</w:t>
            </w:r>
            <w:r w:rsidRPr="00C64064">
              <w:rPr>
                <w:rFonts w:asciiTheme="majorHAnsi" w:hAnsiTheme="majorHAnsi" w:cstheme="majorHAnsi"/>
                <w:color w:val="auto"/>
              </w:rPr>
              <w:t xml:space="preserve"> (Limited Partnership)</w:t>
            </w:r>
          </w:p>
        </w:tc>
      </w:tr>
      <w:tr w:rsidR="00D47DCF" w:rsidRPr="00C64064" w14:paraId="31FBE522"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9D3CA17" w14:textId="77777777" w:rsidR="00115D63" w:rsidRPr="00C64064" w:rsidRDefault="00115D63">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rPr>
              <w:t>DFAT</w:t>
            </w:r>
          </w:p>
        </w:tc>
        <w:tc>
          <w:tcPr>
            <w:tcW w:w="6840" w:type="dxa"/>
            <w:tcMar>
              <w:top w:w="170" w:type="dxa"/>
              <w:left w:w="170" w:type="dxa"/>
              <w:bottom w:w="170" w:type="dxa"/>
              <w:right w:w="170" w:type="dxa"/>
            </w:tcMar>
          </w:tcPr>
          <w:p w14:paraId="6CFC9C0F" w14:textId="77777777" w:rsidR="00115D63" w:rsidRPr="00C64064" w:rsidRDefault="00115D63">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rPr>
              <w:t>Department of Foreign Affairs and Trade, Australia</w:t>
            </w:r>
          </w:p>
        </w:tc>
      </w:tr>
      <w:tr w:rsidR="00D47DCF" w:rsidRPr="00C64064" w14:paraId="0FE90C39"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7922298" w14:textId="52AD891E" w:rsidR="00115D63" w:rsidRPr="00C64064" w:rsidRDefault="00154C47">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iCs/>
                <w:color w:val="auto"/>
                <w:lang w:val="en-ID"/>
              </w:rPr>
              <w:t>DKPP</w:t>
            </w:r>
          </w:p>
        </w:tc>
        <w:tc>
          <w:tcPr>
            <w:tcW w:w="6840" w:type="dxa"/>
            <w:tcMar>
              <w:top w:w="170" w:type="dxa"/>
              <w:left w:w="170" w:type="dxa"/>
              <w:bottom w:w="170" w:type="dxa"/>
              <w:right w:w="170" w:type="dxa"/>
            </w:tcMar>
          </w:tcPr>
          <w:p w14:paraId="2C45E182" w14:textId="757C376B" w:rsidR="00115D63" w:rsidRPr="00C64064" w:rsidRDefault="00694BB0">
            <w:pPr>
              <w:pStyle w:val="Bodytext1colmn"/>
              <w:spacing w:before="0" w:after="0" w:line="276" w:lineRule="auto"/>
              <w:jc w:val="left"/>
              <w:rPr>
                <w:rFonts w:asciiTheme="majorHAnsi" w:hAnsiTheme="majorHAnsi" w:cstheme="majorHAnsi"/>
                <w:iCs/>
                <w:color w:val="auto"/>
                <w:szCs w:val="22"/>
                <w:lang w:val="en-GB"/>
              </w:rPr>
            </w:pPr>
            <w:r w:rsidRPr="00C64064">
              <w:rPr>
                <w:rFonts w:asciiTheme="majorHAnsi" w:hAnsiTheme="majorHAnsi" w:cstheme="majorHAnsi"/>
                <w:i/>
                <w:color w:val="auto"/>
                <w:lang w:val="en-ID"/>
              </w:rPr>
              <w:t>Dinas Ketahanan Pangan dan Pertanian</w:t>
            </w:r>
            <w:r w:rsidRPr="00C64064">
              <w:rPr>
                <w:rFonts w:asciiTheme="majorHAnsi" w:hAnsiTheme="majorHAnsi" w:cstheme="majorHAnsi"/>
                <w:iCs/>
                <w:color w:val="auto"/>
                <w:lang w:val="en-ID"/>
              </w:rPr>
              <w:t xml:space="preserve"> (</w:t>
            </w:r>
            <w:r w:rsidR="00154C47" w:rsidRPr="00C64064">
              <w:rPr>
                <w:rFonts w:asciiTheme="majorHAnsi" w:hAnsiTheme="majorHAnsi" w:cstheme="majorHAnsi"/>
                <w:iCs/>
                <w:color w:val="auto"/>
                <w:lang w:val="en-ID"/>
              </w:rPr>
              <w:t>Food Security and Agriculture Agency</w:t>
            </w:r>
            <w:r w:rsidRPr="00C64064">
              <w:rPr>
                <w:rFonts w:asciiTheme="majorHAnsi" w:hAnsiTheme="majorHAnsi" w:cstheme="majorHAnsi"/>
                <w:iCs/>
                <w:color w:val="auto"/>
                <w:lang w:val="en-ID"/>
              </w:rPr>
              <w:t>)</w:t>
            </w:r>
            <w:r w:rsidR="00154C47" w:rsidRPr="00C64064">
              <w:rPr>
                <w:rFonts w:asciiTheme="majorHAnsi" w:hAnsiTheme="majorHAnsi" w:cstheme="majorHAnsi"/>
                <w:iCs/>
                <w:color w:val="auto"/>
                <w:lang w:val="en-ID"/>
              </w:rPr>
              <w:t xml:space="preserve"> </w:t>
            </w:r>
          </w:p>
        </w:tc>
      </w:tr>
      <w:tr w:rsidR="008415C1" w:rsidRPr="00C64064" w14:paraId="072FB2D1"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618993C" w14:textId="369F4029" w:rsidR="008415C1" w:rsidRPr="00C64064" w:rsidRDefault="008415C1">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iCs/>
                <w:color w:val="auto"/>
                <w:lang w:val="en-ID"/>
              </w:rPr>
              <w:t>DPMK</w:t>
            </w:r>
          </w:p>
        </w:tc>
        <w:tc>
          <w:tcPr>
            <w:tcW w:w="6840" w:type="dxa"/>
            <w:tcMar>
              <w:top w:w="170" w:type="dxa"/>
              <w:left w:w="170" w:type="dxa"/>
              <w:bottom w:w="170" w:type="dxa"/>
              <w:right w:w="170" w:type="dxa"/>
            </w:tcMar>
          </w:tcPr>
          <w:p w14:paraId="38BB5EC6" w14:textId="6F0A294D" w:rsidR="008415C1" w:rsidRPr="00C64064" w:rsidRDefault="00014127">
            <w:pPr>
              <w:pStyle w:val="Bodytext1colmn"/>
              <w:spacing w:before="0" w:after="0" w:line="276" w:lineRule="auto"/>
              <w:jc w:val="left"/>
              <w:rPr>
                <w:rFonts w:asciiTheme="majorHAnsi" w:hAnsiTheme="majorHAnsi" w:cstheme="majorHAnsi"/>
                <w:iCs/>
                <w:color w:val="auto"/>
              </w:rPr>
            </w:pPr>
            <w:r w:rsidRPr="00C64064">
              <w:rPr>
                <w:rFonts w:asciiTheme="majorHAnsi" w:hAnsiTheme="majorHAnsi" w:cstheme="majorHAnsi"/>
                <w:i/>
                <w:color w:val="auto"/>
                <w:lang w:val="en-ID"/>
              </w:rPr>
              <w:t>Dinas Pemberdayaan Masyarakat dan Kampung</w:t>
            </w:r>
            <w:r w:rsidRPr="00C64064">
              <w:rPr>
                <w:rFonts w:asciiTheme="majorHAnsi" w:hAnsiTheme="majorHAnsi" w:cstheme="majorHAnsi"/>
                <w:iCs/>
                <w:color w:val="auto"/>
                <w:lang w:val="en-ID"/>
              </w:rPr>
              <w:t xml:space="preserve"> (</w:t>
            </w:r>
            <w:r w:rsidR="008415C1" w:rsidRPr="00C64064">
              <w:rPr>
                <w:rFonts w:asciiTheme="majorHAnsi" w:hAnsiTheme="majorHAnsi" w:cstheme="majorHAnsi"/>
                <w:iCs/>
                <w:color w:val="auto"/>
                <w:lang w:val="en-ID"/>
              </w:rPr>
              <w:t>Community and Village Empowerment Agency</w:t>
            </w:r>
            <w:r w:rsidRPr="00C64064">
              <w:rPr>
                <w:rFonts w:asciiTheme="majorHAnsi" w:hAnsiTheme="majorHAnsi" w:cstheme="majorHAnsi"/>
                <w:iCs/>
                <w:color w:val="auto"/>
                <w:lang w:val="en-ID"/>
              </w:rPr>
              <w:t>)</w:t>
            </w:r>
            <w:r w:rsidR="008415C1" w:rsidRPr="00C64064">
              <w:rPr>
                <w:rFonts w:asciiTheme="majorHAnsi" w:hAnsiTheme="majorHAnsi" w:cstheme="majorHAnsi"/>
                <w:iCs/>
                <w:color w:val="auto"/>
                <w:lang w:val="en-ID"/>
              </w:rPr>
              <w:t xml:space="preserve"> </w:t>
            </w:r>
          </w:p>
        </w:tc>
      </w:tr>
      <w:tr w:rsidR="00D47DCF" w:rsidRPr="00C64064" w14:paraId="0A126010"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18226AA" w14:textId="77777777" w:rsidR="00115D63" w:rsidRPr="00C64064" w:rsidRDefault="00115D63">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rPr>
              <w:t>ECB</w:t>
            </w:r>
          </w:p>
        </w:tc>
        <w:tc>
          <w:tcPr>
            <w:tcW w:w="6840" w:type="dxa"/>
            <w:tcMar>
              <w:top w:w="170" w:type="dxa"/>
              <w:left w:w="170" w:type="dxa"/>
              <w:bottom w:w="170" w:type="dxa"/>
              <w:right w:w="170" w:type="dxa"/>
            </w:tcMar>
          </w:tcPr>
          <w:p w14:paraId="391231EF" w14:textId="0E9C1506" w:rsidR="00115D63" w:rsidRPr="00C64064" w:rsidRDefault="00115D63">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rPr>
              <w:t>Emission Control Block</w:t>
            </w:r>
            <w:r w:rsidR="00E67FA9" w:rsidRPr="00C64064">
              <w:rPr>
                <w:rFonts w:asciiTheme="majorHAnsi" w:hAnsiTheme="majorHAnsi" w:cstheme="majorHAnsi"/>
                <w:color w:val="auto"/>
              </w:rPr>
              <w:t>s</w:t>
            </w:r>
          </w:p>
        </w:tc>
      </w:tr>
      <w:tr w:rsidR="00D47DCF" w:rsidRPr="00C64064" w14:paraId="603D15FC"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9EA24FE" w14:textId="77777777" w:rsidR="00115D63" w:rsidRPr="00C64064" w:rsidRDefault="00115D63">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rPr>
              <w:t>EWINDO</w:t>
            </w:r>
          </w:p>
        </w:tc>
        <w:tc>
          <w:tcPr>
            <w:tcW w:w="6840" w:type="dxa"/>
            <w:tcMar>
              <w:top w:w="170" w:type="dxa"/>
              <w:left w:w="170" w:type="dxa"/>
              <w:bottom w:w="170" w:type="dxa"/>
              <w:right w:w="170" w:type="dxa"/>
            </w:tcMar>
          </w:tcPr>
          <w:p w14:paraId="069A15A5" w14:textId="77777777" w:rsidR="00115D63" w:rsidRPr="00C64064" w:rsidRDefault="00115D63">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rPr>
              <w:t>East West Indonesia (seed company)</w:t>
            </w:r>
          </w:p>
        </w:tc>
      </w:tr>
      <w:tr w:rsidR="00D47DCF" w:rsidRPr="00C64064" w14:paraId="7E47305E"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B4F1952" w14:textId="4371AD39" w:rsidR="00115D63" w:rsidRPr="00C64064" w:rsidRDefault="00E87783">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rPr>
              <w:t>FGD</w:t>
            </w:r>
          </w:p>
        </w:tc>
        <w:tc>
          <w:tcPr>
            <w:tcW w:w="6840" w:type="dxa"/>
            <w:tcMar>
              <w:top w:w="170" w:type="dxa"/>
              <w:left w:w="170" w:type="dxa"/>
              <w:bottom w:w="170" w:type="dxa"/>
              <w:right w:w="170" w:type="dxa"/>
            </w:tcMar>
          </w:tcPr>
          <w:p w14:paraId="548B479D" w14:textId="7B0F2FC2" w:rsidR="00115D63" w:rsidRPr="00C64064" w:rsidRDefault="00E87783">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rPr>
              <w:t>Focus Group Discussion</w:t>
            </w:r>
          </w:p>
        </w:tc>
      </w:tr>
      <w:tr w:rsidR="00D47DCF" w:rsidRPr="00C64064" w14:paraId="51FB8D3C"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B629463" w14:textId="77777777" w:rsidR="00115D63" w:rsidRPr="00C64064" w:rsidRDefault="00115D63">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rPr>
              <w:t>FMD</w:t>
            </w:r>
          </w:p>
        </w:tc>
        <w:tc>
          <w:tcPr>
            <w:tcW w:w="6840" w:type="dxa"/>
            <w:tcMar>
              <w:top w:w="170" w:type="dxa"/>
              <w:left w:w="170" w:type="dxa"/>
              <w:bottom w:w="170" w:type="dxa"/>
              <w:right w:w="170" w:type="dxa"/>
            </w:tcMar>
          </w:tcPr>
          <w:p w14:paraId="7FE36736" w14:textId="77777777" w:rsidR="00115D63" w:rsidRPr="00C64064" w:rsidRDefault="00115D63">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rPr>
              <w:t>Foot and Mouth Disease</w:t>
            </w:r>
          </w:p>
        </w:tc>
      </w:tr>
      <w:tr w:rsidR="00D47DCF" w:rsidRPr="00C64064" w14:paraId="405D39AB"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A661223"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Fintech</w:t>
            </w:r>
          </w:p>
        </w:tc>
        <w:tc>
          <w:tcPr>
            <w:tcW w:w="6840" w:type="dxa"/>
            <w:shd w:val="clear" w:color="auto" w:fill="auto"/>
            <w:tcMar>
              <w:top w:w="170" w:type="dxa"/>
              <w:left w:w="170" w:type="dxa"/>
              <w:bottom w:w="170" w:type="dxa"/>
              <w:right w:w="170" w:type="dxa"/>
            </w:tcMar>
          </w:tcPr>
          <w:p w14:paraId="78D28C4C"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Financial Technology</w:t>
            </w:r>
          </w:p>
        </w:tc>
      </w:tr>
      <w:tr w:rsidR="00D47DCF" w:rsidRPr="00C64064" w14:paraId="2A1EB3EE"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37A2AEA"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lastRenderedPageBreak/>
              <w:t>GAP</w:t>
            </w:r>
          </w:p>
        </w:tc>
        <w:tc>
          <w:tcPr>
            <w:tcW w:w="6840" w:type="dxa"/>
            <w:shd w:val="clear" w:color="auto" w:fill="auto"/>
            <w:tcMar>
              <w:top w:w="170" w:type="dxa"/>
              <w:left w:w="170" w:type="dxa"/>
              <w:bottom w:w="170" w:type="dxa"/>
              <w:right w:w="170" w:type="dxa"/>
            </w:tcMar>
          </w:tcPr>
          <w:p w14:paraId="10CD2C07"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Good Agricultural Practices</w:t>
            </w:r>
          </w:p>
        </w:tc>
      </w:tr>
      <w:tr w:rsidR="00D47DCF" w:rsidRPr="00C64064" w14:paraId="7B97F9DF"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6E96B74"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GBV</w:t>
            </w:r>
          </w:p>
        </w:tc>
        <w:tc>
          <w:tcPr>
            <w:tcW w:w="6840" w:type="dxa"/>
            <w:shd w:val="clear" w:color="auto" w:fill="auto"/>
            <w:tcMar>
              <w:top w:w="170" w:type="dxa"/>
              <w:left w:w="170" w:type="dxa"/>
              <w:bottom w:w="170" w:type="dxa"/>
              <w:right w:w="170" w:type="dxa"/>
            </w:tcMar>
          </w:tcPr>
          <w:p w14:paraId="73CC319B"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Gender-Based Violence</w:t>
            </w:r>
          </w:p>
        </w:tc>
      </w:tr>
      <w:tr w:rsidR="00D47DCF" w:rsidRPr="00C64064" w14:paraId="7104FE04"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059D5E1"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GEDSI</w:t>
            </w:r>
          </w:p>
        </w:tc>
        <w:tc>
          <w:tcPr>
            <w:tcW w:w="6840" w:type="dxa"/>
            <w:shd w:val="clear" w:color="auto" w:fill="auto"/>
            <w:tcMar>
              <w:top w:w="170" w:type="dxa"/>
              <w:left w:w="170" w:type="dxa"/>
              <w:bottom w:w="170" w:type="dxa"/>
              <w:right w:w="170" w:type="dxa"/>
            </w:tcMar>
          </w:tcPr>
          <w:p w14:paraId="616EC193"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Gender Equality, Disability and Social Inclusion</w:t>
            </w:r>
          </w:p>
        </w:tc>
      </w:tr>
      <w:tr w:rsidR="00D47DCF" w:rsidRPr="00C64064" w14:paraId="5D1E9212"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791C295"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GFMP</w:t>
            </w:r>
          </w:p>
        </w:tc>
        <w:tc>
          <w:tcPr>
            <w:tcW w:w="6840" w:type="dxa"/>
            <w:shd w:val="clear" w:color="auto" w:fill="auto"/>
            <w:tcMar>
              <w:top w:w="170" w:type="dxa"/>
              <w:left w:w="170" w:type="dxa"/>
              <w:bottom w:w="170" w:type="dxa"/>
              <w:right w:w="170" w:type="dxa"/>
            </w:tcMar>
          </w:tcPr>
          <w:p w14:paraId="5DE2B3F4"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Good Feed Manufacturing Practices</w:t>
            </w:r>
          </w:p>
        </w:tc>
      </w:tr>
      <w:tr w:rsidR="00D47DCF" w:rsidRPr="00C64064" w14:paraId="577AD334"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8D6B518"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GFP</w:t>
            </w:r>
          </w:p>
        </w:tc>
        <w:tc>
          <w:tcPr>
            <w:tcW w:w="6840" w:type="dxa"/>
            <w:shd w:val="clear" w:color="auto" w:fill="auto"/>
            <w:tcMar>
              <w:top w:w="170" w:type="dxa"/>
              <w:left w:w="170" w:type="dxa"/>
              <w:bottom w:w="170" w:type="dxa"/>
              <w:right w:w="170" w:type="dxa"/>
            </w:tcMar>
          </w:tcPr>
          <w:p w14:paraId="5FEE63E3"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 xml:space="preserve">Good Fertiliser Practices </w:t>
            </w:r>
          </w:p>
        </w:tc>
      </w:tr>
      <w:tr w:rsidR="00D47DCF" w:rsidRPr="00C64064" w14:paraId="1D299073"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E0566A2"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GHG</w:t>
            </w:r>
          </w:p>
        </w:tc>
        <w:tc>
          <w:tcPr>
            <w:tcW w:w="6840" w:type="dxa"/>
            <w:shd w:val="clear" w:color="auto" w:fill="auto"/>
            <w:tcMar>
              <w:top w:w="170" w:type="dxa"/>
              <w:left w:w="170" w:type="dxa"/>
              <w:bottom w:w="170" w:type="dxa"/>
              <w:right w:w="170" w:type="dxa"/>
            </w:tcMar>
          </w:tcPr>
          <w:p w14:paraId="503F082D"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Greenhouse Gases</w:t>
            </w:r>
          </w:p>
        </w:tc>
      </w:tr>
      <w:tr w:rsidR="00D47DCF" w:rsidRPr="00C64064" w14:paraId="0762388B"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E97470B"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GKSI</w:t>
            </w:r>
          </w:p>
        </w:tc>
        <w:tc>
          <w:tcPr>
            <w:tcW w:w="6840" w:type="dxa"/>
            <w:shd w:val="clear" w:color="auto" w:fill="auto"/>
            <w:tcMar>
              <w:top w:w="170" w:type="dxa"/>
              <w:left w:w="170" w:type="dxa"/>
              <w:bottom w:w="170" w:type="dxa"/>
              <w:right w:w="170" w:type="dxa"/>
            </w:tcMar>
          </w:tcPr>
          <w:p w14:paraId="6C8D64D5"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i/>
                <w:iCs/>
                <w:color w:val="auto"/>
                <w:szCs w:val="22"/>
              </w:rPr>
              <w:t>Gabungan Koperasi Susu Indonesia</w:t>
            </w:r>
            <w:r w:rsidRPr="00C64064">
              <w:rPr>
                <w:rStyle w:val="Quotes"/>
                <w:rFonts w:asciiTheme="majorHAnsi" w:hAnsiTheme="majorHAnsi" w:cstheme="majorHAnsi"/>
                <w:color w:val="auto"/>
                <w:szCs w:val="22"/>
              </w:rPr>
              <w:t xml:space="preserve"> (Indonesian Dairy Cooperative Association)</w:t>
            </w:r>
          </w:p>
        </w:tc>
      </w:tr>
      <w:tr w:rsidR="00D47DCF" w:rsidRPr="00C64064" w14:paraId="58D4D857"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E1FD508"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GOA</w:t>
            </w:r>
          </w:p>
        </w:tc>
        <w:tc>
          <w:tcPr>
            <w:tcW w:w="6840" w:type="dxa"/>
            <w:shd w:val="clear" w:color="auto" w:fill="auto"/>
            <w:tcMar>
              <w:top w:w="170" w:type="dxa"/>
              <w:left w:w="170" w:type="dxa"/>
              <w:bottom w:w="170" w:type="dxa"/>
              <w:right w:w="170" w:type="dxa"/>
            </w:tcMar>
          </w:tcPr>
          <w:p w14:paraId="063C7804"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Government of Australia</w:t>
            </w:r>
          </w:p>
        </w:tc>
      </w:tr>
      <w:tr w:rsidR="00D47DCF" w:rsidRPr="00C64064" w14:paraId="13450243"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87C65DB"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GOI</w:t>
            </w:r>
          </w:p>
        </w:tc>
        <w:tc>
          <w:tcPr>
            <w:tcW w:w="6840" w:type="dxa"/>
            <w:shd w:val="clear" w:color="auto" w:fill="auto"/>
            <w:tcMar>
              <w:top w:w="170" w:type="dxa"/>
              <w:left w:w="170" w:type="dxa"/>
              <w:bottom w:w="170" w:type="dxa"/>
              <w:right w:w="170" w:type="dxa"/>
            </w:tcMar>
          </w:tcPr>
          <w:p w14:paraId="575C841C"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Government of Indonesia</w:t>
            </w:r>
          </w:p>
        </w:tc>
      </w:tr>
      <w:tr w:rsidR="00D47DCF" w:rsidRPr="00C64064" w14:paraId="27F2F9BE"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97480E1"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GCP</w:t>
            </w:r>
          </w:p>
        </w:tc>
        <w:tc>
          <w:tcPr>
            <w:tcW w:w="6840" w:type="dxa"/>
            <w:shd w:val="clear" w:color="auto" w:fill="auto"/>
            <w:tcMar>
              <w:top w:w="170" w:type="dxa"/>
              <w:left w:w="170" w:type="dxa"/>
              <w:bottom w:w="170" w:type="dxa"/>
              <w:right w:w="170" w:type="dxa"/>
            </w:tcMar>
          </w:tcPr>
          <w:p w14:paraId="65812EF2"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Good Crop Protection Practices</w:t>
            </w:r>
          </w:p>
        </w:tc>
      </w:tr>
      <w:tr w:rsidR="00D47DCF" w:rsidRPr="00C64064" w14:paraId="6F8FFD2B"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F63C338"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Ha</w:t>
            </w:r>
          </w:p>
        </w:tc>
        <w:tc>
          <w:tcPr>
            <w:tcW w:w="6840" w:type="dxa"/>
            <w:shd w:val="clear" w:color="auto" w:fill="auto"/>
            <w:tcMar>
              <w:top w:w="170" w:type="dxa"/>
              <w:left w:w="170" w:type="dxa"/>
              <w:bottom w:w="170" w:type="dxa"/>
              <w:right w:w="170" w:type="dxa"/>
            </w:tcMar>
          </w:tcPr>
          <w:p w14:paraId="214502FA"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Hectare</w:t>
            </w:r>
          </w:p>
        </w:tc>
      </w:tr>
      <w:tr w:rsidR="00D47DCF" w:rsidRPr="00C64064" w14:paraId="6FF9D425"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1F05E59"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HH</w:t>
            </w:r>
          </w:p>
        </w:tc>
        <w:tc>
          <w:tcPr>
            <w:tcW w:w="6840" w:type="dxa"/>
            <w:shd w:val="clear" w:color="auto" w:fill="auto"/>
            <w:tcMar>
              <w:top w:w="170" w:type="dxa"/>
              <w:left w:w="170" w:type="dxa"/>
              <w:bottom w:w="170" w:type="dxa"/>
              <w:right w:w="170" w:type="dxa"/>
            </w:tcMar>
          </w:tcPr>
          <w:p w14:paraId="7D603C64"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Household</w:t>
            </w:r>
          </w:p>
        </w:tc>
      </w:tr>
      <w:tr w:rsidR="006172EF" w:rsidRPr="00C64064" w14:paraId="548E7A14"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629BA1B" w14:textId="6CBE0895" w:rsidR="006172EF" w:rsidRPr="00C64064" w:rsidRDefault="006172EF">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HPPI</w:t>
            </w:r>
          </w:p>
        </w:tc>
        <w:tc>
          <w:tcPr>
            <w:tcW w:w="6840" w:type="dxa"/>
            <w:shd w:val="clear" w:color="auto" w:fill="auto"/>
            <w:tcMar>
              <w:top w:w="170" w:type="dxa"/>
              <w:left w:w="170" w:type="dxa"/>
              <w:bottom w:w="170" w:type="dxa"/>
              <w:right w:w="170" w:type="dxa"/>
            </w:tcMar>
          </w:tcPr>
          <w:p w14:paraId="39D5A7AD" w14:textId="6D640BDB" w:rsidR="006172EF" w:rsidRPr="00C64064" w:rsidRDefault="006172EF">
            <w:pPr>
              <w:pStyle w:val="Bodytext1colmn"/>
              <w:spacing w:before="0" w:after="0" w:line="276" w:lineRule="auto"/>
              <w:jc w:val="left"/>
              <w:rPr>
                <w:rStyle w:val="Quotes"/>
                <w:rFonts w:asciiTheme="majorHAnsi" w:hAnsiTheme="majorHAnsi" w:cstheme="majorHAnsi"/>
                <w:color w:val="auto"/>
                <w:szCs w:val="22"/>
              </w:rPr>
            </w:pPr>
            <w:r w:rsidRPr="00C64064">
              <w:rPr>
                <w:rFonts w:asciiTheme="majorHAnsi" w:hAnsiTheme="majorHAnsi" w:cstheme="majorHAnsi"/>
                <w:color w:val="auto"/>
                <w:szCs w:val="22"/>
                <w:lang w:val="en-AU"/>
              </w:rPr>
              <w:t>High Priority Policy Initiatives</w:t>
            </w:r>
          </w:p>
        </w:tc>
      </w:tr>
      <w:tr w:rsidR="00D47DCF" w:rsidRPr="00C64064" w14:paraId="7EBF3BE0"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E4C7E1C"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HYV</w:t>
            </w:r>
          </w:p>
        </w:tc>
        <w:tc>
          <w:tcPr>
            <w:tcW w:w="6840" w:type="dxa"/>
            <w:shd w:val="clear" w:color="auto" w:fill="auto"/>
            <w:tcMar>
              <w:top w:w="170" w:type="dxa"/>
              <w:left w:w="170" w:type="dxa"/>
              <w:bottom w:w="170" w:type="dxa"/>
              <w:right w:w="170" w:type="dxa"/>
            </w:tcMar>
          </w:tcPr>
          <w:p w14:paraId="378EDCF4"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High-yielding Rice Seed Variety</w:t>
            </w:r>
          </w:p>
        </w:tc>
      </w:tr>
      <w:tr w:rsidR="00D47DCF" w:rsidRPr="00C64064" w14:paraId="440AABE4"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9690C45"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ICN</w:t>
            </w:r>
          </w:p>
        </w:tc>
        <w:tc>
          <w:tcPr>
            <w:tcW w:w="6840" w:type="dxa"/>
            <w:shd w:val="clear" w:color="auto" w:fill="auto"/>
            <w:tcMar>
              <w:top w:w="170" w:type="dxa"/>
              <w:left w:w="170" w:type="dxa"/>
              <w:bottom w:w="170" w:type="dxa"/>
              <w:right w:w="170" w:type="dxa"/>
            </w:tcMar>
          </w:tcPr>
          <w:p w14:paraId="1E086B57"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Intervention Concept Note</w:t>
            </w:r>
          </w:p>
        </w:tc>
      </w:tr>
      <w:tr w:rsidR="00D47DCF" w:rsidRPr="00C64064" w14:paraId="4D87CACB"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8712803"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ICT</w:t>
            </w:r>
          </w:p>
        </w:tc>
        <w:tc>
          <w:tcPr>
            <w:tcW w:w="6840" w:type="dxa"/>
            <w:shd w:val="clear" w:color="auto" w:fill="auto"/>
            <w:tcMar>
              <w:top w:w="170" w:type="dxa"/>
              <w:left w:w="170" w:type="dxa"/>
              <w:bottom w:w="170" w:type="dxa"/>
              <w:right w:w="170" w:type="dxa"/>
            </w:tcMar>
          </w:tcPr>
          <w:p w14:paraId="5818E14A"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Information and Communications Technology</w:t>
            </w:r>
          </w:p>
        </w:tc>
      </w:tr>
      <w:tr w:rsidR="00D47DCF" w:rsidRPr="00C64064" w14:paraId="34B0B6F6"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D7BB1B3"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IDR</w:t>
            </w:r>
          </w:p>
        </w:tc>
        <w:tc>
          <w:tcPr>
            <w:tcW w:w="6840" w:type="dxa"/>
            <w:shd w:val="clear" w:color="auto" w:fill="auto"/>
            <w:tcMar>
              <w:top w:w="170" w:type="dxa"/>
              <w:left w:w="170" w:type="dxa"/>
              <w:bottom w:w="170" w:type="dxa"/>
              <w:right w:w="170" w:type="dxa"/>
            </w:tcMar>
          </w:tcPr>
          <w:p w14:paraId="3D5D05B5"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Indonesian Rupiah</w:t>
            </w:r>
          </w:p>
        </w:tc>
      </w:tr>
      <w:tr w:rsidR="00D47DCF" w:rsidRPr="00C64064" w14:paraId="3715DB85"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A67DCC5"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INDEF</w:t>
            </w:r>
          </w:p>
        </w:tc>
        <w:tc>
          <w:tcPr>
            <w:tcW w:w="6840" w:type="dxa"/>
            <w:shd w:val="clear" w:color="auto" w:fill="auto"/>
            <w:tcMar>
              <w:top w:w="170" w:type="dxa"/>
              <w:left w:w="170" w:type="dxa"/>
              <w:bottom w:w="170" w:type="dxa"/>
              <w:right w:w="170" w:type="dxa"/>
            </w:tcMar>
          </w:tcPr>
          <w:p w14:paraId="7D8D76DC"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Institute for Development and Economics and Finance</w:t>
            </w:r>
          </w:p>
        </w:tc>
      </w:tr>
      <w:tr w:rsidR="00D47DCF" w:rsidRPr="00C64064" w14:paraId="6FCB3F65"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6D7E199"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IP</w:t>
            </w:r>
          </w:p>
        </w:tc>
        <w:tc>
          <w:tcPr>
            <w:tcW w:w="6840" w:type="dxa"/>
            <w:shd w:val="clear" w:color="auto" w:fill="auto"/>
            <w:tcMar>
              <w:top w:w="170" w:type="dxa"/>
              <w:left w:w="170" w:type="dxa"/>
              <w:bottom w:w="170" w:type="dxa"/>
              <w:right w:w="170" w:type="dxa"/>
            </w:tcMar>
          </w:tcPr>
          <w:p w14:paraId="72F65942"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 xml:space="preserve">Intervention Plan </w:t>
            </w:r>
          </w:p>
        </w:tc>
      </w:tr>
      <w:tr w:rsidR="00D47DCF" w:rsidRPr="00C64064" w14:paraId="0108FDFC"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34C00CC" w14:textId="12C1A2BD" w:rsidR="00115D63" w:rsidRPr="00C64064" w:rsidRDefault="0038374A">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szCs w:val="22"/>
                <w:shd w:val="clear" w:color="auto" w:fill="FFFFFF"/>
                <w:lang w:val="en-GB"/>
              </w:rPr>
              <w:t>IPB</w:t>
            </w:r>
            <w:r w:rsidRPr="00C64064" w:rsidDel="001729FF">
              <w:rPr>
                <w:rFonts w:asciiTheme="majorHAnsi" w:hAnsiTheme="majorHAnsi" w:cstheme="majorHAnsi"/>
                <w:b/>
                <w:bCs/>
                <w:color w:val="auto"/>
                <w:szCs w:val="22"/>
                <w:shd w:val="clear" w:color="auto" w:fill="FFFFFF"/>
                <w:lang w:val="en-GB"/>
              </w:rPr>
              <w:t xml:space="preserve"> </w:t>
            </w:r>
            <w:r w:rsidRPr="00C64064">
              <w:rPr>
                <w:rFonts w:asciiTheme="majorHAnsi" w:hAnsiTheme="majorHAnsi" w:cstheme="majorHAnsi"/>
                <w:b/>
                <w:bCs/>
                <w:color w:val="auto"/>
                <w:szCs w:val="22"/>
                <w:shd w:val="clear" w:color="auto" w:fill="FFFFFF"/>
                <w:lang w:val="en-GB"/>
              </w:rPr>
              <w:t>University</w:t>
            </w:r>
          </w:p>
        </w:tc>
        <w:tc>
          <w:tcPr>
            <w:tcW w:w="6840" w:type="dxa"/>
            <w:shd w:val="clear" w:color="auto" w:fill="auto"/>
            <w:tcMar>
              <w:top w:w="170" w:type="dxa"/>
              <w:left w:w="170" w:type="dxa"/>
              <w:bottom w:w="170" w:type="dxa"/>
              <w:right w:w="170" w:type="dxa"/>
            </w:tcMar>
          </w:tcPr>
          <w:p w14:paraId="75C77CBB" w14:textId="1CEF8B58" w:rsidR="00115D63" w:rsidRPr="00C64064" w:rsidRDefault="0038374A">
            <w:pPr>
              <w:pStyle w:val="Bodytext1colmn"/>
              <w:spacing w:before="0" w:after="0" w:line="276" w:lineRule="auto"/>
              <w:jc w:val="left"/>
              <w:rPr>
                <w:rFonts w:asciiTheme="majorHAnsi" w:hAnsiTheme="majorHAnsi" w:cstheme="majorHAnsi"/>
                <w:color w:val="auto"/>
                <w:szCs w:val="22"/>
              </w:rPr>
            </w:pPr>
            <w:r w:rsidRPr="00C64064">
              <w:rPr>
                <w:rFonts w:asciiTheme="majorHAnsi" w:hAnsiTheme="majorHAnsi" w:cstheme="majorHAnsi"/>
                <w:color w:val="auto"/>
                <w:szCs w:val="22"/>
                <w:shd w:val="clear" w:color="auto" w:fill="FFFFFF"/>
                <w:lang w:val="en-GB"/>
              </w:rPr>
              <w:t>Institut Pertanian Bogor</w:t>
            </w:r>
          </w:p>
        </w:tc>
      </w:tr>
      <w:tr w:rsidR="00D47DCF" w:rsidRPr="00C64064" w14:paraId="6DBB86FC"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1045D53"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ISP</w:t>
            </w:r>
          </w:p>
        </w:tc>
        <w:tc>
          <w:tcPr>
            <w:tcW w:w="6840" w:type="dxa"/>
            <w:shd w:val="clear" w:color="auto" w:fill="auto"/>
            <w:tcMar>
              <w:top w:w="170" w:type="dxa"/>
              <w:left w:w="170" w:type="dxa"/>
              <w:bottom w:w="170" w:type="dxa"/>
              <w:right w:w="170" w:type="dxa"/>
            </w:tcMar>
          </w:tcPr>
          <w:p w14:paraId="2F7D1C82"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Intermediary Service Providers</w:t>
            </w:r>
          </w:p>
        </w:tc>
      </w:tr>
      <w:tr w:rsidR="00D47DCF" w:rsidRPr="00C64064" w14:paraId="293EA8D3"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E3650A1"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lastRenderedPageBreak/>
              <w:t>Jamkrindo</w:t>
            </w:r>
          </w:p>
        </w:tc>
        <w:tc>
          <w:tcPr>
            <w:tcW w:w="6840" w:type="dxa"/>
            <w:shd w:val="clear" w:color="auto" w:fill="auto"/>
            <w:tcMar>
              <w:top w:w="170" w:type="dxa"/>
              <w:left w:w="170" w:type="dxa"/>
              <w:bottom w:w="170" w:type="dxa"/>
              <w:right w:w="170" w:type="dxa"/>
            </w:tcMar>
          </w:tcPr>
          <w:p w14:paraId="14C01DA9" w14:textId="28D4E216"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 xml:space="preserve">PT Jaminan Kredit Indonesia </w:t>
            </w:r>
            <w:r w:rsidR="00375A43" w:rsidRPr="00C64064">
              <w:rPr>
                <w:rStyle w:val="Quotes"/>
                <w:rFonts w:asciiTheme="majorHAnsi" w:hAnsiTheme="majorHAnsi" w:cstheme="majorHAnsi"/>
                <w:color w:val="auto"/>
                <w:szCs w:val="22"/>
              </w:rPr>
              <w:t>(a guarantee company)</w:t>
            </w:r>
          </w:p>
        </w:tc>
      </w:tr>
      <w:tr w:rsidR="00D47DCF" w:rsidRPr="00C64064" w14:paraId="14AD3889"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AE2A2A1" w14:textId="1A62364A"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KJUB</w:t>
            </w:r>
            <w:r w:rsidR="00682A51" w:rsidRPr="00C64064">
              <w:rPr>
                <w:rFonts w:asciiTheme="majorHAnsi" w:hAnsiTheme="majorHAnsi" w:cstheme="majorHAnsi"/>
                <w:b/>
                <w:bCs/>
                <w:color w:val="auto"/>
              </w:rPr>
              <w:t xml:space="preserve"> Puspetasari</w:t>
            </w:r>
          </w:p>
        </w:tc>
        <w:tc>
          <w:tcPr>
            <w:tcW w:w="6840" w:type="dxa"/>
            <w:shd w:val="clear" w:color="auto" w:fill="auto"/>
            <w:tcMar>
              <w:top w:w="170" w:type="dxa"/>
              <w:left w:w="170" w:type="dxa"/>
              <w:bottom w:w="170" w:type="dxa"/>
              <w:right w:w="170" w:type="dxa"/>
            </w:tcMar>
          </w:tcPr>
          <w:p w14:paraId="1385F24D"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i/>
                <w:iCs/>
                <w:color w:val="auto"/>
                <w:szCs w:val="22"/>
              </w:rPr>
              <w:t>Koperasi Jasa Usaha Bersama</w:t>
            </w:r>
            <w:r w:rsidRPr="00C64064">
              <w:rPr>
                <w:rStyle w:val="Quotes"/>
                <w:rFonts w:asciiTheme="majorHAnsi" w:hAnsiTheme="majorHAnsi" w:cstheme="majorHAnsi"/>
                <w:color w:val="auto"/>
                <w:szCs w:val="22"/>
              </w:rPr>
              <w:t xml:space="preserve"> (Joint Business Services Cooperative)</w:t>
            </w:r>
          </w:p>
        </w:tc>
      </w:tr>
      <w:tr w:rsidR="00D47DCF" w:rsidRPr="00C64064" w14:paraId="220375B2"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3B098B8"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KPI</w:t>
            </w:r>
          </w:p>
        </w:tc>
        <w:tc>
          <w:tcPr>
            <w:tcW w:w="6840" w:type="dxa"/>
            <w:shd w:val="clear" w:color="auto" w:fill="auto"/>
            <w:tcMar>
              <w:top w:w="170" w:type="dxa"/>
              <w:left w:w="170" w:type="dxa"/>
              <w:bottom w:w="170" w:type="dxa"/>
              <w:right w:w="170" w:type="dxa"/>
            </w:tcMar>
          </w:tcPr>
          <w:p w14:paraId="28DF8524"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Key Performance Indicator</w:t>
            </w:r>
          </w:p>
        </w:tc>
      </w:tr>
      <w:tr w:rsidR="00D47DCF" w:rsidRPr="00C64064" w14:paraId="6909FC4B"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9C6E94E"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LAMP</w:t>
            </w:r>
          </w:p>
        </w:tc>
        <w:tc>
          <w:tcPr>
            <w:tcW w:w="6840" w:type="dxa"/>
            <w:shd w:val="clear" w:color="auto" w:fill="auto"/>
            <w:tcMar>
              <w:top w:w="170" w:type="dxa"/>
              <w:left w:w="170" w:type="dxa"/>
              <w:bottom w:w="170" w:type="dxa"/>
              <w:right w:w="170" w:type="dxa"/>
            </w:tcMar>
          </w:tcPr>
          <w:p w14:paraId="5EF145A7"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 xml:space="preserve">Loop-mediated Isothermal Amplification </w:t>
            </w:r>
          </w:p>
        </w:tc>
      </w:tr>
      <w:tr w:rsidR="00D47DCF" w:rsidRPr="00C64064" w14:paraId="291FA057"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F20C747"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LSD</w:t>
            </w:r>
          </w:p>
        </w:tc>
        <w:tc>
          <w:tcPr>
            <w:tcW w:w="6840" w:type="dxa"/>
            <w:shd w:val="clear" w:color="auto" w:fill="auto"/>
            <w:tcMar>
              <w:top w:w="170" w:type="dxa"/>
              <w:left w:w="170" w:type="dxa"/>
              <w:bottom w:w="170" w:type="dxa"/>
              <w:right w:w="170" w:type="dxa"/>
            </w:tcMar>
          </w:tcPr>
          <w:p w14:paraId="6789B633"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lang w:val="fr-FR"/>
              </w:rPr>
              <w:t>Lumpy Skin Disease</w:t>
            </w:r>
          </w:p>
        </w:tc>
      </w:tr>
      <w:tr w:rsidR="00D47DCF" w:rsidRPr="00C64064" w14:paraId="4E3B542F"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D56ECF7"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MoA</w:t>
            </w:r>
          </w:p>
        </w:tc>
        <w:tc>
          <w:tcPr>
            <w:tcW w:w="6840" w:type="dxa"/>
            <w:shd w:val="clear" w:color="auto" w:fill="auto"/>
            <w:tcMar>
              <w:top w:w="170" w:type="dxa"/>
              <w:left w:w="170" w:type="dxa"/>
              <w:bottom w:w="170" w:type="dxa"/>
              <w:right w:w="170" w:type="dxa"/>
            </w:tcMar>
          </w:tcPr>
          <w:p w14:paraId="4ACDA4E2"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lang w:val="fr-FR"/>
              </w:rPr>
              <w:t>Indonesian Ministry of Agriculture</w:t>
            </w:r>
          </w:p>
        </w:tc>
      </w:tr>
      <w:tr w:rsidR="00D47DCF" w:rsidRPr="00C64064" w14:paraId="7F17759C"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5195FFF"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MoU</w:t>
            </w:r>
          </w:p>
        </w:tc>
        <w:tc>
          <w:tcPr>
            <w:tcW w:w="6840" w:type="dxa"/>
            <w:shd w:val="clear" w:color="auto" w:fill="auto"/>
            <w:tcMar>
              <w:top w:w="170" w:type="dxa"/>
              <w:left w:w="170" w:type="dxa"/>
              <w:bottom w:w="170" w:type="dxa"/>
              <w:right w:w="170" w:type="dxa"/>
            </w:tcMar>
          </w:tcPr>
          <w:p w14:paraId="49849A12"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lang w:val="fr-FR"/>
              </w:rPr>
              <w:t>Memorandum of Understanding</w:t>
            </w:r>
          </w:p>
        </w:tc>
      </w:tr>
      <w:tr w:rsidR="00D47DCF" w:rsidRPr="00C64064" w14:paraId="6073B3A4"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207D00B"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MPR</w:t>
            </w:r>
          </w:p>
        </w:tc>
        <w:tc>
          <w:tcPr>
            <w:tcW w:w="6840" w:type="dxa"/>
            <w:shd w:val="clear" w:color="auto" w:fill="auto"/>
            <w:tcMar>
              <w:top w:w="170" w:type="dxa"/>
              <w:left w:w="170" w:type="dxa"/>
              <w:bottom w:w="170" w:type="dxa"/>
              <w:right w:w="170" w:type="dxa"/>
            </w:tcMar>
          </w:tcPr>
          <w:p w14:paraId="40C4FEE7"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i/>
                <w:iCs/>
                <w:color w:val="auto"/>
                <w:szCs w:val="22"/>
              </w:rPr>
              <w:t>Majelis Permusyawaratan Rakyat</w:t>
            </w:r>
            <w:r w:rsidRPr="00C64064">
              <w:rPr>
                <w:rStyle w:val="Quotes"/>
                <w:rFonts w:asciiTheme="majorHAnsi" w:hAnsiTheme="majorHAnsi" w:cstheme="majorHAnsi"/>
                <w:color w:val="auto"/>
                <w:szCs w:val="22"/>
              </w:rPr>
              <w:t xml:space="preserve"> (People’s Consultative Assembly)</w:t>
            </w:r>
          </w:p>
        </w:tc>
      </w:tr>
      <w:tr w:rsidR="00D47DCF" w:rsidRPr="00C64064" w14:paraId="66573504"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1BF7E9B"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MSD</w:t>
            </w:r>
          </w:p>
        </w:tc>
        <w:tc>
          <w:tcPr>
            <w:tcW w:w="6840" w:type="dxa"/>
            <w:shd w:val="clear" w:color="auto" w:fill="auto"/>
            <w:tcMar>
              <w:top w:w="170" w:type="dxa"/>
              <w:left w:w="170" w:type="dxa"/>
              <w:bottom w:w="170" w:type="dxa"/>
              <w:right w:w="170" w:type="dxa"/>
            </w:tcMar>
          </w:tcPr>
          <w:p w14:paraId="3A68ECF5"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Market Systems Development</w:t>
            </w:r>
          </w:p>
        </w:tc>
      </w:tr>
      <w:tr w:rsidR="00D47DCF" w:rsidRPr="00C64064" w14:paraId="6726DB56"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A99B544" w14:textId="77777777" w:rsidR="00115D63" w:rsidRPr="00C64064" w:rsidRDefault="00115D63">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MSME</w:t>
            </w:r>
          </w:p>
        </w:tc>
        <w:tc>
          <w:tcPr>
            <w:tcW w:w="6840" w:type="dxa"/>
            <w:shd w:val="clear" w:color="auto" w:fill="auto"/>
            <w:tcMar>
              <w:top w:w="170" w:type="dxa"/>
              <w:left w:w="170" w:type="dxa"/>
              <w:bottom w:w="170" w:type="dxa"/>
              <w:right w:w="170" w:type="dxa"/>
            </w:tcMar>
          </w:tcPr>
          <w:p w14:paraId="35CBD13D" w14:textId="77777777" w:rsidR="00115D63" w:rsidRPr="00C64064" w:rsidRDefault="00115D63">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Micro, Small, Medium-sized Enterprise</w:t>
            </w:r>
          </w:p>
        </w:tc>
      </w:tr>
      <w:tr w:rsidR="00F00706" w:rsidRPr="00C64064" w14:paraId="789F1B09"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6575593"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MSS</w:t>
            </w:r>
          </w:p>
        </w:tc>
        <w:tc>
          <w:tcPr>
            <w:tcW w:w="6840" w:type="dxa"/>
            <w:shd w:val="clear" w:color="auto" w:fill="auto"/>
            <w:tcMar>
              <w:top w:w="170" w:type="dxa"/>
              <w:left w:w="170" w:type="dxa"/>
              <w:bottom w:w="170" w:type="dxa"/>
              <w:right w:w="170" w:type="dxa"/>
            </w:tcMar>
          </w:tcPr>
          <w:p w14:paraId="0F7AE490" w14:textId="77777777"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 xml:space="preserve">Market System Strategy </w:t>
            </w:r>
          </w:p>
        </w:tc>
      </w:tr>
      <w:tr w:rsidR="00F00706" w:rsidRPr="00C64064" w14:paraId="3D817485"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ADD275A"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NAIC</w:t>
            </w:r>
          </w:p>
        </w:tc>
        <w:tc>
          <w:tcPr>
            <w:tcW w:w="6840" w:type="dxa"/>
            <w:shd w:val="clear" w:color="auto" w:fill="auto"/>
            <w:tcMar>
              <w:top w:w="170" w:type="dxa"/>
              <w:left w:w="170" w:type="dxa"/>
              <w:bottom w:w="170" w:type="dxa"/>
              <w:right w:w="170" w:type="dxa"/>
            </w:tcMar>
          </w:tcPr>
          <w:p w14:paraId="613B5D91" w14:textId="77777777"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Net Attributable Income Change</w:t>
            </w:r>
          </w:p>
        </w:tc>
      </w:tr>
      <w:tr w:rsidR="00F00706" w:rsidRPr="00C64064" w14:paraId="53135D6D"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A5FDAEC"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NPN</w:t>
            </w:r>
          </w:p>
        </w:tc>
        <w:tc>
          <w:tcPr>
            <w:tcW w:w="6840" w:type="dxa"/>
            <w:shd w:val="clear" w:color="auto" w:fill="auto"/>
            <w:tcMar>
              <w:top w:w="170" w:type="dxa"/>
              <w:left w:w="170" w:type="dxa"/>
              <w:bottom w:w="170" w:type="dxa"/>
              <w:right w:w="170" w:type="dxa"/>
            </w:tcMar>
          </w:tcPr>
          <w:p w14:paraId="3A5E69F3" w14:textId="77777777"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Non-Protein Nitrogen</w:t>
            </w:r>
          </w:p>
        </w:tc>
      </w:tr>
      <w:tr w:rsidR="001A2AB5" w:rsidRPr="00C64064" w14:paraId="25924127"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A7596D4" w14:textId="330B3E36" w:rsidR="001A2AB5" w:rsidRPr="00C64064" w:rsidRDefault="001A2AB5" w:rsidP="00F00706">
            <w:pPr>
              <w:pStyle w:val="Bodytext1colmn"/>
              <w:spacing w:before="0" w:after="0" w:line="276" w:lineRule="auto"/>
              <w:jc w:val="left"/>
              <w:rPr>
                <w:rFonts w:asciiTheme="majorHAnsi" w:hAnsiTheme="majorHAnsi" w:cstheme="majorHAnsi"/>
                <w:b/>
                <w:bCs/>
                <w:color w:val="auto"/>
              </w:rPr>
            </w:pPr>
            <w:r>
              <w:rPr>
                <w:rFonts w:asciiTheme="majorHAnsi" w:hAnsiTheme="majorHAnsi" w:cstheme="majorHAnsi"/>
                <w:b/>
                <w:bCs/>
                <w:color w:val="auto"/>
              </w:rPr>
              <w:t>NPP</w:t>
            </w:r>
          </w:p>
        </w:tc>
        <w:tc>
          <w:tcPr>
            <w:tcW w:w="6840" w:type="dxa"/>
            <w:shd w:val="clear" w:color="auto" w:fill="auto"/>
            <w:tcMar>
              <w:top w:w="170" w:type="dxa"/>
              <w:left w:w="170" w:type="dxa"/>
              <w:bottom w:w="170" w:type="dxa"/>
              <w:right w:w="170" w:type="dxa"/>
            </w:tcMar>
          </w:tcPr>
          <w:p w14:paraId="7C27FFEE" w14:textId="674AA786" w:rsidR="001A2AB5" w:rsidRPr="005C2BA0" w:rsidRDefault="005C2BA0" w:rsidP="00F00706">
            <w:pPr>
              <w:pStyle w:val="Bodytext1colmn"/>
              <w:spacing w:before="0" w:after="0" w:line="276" w:lineRule="auto"/>
              <w:jc w:val="left"/>
              <w:rPr>
                <w:rStyle w:val="Quotes"/>
                <w:rFonts w:asciiTheme="majorHAnsi" w:hAnsiTheme="majorHAnsi" w:cstheme="majorHAnsi"/>
                <w:color w:val="auto"/>
                <w:szCs w:val="22"/>
              </w:rPr>
            </w:pPr>
            <w:r>
              <w:rPr>
                <w:rStyle w:val="Quotes"/>
                <w:rFonts w:asciiTheme="majorHAnsi" w:hAnsiTheme="majorHAnsi" w:cstheme="majorHAnsi"/>
                <w:i/>
                <w:iCs/>
                <w:color w:val="auto"/>
                <w:szCs w:val="22"/>
              </w:rPr>
              <w:t xml:space="preserve">Nomor Pendaftaran Pakan </w:t>
            </w:r>
            <w:r>
              <w:rPr>
                <w:rStyle w:val="Quotes"/>
                <w:rFonts w:asciiTheme="majorHAnsi" w:hAnsiTheme="majorHAnsi" w:cstheme="majorHAnsi"/>
                <w:color w:val="auto"/>
                <w:szCs w:val="22"/>
              </w:rPr>
              <w:t>(Feed Registration Number)</w:t>
            </w:r>
          </w:p>
        </w:tc>
      </w:tr>
      <w:tr w:rsidR="00F00706" w:rsidRPr="00450972" w14:paraId="12119415"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B34F4A1"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NTB</w:t>
            </w:r>
          </w:p>
        </w:tc>
        <w:tc>
          <w:tcPr>
            <w:tcW w:w="6840" w:type="dxa"/>
            <w:shd w:val="clear" w:color="auto" w:fill="auto"/>
            <w:tcMar>
              <w:top w:w="170" w:type="dxa"/>
              <w:left w:w="170" w:type="dxa"/>
              <w:bottom w:w="170" w:type="dxa"/>
              <w:right w:w="170" w:type="dxa"/>
            </w:tcMar>
          </w:tcPr>
          <w:p w14:paraId="7999885F" w14:textId="77777777" w:rsidR="00F00706" w:rsidRPr="00C64064" w:rsidRDefault="00F00706" w:rsidP="00F00706">
            <w:pPr>
              <w:pStyle w:val="Bodytext1colmn"/>
              <w:spacing w:before="0" w:after="0" w:line="276" w:lineRule="auto"/>
              <w:jc w:val="left"/>
              <w:rPr>
                <w:rFonts w:asciiTheme="majorHAnsi" w:hAnsiTheme="majorHAnsi" w:cstheme="majorHAnsi"/>
                <w:color w:val="auto"/>
                <w:szCs w:val="22"/>
                <w:lang w:val="sv-SE"/>
              </w:rPr>
            </w:pPr>
            <w:r w:rsidRPr="00C64064">
              <w:rPr>
                <w:rStyle w:val="Quotes"/>
                <w:rFonts w:asciiTheme="majorHAnsi" w:hAnsiTheme="majorHAnsi" w:cstheme="majorHAnsi"/>
                <w:i/>
                <w:iCs/>
                <w:color w:val="auto"/>
                <w:szCs w:val="22"/>
                <w:lang w:val="sv-SE"/>
              </w:rPr>
              <w:t>Nusa Tenggara Barat</w:t>
            </w:r>
            <w:r w:rsidRPr="00C64064">
              <w:rPr>
                <w:rStyle w:val="Quotes"/>
                <w:rFonts w:asciiTheme="majorHAnsi" w:hAnsiTheme="majorHAnsi" w:cstheme="majorHAnsi"/>
                <w:color w:val="auto"/>
                <w:szCs w:val="22"/>
                <w:lang w:val="sv-SE"/>
              </w:rPr>
              <w:t xml:space="preserve"> (West Nusa Tenggara Province)</w:t>
            </w:r>
          </w:p>
        </w:tc>
      </w:tr>
      <w:tr w:rsidR="00F00706" w:rsidRPr="00C64064" w14:paraId="6222480D"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76AAEF0"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NTT</w:t>
            </w:r>
          </w:p>
        </w:tc>
        <w:tc>
          <w:tcPr>
            <w:tcW w:w="6840" w:type="dxa"/>
            <w:shd w:val="clear" w:color="auto" w:fill="auto"/>
            <w:tcMar>
              <w:top w:w="170" w:type="dxa"/>
              <w:left w:w="170" w:type="dxa"/>
              <w:bottom w:w="170" w:type="dxa"/>
              <w:right w:w="170" w:type="dxa"/>
            </w:tcMar>
          </w:tcPr>
          <w:p w14:paraId="62C607B3" w14:textId="77777777"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i/>
                <w:iCs/>
                <w:color w:val="auto"/>
                <w:szCs w:val="22"/>
              </w:rPr>
              <w:t>Nusa Tenggara Timur</w:t>
            </w:r>
            <w:r w:rsidRPr="00C64064">
              <w:rPr>
                <w:rStyle w:val="Quotes"/>
                <w:rFonts w:asciiTheme="majorHAnsi" w:hAnsiTheme="majorHAnsi" w:cstheme="majorHAnsi"/>
                <w:color w:val="auto"/>
                <w:szCs w:val="22"/>
              </w:rPr>
              <w:t xml:space="preserve"> (East Nusa Tenggara Province)</w:t>
            </w:r>
          </w:p>
        </w:tc>
      </w:tr>
      <w:tr w:rsidR="00F00706" w:rsidRPr="00C64064" w14:paraId="38DB6EBC"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832F562"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OJK</w:t>
            </w:r>
          </w:p>
        </w:tc>
        <w:tc>
          <w:tcPr>
            <w:tcW w:w="6840" w:type="dxa"/>
            <w:shd w:val="clear" w:color="auto" w:fill="auto"/>
            <w:tcMar>
              <w:top w:w="170" w:type="dxa"/>
              <w:left w:w="170" w:type="dxa"/>
              <w:bottom w:w="170" w:type="dxa"/>
              <w:right w:w="170" w:type="dxa"/>
            </w:tcMar>
          </w:tcPr>
          <w:p w14:paraId="35FCA890" w14:textId="77777777"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i/>
                <w:iCs/>
                <w:color w:val="auto"/>
                <w:szCs w:val="22"/>
              </w:rPr>
              <w:t>Otoritas Jasa Keuangan</w:t>
            </w:r>
            <w:r w:rsidRPr="00C64064">
              <w:rPr>
                <w:rStyle w:val="Quotes"/>
                <w:rFonts w:asciiTheme="majorHAnsi" w:hAnsiTheme="majorHAnsi" w:cstheme="majorHAnsi"/>
                <w:color w:val="auto"/>
                <w:szCs w:val="22"/>
              </w:rPr>
              <w:t xml:space="preserve"> (Financial Service Authority) </w:t>
            </w:r>
          </w:p>
        </w:tc>
      </w:tr>
      <w:tr w:rsidR="00F00706" w:rsidRPr="00C64064" w14:paraId="5666FE49"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533F4A4"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OPD</w:t>
            </w:r>
          </w:p>
        </w:tc>
        <w:tc>
          <w:tcPr>
            <w:tcW w:w="6840" w:type="dxa"/>
            <w:shd w:val="clear" w:color="auto" w:fill="auto"/>
            <w:tcMar>
              <w:top w:w="170" w:type="dxa"/>
              <w:left w:w="170" w:type="dxa"/>
              <w:bottom w:w="170" w:type="dxa"/>
              <w:right w:w="170" w:type="dxa"/>
            </w:tcMar>
          </w:tcPr>
          <w:p w14:paraId="453D2952" w14:textId="073A053C"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Organisation of People with Disabilities</w:t>
            </w:r>
          </w:p>
        </w:tc>
      </w:tr>
      <w:tr w:rsidR="00F00706" w:rsidRPr="00C64064" w14:paraId="667DF2C3"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8362C02"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OPV</w:t>
            </w:r>
          </w:p>
        </w:tc>
        <w:tc>
          <w:tcPr>
            <w:tcW w:w="6840" w:type="dxa"/>
            <w:shd w:val="clear" w:color="auto" w:fill="auto"/>
            <w:tcMar>
              <w:top w:w="170" w:type="dxa"/>
              <w:left w:w="170" w:type="dxa"/>
              <w:bottom w:w="170" w:type="dxa"/>
              <w:right w:w="170" w:type="dxa"/>
            </w:tcMar>
          </w:tcPr>
          <w:p w14:paraId="61431B5F" w14:textId="2737116C"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Open-pollinated Variety (a hybrid seed)</w:t>
            </w:r>
          </w:p>
        </w:tc>
      </w:tr>
      <w:tr w:rsidR="00F00706" w:rsidRPr="00C64064" w14:paraId="415B1AA7"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8D70839"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PCC</w:t>
            </w:r>
          </w:p>
        </w:tc>
        <w:tc>
          <w:tcPr>
            <w:tcW w:w="6840" w:type="dxa"/>
            <w:shd w:val="clear" w:color="auto" w:fill="auto"/>
            <w:tcMar>
              <w:top w:w="170" w:type="dxa"/>
              <w:left w:w="170" w:type="dxa"/>
              <w:bottom w:w="170" w:type="dxa"/>
              <w:right w:w="170" w:type="dxa"/>
            </w:tcMar>
          </w:tcPr>
          <w:p w14:paraId="3C631CF8" w14:textId="7697CEAF"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Pr</w:t>
            </w:r>
            <w:r w:rsidR="006B5255" w:rsidRPr="00C64064">
              <w:rPr>
                <w:rStyle w:val="Quotes"/>
                <w:rFonts w:asciiTheme="majorHAnsi" w:hAnsiTheme="majorHAnsi" w:cstheme="majorHAnsi"/>
                <w:color w:val="auto"/>
                <w:szCs w:val="22"/>
              </w:rPr>
              <w:t>o</w:t>
            </w:r>
            <w:r w:rsidRPr="00C64064">
              <w:rPr>
                <w:rStyle w:val="Quotes"/>
                <w:rFonts w:asciiTheme="majorHAnsi" w:hAnsiTheme="majorHAnsi" w:cstheme="majorHAnsi"/>
                <w:color w:val="auto"/>
                <w:szCs w:val="22"/>
              </w:rPr>
              <w:t xml:space="preserve">ject Coordination Committee </w:t>
            </w:r>
          </w:p>
        </w:tc>
      </w:tr>
      <w:tr w:rsidR="00F00706" w:rsidRPr="00C64064" w14:paraId="74D2BAB7"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F00AD07"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PISAgro</w:t>
            </w:r>
          </w:p>
        </w:tc>
        <w:tc>
          <w:tcPr>
            <w:tcW w:w="6840" w:type="dxa"/>
            <w:shd w:val="clear" w:color="auto" w:fill="auto"/>
            <w:tcMar>
              <w:top w:w="170" w:type="dxa"/>
              <w:left w:w="170" w:type="dxa"/>
              <w:bottom w:w="170" w:type="dxa"/>
              <w:right w:w="170" w:type="dxa"/>
            </w:tcMar>
          </w:tcPr>
          <w:p w14:paraId="47FA9FD6" w14:textId="0ECC7845"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Partnership for Indonesia’s Sustainable Agriculture</w:t>
            </w:r>
          </w:p>
        </w:tc>
      </w:tr>
      <w:tr w:rsidR="00F00706" w:rsidRPr="00C64064" w14:paraId="2DC8CD5C"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35206D9"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lastRenderedPageBreak/>
              <w:t>PPP</w:t>
            </w:r>
          </w:p>
        </w:tc>
        <w:tc>
          <w:tcPr>
            <w:tcW w:w="6840" w:type="dxa"/>
            <w:shd w:val="clear" w:color="auto" w:fill="auto"/>
            <w:tcMar>
              <w:top w:w="170" w:type="dxa"/>
              <w:left w:w="170" w:type="dxa"/>
              <w:bottom w:w="170" w:type="dxa"/>
              <w:right w:w="170" w:type="dxa"/>
            </w:tcMar>
          </w:tcPr>
          <w:p w14:paraId="0CDDA327" w14:textId="77777777"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Purchasing Power Parity</w:t>
            </w:r>
          </w:p>
        </w:tc>
      </w:tr>
      <w:tr w:rsidR="00F00706" w:rsidRPr="00FF2080" w14:paraId="694766C7"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201A09D" w14:textId="6AAE01F3"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szCs w:val="22"/>
                <w:lang w:val="en-GB"/>
              </w:rPr>
              <w:t>PR YAKKUM</w:t>
            </w:r>
          </w:p>
        </w:tc>
        <w:tc>
          <w:tcPr>
            <w:tcW w:w="6840" w:type="dxa"/>
            <w:shd w:val="clear" w:color="auto" w:fill="auto"/>
            <w:tcMar>
              <w:top w:w="170" w:type="dxa"/>
              <w:left w:w="170" w:type="dxa"/>
              <w:bottom w:w="170" w:type="dxa"/>
              <w:right w:w="170" w:type="dxa"/>
            </w:tcMar>
          </w:tcPr>
          <w:p w14:paraId="737BA3CA" w14:textId="78449A05" w:rsidR="00F00706" w:rsidRPr="00CF450A" w:rsidRDefault="00F00706" w:rsidP="00F00706">
            <w:pPr>
              <w:pStyle w:val="Bodytext1colmn"/>
              <w:spacing w:before="0" w:after="0" w:line="276" w:lineRule="auto"/>
              <w:jc w:val="left"/>
              <w:rPr>
                <w:rStyle w:val="Quotes"/>
                <w:rFonts w:asciiTheme="majorHAnsi" w:hAnsiTheme="majorHAnsi" w:cstheme="majorHAnsi"/>
                <w:color w:val="auto"/>
                <w:szCs w:val="22"/>
                <w:lang w:val="sv-SE"/>
              </w:rPr>
            </w:pPr>
            <w:r w:rsidRPr="00CF450A">
              <w:rPr>
                <w:rFonts w:asciiTheme="majorHAnsi" w:hAnsiTheme="majorHAnsi" w:cstheme="majorHAnsi"/>
                <w:i/>
                <w:color w:val="auto"/>
                <w:szCs w:val="22"/>
                <w:lang w:val="sv-SE"/>
              </w:rPr>
              <w:t>Pusat Rehabilitasi YAKKUM</w:t>
            </w:r>
            <w:r w:rsidRPr="00CF450A">
              <w:rPr>
                <w:rFonts w:asciiTheme="majorHAnsi" w:hAnsiTheme="majorHAnsi" w:cstheme="majorHAnsi"/>
                <w:color w:val="auto"/>
                <w:szCs w:val="22"/>
                <w:lang w:val="sv-SE"/>
              </w:rPr>
              <w:t xml:space="preserve"> (YAKKUM Rehabilitation Center)</w:t>
            </w:r>
          </w:p>
        </w:tc>
      </w:tr>
      <w:tr w:rsidR="00F00706" w:rsidRPr="00C64064" w14:paraId="14C9BDD2"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B7B1320"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PROSPERA</w:t>
            </w:r>
          </w:p>
        </w:tc>
        <w:tc>
          <w:tcPr>
            <w:tcW w:w="6840" w:type="dxa"/>
            <w:shd w:val="clear" w:color="auto" w:fill="auto"/>
            <w:tcMar>
              <w:top w:w="170" w:type="dxa"/>
              <w:left w:w="170" w:type="dxa"/>
              <w:bottom w:w="170" w:type="dxa"/>
              <w:right w:w="170" w:type="dxa"/>
            </w:tcMar>
          </w:tcPr>
          <w:p w14:paraId="0B9957CB" w14:textId="77777777"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Australia Indonesia Partnership for Economic Development</w:t>
            </w:r>
          </w:p>
        </w:tc>
      </w:tr>
      <w:tr w:rsidR="00F00706" w:rsidRPr="00C64064" w14:paraId="1EE47073"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A83E82D"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PRISMA</w:t>
            </w:r>
          </w:p>
        </w:tc>
        <w:tc>
          <w:tcPr>
            <w:tcW w:w="6840" w:type="dxa"/>
            <w:shd w:val="clear" w:color="auto" w:fill="auto"/>
            <w:tcMar>
              <w:top w:w="170" w:type="dxa"/>
              <w:left w:w="170" w:type="dxa"/>
              <w:bottom w:w="170" w:type="dxa"/>
              <w:right w:w="170" w:type="dxa"/>
            </w:tcMar>
          </w:tcPr>
          <w:p w14:paraId="516EB361" w14:textId="77777777"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Promoting Rural Income through Support for Markets in Agriculture</w:t>
            </w:r>
          </w:p>
        </w:tc>
      </w:tr>
      <w:tr w:rsidR="00F00706" w:rsidRPr="00C64064" w14:paraId="5A558F3A"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CBAA7F2"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PRIP</w:t>
            </w:r>
          </w:p>
        </w:tc>
        <w:tc>
          <w:tcPr>
            <w:tcW w:w="6840" w:type="dxa"/>
            <w:shd w:val="clear" w:color="auto" w:fill="auto"/>
            <w:tcMar>
              <w:top w:w="170" w:type="dxa"/>
              <w:left w:w="170" w:type="dxa"/>
              <w:bottom w:w="170" w:type="dxa"/>
              <w:right w:w="170" w:type="dxa"/>
            </w:tcMar>
          </w:tcPr>
          <w:p w14:paraId="5FC9C348" w14:textId="77777777"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Progress Report and Implementation Plan</w:t>
            </w:r>
          </w:p>
        </w:tc>
      </w:tr>
      <w:tr w:rsidR="00C8694A" w:rsidRPr="00C64064" w14:paraId="3BB00022"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F3CF589" w14:textId="384D75A8" w:rsidR="00C8694A" w:rsidRPr="00C64064" w:rsidRDefault="00C8694A"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lang w:val="en-ID"/>
              </w:rPr>
              <w:t>PSIPKH</w:t>
            </w:r>
          </w:p>
        </w:tc>
        <w:tc>
          <w:tcPr>
            <w:tcW w:w="6840" w:type="dxa"/>
            <w:shd w:val="clear" w:color="auto" w:fill="auto"/>
            <w:tcMar>
              <w:top w:w="170" w:type="dxa"/>
              <w:left w:w="170" w:type="dxa"/>
              <w:bottom w:w="170" w:type="dxa"/>
              <w:right w:w="170" w:type="dxa"/>
            </w:tcMar>
          </w:tcPr>
          <w:p w14:paraId="00A45726" w14:textId="0ED66D90" w:rsidR="00C8694A" w:rsidRPr="00C64064" w:rsidRDefault="00C8694A" w:rsidP="00F00706">
            <w:pPr>
              <w:pStyle w:val="Bodytext1colmn"/>
              <w:spacing w:before="0" w:after="0" w:line="276" w:lineRule="auto"/>
              <w:jc w:val="left"/>
              <w:rPr>
                <w:rStyle w:val="Quotes"/>
                <w:rFonts w:asciiTheme="majorHAnsi" w:hAnsiTheme="majorHAnsi" w:cstheme="majorHAnsi"/>
                <w:color w:val="auto"/>
                <w:szCs w:val="22"/>
              </w:rPr>
            </w:pPr>
            <w:r w:rsidRPr="00C64064">
              <w:rPr>
                <w:rFonts w:asciiTheme="majorHAnsi" w:hAnsiTheme="majorHAnsi" w:cstheme="majorHAnsi"/>
                <w:i/>
                <w:iCs/>
                <w:color w:val="auto"/>
                <w:szCs w:val="22"/>
                <w:lang w:val="en-GB"/>
              </w:rPr>
              <w:t>Pusat Standar Instrumen Peternakan dan Kesehatan Hewan</w:t>
            </w:r>
            <w:r w:rsidRPr="00C64064">
              <w:rPr>
                <w:rFonts w:asciiTheme="majorHAnsi" w:hAnsiTheme="majorHAnsi" w:cstheme="majorHAnsi"/>
                <w:color w:val="auto"/>
                <w:szCs w:val="22"/>
                <w:lang w:val="en-GB"/>
              </w:rPr>
              <w:t xml:space="preserve"> (</w:t>
            </w:r>
            <w:r w:rsidR="00862FE1" w:rsidRPr="00C64064">
              <w:rPr>
                <w:rFonts w:asciiTheme="majorHAnsi" w:hAnsiTheme="majorHAnsi" w:cstheme="majorHAnsi"/>
                <w:color w:val="auto"/>
                <w:szCs w:val="22"/>
                <w:lang w:val="en-GB"/>
              </w:rPr>
              <w:t xml:space="preserve">Livestock and </w:t>
            </w:r>
            <w:r w:rsidRPr="00C64064">
              <w:rPr>
                <w:rFonts w:asciiTheme="majorHAnsi" w:hAnsiTheme="majorHAnsi" w:cstheme="majorHAnsi"/>
                <w:color w:val="auto"/>
                <w:szCs w:val="22"/>
                <w:lang w:val="en-GB"/>
              </w:rPr>
              <w:t xml:space="preserve">Animal Health Instrument </w:t>
            </w:r>
            <w:r w:rsidR="0094158A" w:rsidRPr="00C64064">
              <w:rPr>
                <w:rFonts w:asciiTheme="majorHAnsi" w:hAnsiTheme="majorHAnsi" w:cstheme="majorHAnsi"/>
                <w:color w:val="auto"/>
                <w:szCs w:val="22"/>
                <w:lang w:val="en-GB"/>
              </w:rPr>
              <w:t>Certification Agency</w:t>
            </w:r>
            <w:r w:rsidRPr="00C64064">
              <w:rPr>
                <w:rFonts w:asciiTheme="majorHAnsi" w:hAnsiTheme="majorHAnsi" w:cstheme="majorHAnsi"/>
                <w:color w:val="auto"/>
                <w:szCs w:val="22"/>
                <w:lang w:val="en-GB"/>
              </w:rPr>
              <w:t>)</w:t>
            </w:r>
          </w:p>
        </w:tc>
      </w:tr>
      <w:tr w:rsidR="00F00706" w:rsidRPr="00C64064" w14:paraId="30997154"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F647765"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PSP</w:t>
            </w:r>
          </w:p>
        </w:tc>
        <w:tc>
          <w:tcPr>
            <w:tcW w:w="6840" w:type="dxa"/>
            <w:shd w:val="clear" w:color="auto" w:fill="auto"/>
            <w:tcMar>
              <w:top w:w="170" w:type="dxa"/>
              <w:left w:w="170" w:type="dxa"/>
              <w:bottom w:w="170" w:type="dxa"/>
              <w:right w:w="170" w:type="dxa"/>
            </w:tcMar>
          </w:tcPr>
          <w:p w14:paraId="6C451091" w14:textId="77777777"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Private Sector Partners</w:t>
            </w:r>
          </w:p>
        </w:tc>
      </w:tr>
      <w:tr w:rsidR="00F00706" w:rsidRPr="00C64064" w14:paraId="0B5DC23D"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40CA5FB" w14:textId="00EC5F5F"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szCs w:val="22"/>
                <w:lang w:val="en-GB"/>
              </w:rPr>
              <w:t>PYCH</w:t>
            </w:r>
          </w:p>
        </w:tc>
        <w:tc>
          <w:tcPr>
            <w:tcW w:w="6840" w:type="dxa"/>
            <w:shd w:val="clear" w:color="auto" w:fill="auto"/>
            <w:tcMar>
              <w:top w:w="170" w:type="dxa"/>
              <w:left w:w="170" w:type="dxa"/>
              <w:bottom w:w="170" w:type="dxa"/>
              <w:right w:w="170" w:type="dxa"/>
            </w:tcMar>
          </w:tcPr>
          <w:p w14:paraId="2448792F" w14:textId="10E15D91" w:rsidR="00F00706" w:rsidRPr="00C64064" w:rsidRDefault="00F00706" w:rsidP="00F00706">
            <w:pPr>
              <w:pStyle w:val="Bodytext1colmn"/>
              <w:spacing w:before="0" w:after="0" w:line="276" w:lineRule="auto"/>
              <w:jc w:val="left"/>
              <w:rPr>
                <w:rStyle w:val="Quotes"/>
                <w:rFonts w:asciiTheme="majorHAnsi" w:hAnsiTheme="majorHAnsi" w:cstheme="majorHAnsi"/>
                <w:color w:val="auto"/>
                <w:szCs w:val="22"/>
              </w:rPr>
            </w:pPr>
            <w:r w:rsidRPr="00C64064">
              <w:rPr>
                <w:rFonts w:asciiTheme="majorHAnsi" w:hAnsiTheme="majorHAnsi" w:cstheme="majorHAnsi"/>
                <w:color w:val="auto"/>
                <w:szCs w:val="22"/>
                <w:lang w:val="en-GB"/>
              </w:rPr>
              <w:t xml:space="preserve">Papua Youth Creative Hub </w:t>
            </w:r>
          </w:p>
        </w:tc>
      </w:tr>
      <w:tr w:rsidR="00F00706" w:rsidRPr="00C64064" w14:paraId="3905B8A2"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99D77AA" w14:textId="308E66B0" w:rsidR="00F00706" w:rsidRPr="00C64064" w:rsidRDefault="00552690"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szCs w:val="22"/>
                <w:lang w:val="en-AU"/>
              </w:rPr>
              <w:t>RENSTRA</w:t>
            </w:r>
          </w:p>
        </w:tc>
        <w:tc>
          <w:tcPr>
            <w:tcW w:w="6840" w:type="dxa"/>
            <w:shd w:val="clear" w:color="auto" w:fill="auto"/>
            <w:tcMar>
              <w:top w:w="170" w:type="dxa"/>
              <w:left w:w="170" w:type="dxa"/>
              <w:bottom w:w="170" w:type="dxa"/>
              <w:right w:w="170" w:type="dxa"/>
            </w:tcMar>
          </w:tcPr>
          <w:p w14:paraId="7904678E" w14:textId="23646CD7" w:rsidR="00F00706" w:rsidRPr="00C64064" w:rsidRDefault="00014127" w:rsidP="00F00706">
            <w:pPr>
              <w:pStyle w:val="Bodytext1colmn"/>
              <w:spacing w:before="0" w:after="0" w:line="276" w:lineRule="auto"/>
              <w:jc w:val="left"/>
              <w:rPr>
                <w:rFonts w:asciiTheme="majorHAnsi" w:hAnsiTheme="majorHAnsi" w:cstheme="majorHAnsi"/>
                <w:color w:val="auto"/>
                <w:szCs w:val="22"/>
              </w:rPr>
            </w:pPr>
            <w:r w:rsidRPr="00C64064">
              <w:rPr>
                <w:rFonts w:asciiTheme="majorHAnsi" w:hAnsiTheme="majorHAnsi" w:cstheme="majorHAnsi"/>
                <w:i/>
                <w:iCs/>
                <w:color w:val="auto"/>
                <w:szCs w:val="22"/>
                <w:lang w:val="en-AU"/>
              </w:rPr>
              <w:t>Rencana Strategis</w:t>
            </w:r>
            <w:r w:rsidRPr="00C64064">
              <w:rPr>
                <w:rFonts w:asciiTheme="majorHAnsi" w:hAnsiTheme="majorHAnsi" w:cstheme="majorHAnsi"/>
                <w:color w:val="auto"/>
                <w:szCs w:val="22"/>
                <w:lang w:val="en-AU"/>
              </w:rPr>
              <w:t xml:space="preserve"> (</w:t>
            </w:r>
            <w:r w:rsidR="00552690" w:rsidRPr="00C64064">
              <w:rPr>
                <w:rFonts w:asciiTheme="majorHAnsi" w:hAnsiTheme="majorHAnsi" w:cstheme="majorHAnsi"/>
                <w:color w:val="auto"/>
                <w:szCs w:val="22"/>
                <w:lang w:val="en-AU"/>
              </w:rPr>
              <w:t>Strategic Plan</w:t>
            </w:r>
            <w:r w:rsidRPr="00C64064">
              <w:rPr>
                <w:rFonts w:asciiTheme="majorHAnsi" w:hAnsiTheme="majorHAnsi" w:cstheme="majorHAnsi"/>
                <w:color w:val="auto"/>
                <w:szCs w:val="22"/>
                <w:lang w:val="en-AU"/>
              </w:rPr>
              <w:t>)</w:t>
            </w:r>
            <w:r w:rsidR="00552690" w:rsidRPr="00C64064">
              <w:rPr>
                <w:rFonts w:asciiTheme="majorHAnsi" w:hAnsiTheme="majorHAnsi" w:cstheme="majorHAnsi"/>
                <w:color w:val="auto"/>
                <w:szCs w:val="22"/>
                <w:lang w:val="en-AU"/>
              </w:rPr>
              <w:t xml:space="preserve"> </w:t>
            </w:r>
          </w:p>
        </w:tc>
      </w:tr>
      <w:tr w:rsidR="00F00706" w:rsidRPr="00C64064" w14:paraId="2AFC6341"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B88F70B"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RML</w:t>
            </w:r>
          </w:p>
        </w:tc>
        <w:tc>
          <w:tcPr>
            <w:tcW w:w="6840" w:type="dxa"/>
            <w:shd w:val="clear" w:color="auto" w:fill="auto"/>
            <w:tcMar>
              <w:top w:w="170" w:type="dxa"/>
              <w:left w:w="170" w:type="dxa"/>
              <w:bottom w:w="170" w:type="dxa"/>
              <w:right w:w="170" w:type="dxa"/>
            </w:tcMar>
          </w:tcPr>
          <w:p w14:paraId="407A32D1" w14:textId="39780E74"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 xml:space="preserve">Results, Measurement and Learning </w:t>
            </w:r>
          </w:p>
        </w:tc>
      </w:tr>
      <w:tr w:rsidR="00F00706" w:rsidRPr="00C64064" w14:paraId="53809DDB"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4F8CD3E" w14:textId="0B006F1B"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szCs w:val="22"/>
                <w:lang w:val="en-AU"/>
              </w:rPr>
              <w:t>RPJMD</w:t>
            </w:r>
          </w:p>
        </w:tc>
        <w:tc>
          <w:tcPr>
            <w:tcW w:w="6840" w:type="dxa"/>
            <w:shd w:val="clear" w:color="auto" w:fill="auto"/>
            <w:tcMar>
              <w:top w:w="170" w:type="dxa"/>
              <w:left w:w="170" w:type="dxa"/>
              <w:bottom w:w="170" w:type="dxa"/>
              <w:right w:w="170" w:type="dxa"/>
            </w:tcMar>
          </w:tcPr>
          <w:p w14:paraId="27E69220" w14:textId="3D77349B" w:rsidR="00F00706" w:rsidRPr="00C64064" w:rsidRDefault="00F00706" w:rsidP="00F00706">
            <w:pPr>
              <w:pStyle w:val="Bodytext1colmn"/>
              <w:spacing w:before="0" w:after="0" w:line="276" w:lineRule="auto"/>
              <w:jc w:val="left"/>
              <w:rPr>
                <w:rStyle w:val="Quotes"/>
                <w:rFonts w:asciiTheme="majorHAnsi" w:hAnsiTheme="majorHAnsi" w:cstheme="majorHAnsi"/>
                <w:color w:val="auto"/>
                <w:szCs w:val="22"/>
              </w:rPr>
            </w:pPr>
            <w:r w:rsidRPr="00C64064">
              <w:rPr>
                <w:rFonts w:asciiTheme="majorHAnsi" w:hAnsiTheme="majorHAnsi" w:cstheme="majorHAnsi"/>
                <w:i/>
                <w:iCs/>
                <w:color w:val="auto"/>
                <w:szCs w:val="22"/>
                <w:lang w:val="en-GB"/>
              </w:rPr>
              <w:t xml:space="preserve">Rencana Pembangunan Jangka Menengah Daerah </w:t>
            </w:r>
            <w:r w:rsidRPr="00C64064">
              <w:rPr>
                <w:rFonts w:asciiTheme="majorHAnsi" w:hAnsiTheme="majorHAnsi" w:cstheme="majorHAnsi"/>
                <w:color w:val="auto"/>
                <w:szCs w:val="22"/>
                <w:lang w:val="en-GB"/>
              </w:rPr>
              <w:t>(</w:t>
            </w:r>
            <w:r w:rsidRPr="00C64064">
              <w:rPr>
                <w:rFonts w:asciiTheme="majorHAnsi" w:hAnsiTheme="majorHAnsi" w:cstheme="majorHAnsi"/>
                <w:color w:val="auto"/>
                <w:szCs w:val="22"/>
                <w:lang w:val="en-AU"/>
              </w:rPr>
              <w:t xml:space="preserve">Regional Medium-Term Development Planning) </w:t>
            </w:r>
          </w:p>
        </w:tc>
      </w:tr>
      <w:tr w:rsidR="00F00706" w:rsidRPr="00C64064" w14:paraId="02506CEE"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F787A99"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RPJMN</w:t>
            </w:r>
          </w:p>
        </w:tc>
        <w:tc>
          <w:tcPr>
            <w:tcW w:w="6840" w:type="dxa"/>
            <w:shd w:val="clear" w:color="auto" w:fill="auto"/>
            <w:tcMar>
              <w:top w:w="170" w:type="dxa"/>
              <w:left w:w="170" w:type="dxa"/>
              <w:bottom w:w="170" w:type="dxa"/>
              <w:right w:w="170" w:type="dxa"/>
            </w:tcMar>
          </w:tcPr>
          <w:p w14:paraId="3C040C16" w14:textId="77777777"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i/>
                <w:iCs/>
                <w:color w:val="auto"/>
                <w:szCs w:val="22"/>
              </w:rPr>
              <w:t>Rencana Pembangunan Jangka Menengah Nasional</w:t>
            </w:r>
            <w:r w:rsidRPr="00C64064">
              <w:rPr>
                <w:rStyle w:val="Quotes"/>
                <w:rFonts w:asciiTheme="majorHAnsi" w:hAnsiTheme="majorHAnsi" w:cstheme="majorHAnsi"/>
                <w:color w:val="auto"/>
                <w:szCs w:val="22"/>
              </w:rPr>
              <w:t xml:space="preserve"> (National Medium-Term Development Planning) </w:t>
            </w:r>
          </w:p>
        </w:tc>
      </w:tr>
      <w:tr w:rsidR="00F00706" w:rsidRPr="00C64064" w14:paraId="2D91DB31"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26F9E22"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RPJPN</w:t>
            </w:r>
          </w:p>
        </w:tc>
        <w:tc>
          <w:tcPr>
            <w:tcW w:w="6840" w:type="dxa"/>
            <w:shd w:val="clear" w:color="auto" w:fill="auto"/>
            <w:tcMar>
              <w:top w:w="170" w:type="dxa"/>
              <w:left w:w="170" w:type="dxa"/>
              <w:bottom w:w="170" w:type="dxa"/>
              <w:right w:w="170" w:type="dxa"/>
            </w:tcMar>
          </w:tcPr>
          <w:p w14:paraId="6F12569E" w14:textId="77777777"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i/>
                <w:iCs/>
                <w:color w:val="auto"/>
                <w:szCs w:val="22"/>
              </w:rPr>
              <w:t>Rencana Pembangunan Jangka Panjang Nasional</w:t>
            </w:r>
            <w:r w:rsidRPr="00C64064">
              <w:rPr>
                <w:rStyle w:val="Quotes"/>
                <w:rFonts w:asciiTheme="majorHAnsi" w:hAnsiTheme="majorHAnsi" w:cstheme="majorHAnsi"/>
                <w:color w:val="auto"/>
                <w:szCs w:val="22"/>
              </w:rPr>
              <w:t xml:space="preserve"> (National Long-Term Development Planning)</w:t>
            </w:r>
          </w:p>
        </w:tc>
      </w:tr>
      <w:tr w:rsidR="00F00706" w:rsidRPr="00C64064" w14:paraId="4FBC8934"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F92C0F0"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SDG</w:t>
            </w:r>
          </w:p>
        </w:tc>
        <w:tc>
          <w:tcPr>
            <w:tcW w:w="6840" w:type="dxa"/>
            <w:shd w:val="clear" w:color="auto" w:fill="auto"/>
            <w:tcMar>
              <w:top w:w="170" w:type="dxa"/>
              <w:left w:w="170" w:type="dxa"/>
              <w:bottom w:w="170" w:type="dxa"/>
              <w:right w:w="170" w:type="dxa"/>
            </w:tcMar>
          </w:tcPr>
          <w:p w14:paraId="4C00A4BB" w14:textId="77777777"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 xml:space="preserve">Sustainable Development Goals </w:t>
            </w:r>
          </w:p>
        </w:tc>
      </w:tr>
      <w:tr w:rsidR="00F00706" w:rsidRPr="00C64064" w14:paraId="02C1C876"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EE85F9E"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SGM-Danone</w:t>
            </w:r>
          </w:p>
        </w:tc>
        <w:tc>
          <w:tcPr>
            <w:tcW w:w="6840" w:type="dxa"/>
            <w:shd w:val="clear" w:color="auto" w:fill="auto"/>
            <w:tcMar>
              <w:top w:w="170" w:type="dxa"/>
              <w:left w:w="170" w:type="dxa"/>
              <w:bottom w:w="170" w:type="dxa"/>
              <w:right w:w="170" w:type="dxa"/>
            </w:tcMar>
          </w:tcPr>
          <w:p w14:paraId="03A8EE12" w14:textId="77777777"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PT Sarihusada Generasi Mahardika</w:t>
            </w:r>
          </w:p>
        </w:tc>
      </w:tr>
      <w:tr w:rsidR="00F00706" w:rsidRPr="00C64064" w14:paraId="0257F9C3"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F3418E1"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SME</w:t>
            </w:r>
          </w:p>
        </w:tc>
        <w:tc>
          <w:tcPr>
            <w:tcW w:w="6840" w:type="dxa"/>
            <w:shd w:val="clear" w:color="auto" w:fill="auto"/>
            <w:tcMar>
              <w:top w:w="170" w:type="dxa"/>
              <w:left w:w="170" w:type="dxa"/>
              <w:bottom w:w="170" w:type="dxa"/>
              <w:right w:w="170" w:type="dxa"/>
            </w:tcMar>
          </w:tcPr>
          <w:p w14:paraId="6CAB4A8D" w14:textId="77777777"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Small and Medium-sized Enterprise</w:t>
            </w:r>
          </w:p>
        </w:tc>
      </w:tr>
      <w:tr w:rsidR="00F00706" w:rsidRPr="00C64064" w14:paraId="4681F559"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4156F1B"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SNI</w:t>
            </w:r>
          </w:p>
        </w:tc>
        <w:tc>
          <w:tcPr>
            <w:tcW w:w="6840" w:type="dxa"/>
            <w:shd w:val="clear" w:color="auto" w:fill="auto"/>
            <w:tcMar>
              <w:top w:w="170" w:type="dxa"/>
              <w:left w:w="170" w:type="dxa"/>
              <w:bottom w:w="170" w:type="dxa"/>
              <w:right w:w="170" w:type="dxa"/>
            </w:tcMar>
          </w:tcPr>
          <w:p w14:paraId="45541A4E" w14:textId="77777777"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i/>
                <w:iCs/>
                <w:color w:val="auto"/>
                <w:szCs w:val="22"/>
              </w:rPr>
              <w:t>Standar Nasional Indonesia</w:t>
            </w:r>
            <w:r w:rsidRPr="00C64064">
              <w:rPr>
                <w:rStyle w:val="Quotes"/>
                <w:rFonts w:asciiTheme="majorHAnsi" w:hAnsiTheme="majorHAnsi" w:cstheme="majorHAnsi"/>
                <w:color w:val="auto"/>
                <w:szCs w:val="22"/>
              </w:rPr>
              <w:t xml:space="preserve"> (National Standards)</w:t>
            </w:r>
          </w:p>
        </w:tc>
      </w:tr>
      <w:tr w:rsidR="00F00706" w:rsidRPr="00C64064" w14:paraId="12ECDC4C"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2AE2BC8" w14:textId="5EB04660" w:rsidR="00F00706" w:rsidRPr="00C64064" w:rsidRDefault="000907DA"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SOP</w:t>
            </w:r>
          </w:p>
        </w:tc>
        <w:tc>
          <w:tcPr>
            <w:tcW w:w="6840" w:type="dxa"/>
            <w:shd w:val="clear" w:color="auto" w:fill="auto"/>
            <w:tcMar>
              <w:top w:w="170" w:type="dxa"/>
              <w:left w:w="170" w:type="dxa"/>
              <w:bottom w:w="170" w:type="dxa"/>
              <w:right w:w="170" w:type="dxa"/>
            </w:tcMar>
          </w:tcPr>
          <w:p w14:paraId="6ED23FF7" w14:textId="2B88BBA6" w:rsidR="00F00706" w:rsidRPr="00C64064" w:rsidRDefault="000907DA"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Standard Operational Procedures</w:t>
            </w:r>
          </w:p>
        </w:tc>
      </w:tr>
      <w:tr w:rsidR="00F00706" w:rsidRPr="00C64064" w14:paraId="3E51F5E9"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3CC19DE"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SROI</w:t>
            </w:r>
          </w:p>
        </w:tc>
        <w:tc>
          <w:tcPr>
            <w:tcW w:w="6840" w:type="dxa"/>
            <w:shd w:val="clear" w:color="auto" w:fill="auto"/>
            <w:tcMar>
              <w:top w:w="170" w:type="dxa"/>
              <w:left w:w="170" w:type="dxa"/>
              <w:bottom w:w="170" w:type="dxa"/>
              <w:right w:w="170" w:type="dxa"/>
            </w:tcMar>
          </w:tcPr>
          <w:p w14:paraId="68090D59" w14:textId="77777777"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Social Return on Investment</w:t>
            </w:r>
          </w:p>
        </w:tc>
      </w:tr>
      <w:tr w:rsidR="00F00706" w:rsidRPr="00C64064" w14:paraId="7BE26BED"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953B8AB"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lastRenderedPageBreak/>
              <w:t>UD</w:t>
            </w:r>
          </w:p>
        </w:tc>
        <w:tc>
          <w:tcPr>
            <w:tcW w:w="6840" w:type="dxa"/>
            <w:shd w:val="clear" w:color="auto" w:fill="auto"/>
            <w:tcMar>
              <w:top w:w="170" w:type="dxa"/>
              <w:left w:w="170" w:type="dxa"/>
              <w:bottom w:w="170" w:type="dxa"/>
              <w:right w:w="170" w:type="dxa"/>
            </w:tcMar>
          </w:tcPr>
          <w:p w14:paraId="4BE06DD5" w14:textId="77777777"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Universal Design</w:t>
            </w:r>
          </w:p>
        </w:tc>
      </w:tr>
      <w:tr w:rsidR="00F00706" w:rsidRPr="00C64064" w14:paraId="4709EF59"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64C20D6"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UNW</w:t>
            </w:r>
          </w:p>
        </w:tc>
        <w:tc>
          <w:tcPr>
            <w:tcW w:w="6840" w:type="dxa"/>
            <w:shd w:val="clear" w:color="auto" w:fill="auto"/>
            <w:tcMar>
              <w:top w:w="170" w:type="dxa"/>
              <w:left w:w="170" w:type="dxa"/>
              <w:bottom w:w="170" w:type="dxa"/>
              <w:right w:w="170" w:type="dxa"/>
            </w:tcMar>
          </w:tcPr>
          <w:p w14:paraId="519472EE" w14:textId="1A64ED71"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University of Nadhlatul Wathan</w:t>
            </w:r>
          </w:p>
        </w:tc>
      </w:tr>
      <w:tr w:rsidR="00F00706" w:rsidRPr="00C64064" w14:paraId="2F2E6DF2"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3300FD5" w14:textId="072B501E" w:rsidR="00F00706" w:rsidRPr="00C64064" w:rsidRDefault="00244BA7"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szCs w:val="22"/>
                <w:lang w:val="en-ID"/>
              </w:rPr>
              <w:t>UPJA</w:t>
            </w:r>
            <w:r w:rsidRPr="00C64064" w:rsidDel="00F00706">
              <w:rPr>
                <w:rFonts w:asciiTheme="majorHAnsi" w:hAnsiTheme="majorHAnsi" w:cstheme="majorHAnsi"/>
                <w:b/>
                <w:bCs/>
                <w:color w:val="auto"/>
              </w:rPr>
              <w:t xml:space="preserve"> </w:t>
            </w:r>
          </w:p>
        </w:tc>
        <w:tc>
          <w:tcPr>
            <w:tcW w:w="6840" w:type="dxa"/>
            <w:shd w:val="clear" w:color="auto" w:fill="auto"/>
            <w:tcMar>
              <w:top w:w="170" w:type="dxa"/>
              <w:left w:w="170" w:type="dxa"/>
              <w:bottom w:w="170" w:type="dxa"/>
              <w:right w:w="170" w:type="dxa"/>
            </w:tcMar>
          </w:tcPr>
          <w:p w14:paraId="45DC4ACD" w14:textId="49A4455D" w:rsidR="00F00706" w:rsidRPr="00C64064" w:rsidRDefault="00244BA7" w:rsidP="00F00706">
            <w:pPr>
              <w:pStyle w:val="Bodytext1colmn"/>
              <w:spacing w:before="0" w:after="0" w:line="276" w:lineRule="auto"/>
              <w:jc w:val="left"/>
              <w:rPr>
                <w:rFonts w:asciiTheme="majorHAnsi" w:hAnsiTheme="majorHAnsi" w:cstheme="majorHAnsi"/>
                <w:color w:val="auto"/>
                <w:szCs w:val="22"/>
              </w:rPr>
            </w:pPr>
            <w:r w:rsidRPr="00C64064">
              <w:rPr>
                <w:rFonts w:asciiTheme="majorHAnsi" w:hAnsiTheme="majorHAnsi" w:cstheme="majorHAnsi"/>
                <w:color w:val="auto"/>
                <w:szCs w:val="22"/>
                <w:lang w:val="en-ID"/>
              </w:rPr>
              <w:t xml:space="preserve">Government Mechanisation Service Unit </w:t>
            </w:r>
          </w:p>
        </w:tc>
      </w:tr>
      <w:tr w:rsidR="00F00706" w:rsidRPr="00C64064" w14:paraId="128D5FEE"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33C9DBB"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USD</w:t>
            </w:r>
          </w:p>
        </w:tc>
        <w:tc>
          <w:tcPr>
            <w:tcW w:w="6840" w:type="dxa"/>
            <w:shd w:val="clear" w:color="auto" w:fill="auto"/>
            <w:tcMar>
              <w:top w:w="170" w:type="dxa"/>
              <w:left w:w="170" w:type="dxa"/>
              <w:bottom w:w="170" w:type="dxa"/>
              <w:right w:w="170" w:type="dxa"/>
            </w:tcMar>
          </w:tcPr>
          <w:p w14:paraId="677BC6FA" w14:textId="77777777"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American Dollar</w:t>
            </w:r>
          </w:p>
        </w:tc>
      </w:tr>
      <w:tr w:rsidR="00F00706" w:rsidRPr="00C64064" w14:paraId="558996EE"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4A5F1A5"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VFM</w:t>
            </w:r>
          </w:p>
        </w:tc>
        <w:tc>
          <w:tcPr>
            <w:tcW w:w="6840" w:type="dxa"/>
            <w:shd w:val="clear" w:color="auto" w:fill="auto"/>
            <w:tcMar>
              <w:top w:w="170" w:type="dxa"/>
              <w:left w:w="170" w:type="dxa"/>
              <w:bottom w:w="170" w:type="dxa"/>
              <w:right w:w="170" w:type="dxa"/>
            </w:tcMar>
          </w:tcPr>
          <w:p w14:paraId="7D342C04" w14:textId="77777777"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Value for Money</w:t>
            </w:r>
          </w:p>
        </w:tc>
      </w:tr>
      <w:tr w:rsidR="00F00706" w:rsidRPr="00C64064" w14:paraId="7F1D4731"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05AEAF2" w14:textId="4814ACB5" w:rsidR="00F00706" w:rsidRPr="00C64064" w:rsidRDefault="00F00706" w:rsidP="00F00706">
            <w:pPr>
              <w:pStyle w:val="Bodytext1colmn"/>
              <w:spacing w:before="0" w:after="0" w:line="276" w:lineRule="auto"/>
              <w:jc w:val="left"/>
              <w:rPr>
                <w:rFonts w:asciiTheme="majorHAnsi" w:hAnsiTheme="majorHAnsi" w:cstheme="majorHAnsi"/>
                <w:b/>
                <w:bCs/>
                <w:color w:val="auto"/>
                <w:szCs w:val="22"/>
              </w:rPr>
            </w:pPr>
            <w:r w:rsidRPr="00C64064">
              <w:rPr>
                <w:rFonts w:asciiTheme="majorHAnsi" w:eastAsia="Arial" w:hAnsiTheme="majorHAnsi" w:cstheme="majorHAnsi"/>
                <w:b/>
                <w:bCs/>
                <w:szCs w:val="22"/>
                <w:lang w:val="en-ID" w:eastAsia="en-ID"/>
              </w:rPr>
              <w:t>WSAs</w:t>
            </w:r>
          </w:p>
        </w:tc>
        <w:tc>
          <w:tcPr>
            <w:tcW w:w="6840" w:type="dxa"/>
            <w:shd w:val="clear" w:color="auto" w:fill="auto"/>
            <w:tcMar>
              <w:top w:w="170" w:type="dxa"/>
              <w:left w:w="170" w:type="dxa"/>
              <w:bottom w:w="170" w:type="dxa"/>
              <w:right w:w="170" w:type="dxa"/>
            </w:tcMar>
          </w:tcPr>
          <w:p w14:paraId="7AF4097F" w14:textId="0F8CAADC" w:rsidR="00F00706" w:rsidRPr="00C64064" w:rsidRDefault="00F00706" w:rsidP="00F00706">
            <w:pPr>
              <w:pStyle w:val="Bodytext1colmn"/>
              <w:spacing w:before="0" w:after="0" w:line="276" w:lineRule="auto"/>
              <w:jc w:val="left"/>
              <w:rPr>
                <w:rStyle w:val="Quotes"/>
                <w:rFonts w:asciiTheme="majorHAnsi" w:hAnsiTheme="majorHAnsi" w:cstheme="majorHAnsi"/>
                <w:color w:val="auto"/>
                <w:szCs w:val="22"/>
              </w:rPr>
            </w:pPr>
            <w:r w:rsidRPr="00C64064">
              <w:rPr>
                <w:rFonts w:asciiTheme="majorHAnsi" w:eastAsia="Arial" w:hAnsiTheme="majorHAnsi" w:cstheme="majorHAnsi"/>
                <w:szCs w:val="22"/>
                <w:lang w:val="en-ID" w:eastAsia="en-ID"/>
              </w:rPr>
              <w:t>Women Sales Agents</w:t>
            </w:r>
          </w:p>
        </w:tc>
      </w:tr>
      <w:tr w:rsidR="00F00706" w:rsidRPr="00C64064" w14:paraId="7051BB53"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A6FFD82" w14:textId="77777777" w:rsidR="00F00706" w:rsidRPr="00C64064" w:rsidRDefault="00F00706"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rPr>
              <w:t>WEE</w:t>
            </w:r>
          </w:p>
        </w:tc>
        <w:tc>
          <w:tcPr>
            <w:tcW w:w="6840" w:type="dxa"/>
            <w:shd w:val="clear" w:color="auto" w:fill="auto"/>
            <w:tcMar>
              <w:top w:w="170" w:type="dxa"/>
              <w:left w:w="170" w:type="dxa"/>
              <w:bottom w:w="170" w:type="dxa"/>
              <w:right w:w="170" w:type="dxa"/>
            </w:tcMar>
          </w:tcPr>
          <w:p w14:paraId="555D1DEC" w14:textId="77777777" w:rsidR="00F00706" w:rsidRPr="00C64064" w:rsidRDefault="00F00706" w:rsidP="00F00706">
            <w:pPr>
              <w:pStyle w:val="Bodytext1colmn"/>
              <w:spacing w:before="0" w:after="0" w:line="276" w:lineRule="auto"/>
              <w:jc w:val="left"/>
              <w:rPr>
                <w:rFonts w:asciiTheme="majorHAnsi" w:hAnsiTheme="majorHAnsi" w:cstheme="majorHAnsi"/>
                <w:color w:val="auto"/>
                <w:szCs w:val="22"/>
              </w:rPr>
            </w:pPr>
            <w:r w:rsidRPr="00C64064">
              <w:rPr>
                <w:rStyle w:val="Quotes"/>
                <w:rFonts w:asciiTheme="majorHAnsi" w:hAnsiTheme="majorHAnsi" w:cstheme="majorHAnsi"/>
                <w:color w:val="auto"/>
                <w:szCs w:val="22"/>
              </w:rPr>
              <w:t>Women's Economic Empowerment</w:t>
            </w:r>
          </w:p>
        </w:tc>
      </w:tr>
      <w:tr w:rsidR="00F00706" w:rsidRPr="00C64064" w14:paraId="1C83E848" w14:textId="77777777">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A8C6221" w14:textId="3E05E87D" w:rsidR="00F00706" w:rsidRPr="00C64064" w:rsidRDefault="00884419" w:rsidP="00F00706">
            <w:pPr>
              <w:pStyle w:val="Bodytext1colmn"/>
              <w:spacing w:before="0" w:after="0" w:line="276" w:lineRule="auto"/>
              <w:jc w:val="left"/>
              <w:rPr>
                <w:rFonts w:asciiTheme="majorHAnsi" w:hAnsiTheme="majorHAnsi" w:cstheme="majorHAnsi"/>
                <w:b/>
                <w:bCs/>
                <w:color w:val="auto"/>
              </w:rPr>
            </w:pPr>
            <w:r w:rsidRPr="00C64064">
              <w:rPr>
                <w:rFonts w:asciiTheme="majorHAnsi" w:hAnsiTheme="majorHAnsi" w:cstheme="majorHAnsi"/>
                <w:b/>
                <w:bCs/>
                <w:color w:val="auto"/>
                <w:szCs w:val="22"/>
                <w:lang w:val="en-GB"/>
              </w:rPr>
              <w:t>YBTS</w:t>
            </w:r>
            <w:r w:rsidRPr="00C64064" w:rsidDel="00146FE3">
              <w:rPr>
                <w:rFonts w:asciiTheme="majorHAnsi" w:hAnsiTheme="majorHAnsi" w:cstheme="majorHAnsi"/>
                <w:b/>
                <w:bCs/>
                <w:color w:val="auto"/>
              </w:rPr>
              <w:t xml:space="preserve"> </w:t>
            </w:r>
          </w:p>
        </w:tc>
        <w:tc>
          <w:tcPr>
            <w:tcW w:w="6840" w:type="dxa"/>
            <w:shd w:val="clear" w:color="auto" w:fill="auto"/>
            <w:tcMar>
              <w:top w:w="170" w:type="dxa"/>
              <w:left w:w="170" w:type="dxa"/>
              <w:bottom w:w="170" w:type="dxa"/>
              <w:right w:w="170" w:type="dxa"/>
            </w:tcMar>
          </w:tcPr>
          <w:p w14:paraId="469D52F2" w14:textId="4917DA45" w:rsidR="00F00706" w:rsidRPr="00C64064" w:rsidRDefault="00884419" w:rsidP="00F00706">
            <w:pPr>
              <w:pStyle w:val="Bodytext1colmn"/>
              <w:spacing w:before="0" w:after="0" w:line="276" w:lineRule="auto"/>
              <w:jc w:val="left"/>
              <w:rPr>
                <w:rFonts w:asciiTheme="majorHAnsi" w:hAnsiTheme="majorHAnsi" w:cstheme="majorHAnsi"/>
                <w:color w:val="auto"/>
                <w:szCs w:val="22"/>
              </w:rPr>
            </w:pPr>
            <w:r w:rsidRPr="00C64064">
              <w:rPr>
                <w:rFonts w:asciiTheme="majorHAnsi" w:hAnsiTheme="majorHAnsi" w:cstheme="majorHAnsi"/>
                <w:i/>
                <w:iCs/>
                <w:color w:val="auto"/>
                <w:szCs w:val="22"/>
                <w:lang w:val="en-GB"/>
              </w:rPr>
              <w:t>Yayasan Bina Tani Sejahtera</w:t>
            </w:r>
            <w:r w:rsidRPr="00C64064">
              <w:rPr>
                <w:rFonts w:asciiTheme="majorHAnsi" w:hAnsiTheme="majorHAnsi" w:cstheme="majorHAnsi"/>
                <w:color w:val="auto"/>
                <w:szCs w:val="22"/>
                <w:lang w:val="en-GB"/>
              </w:rPr>
              <w:t xml:space="preserve"> (a foundation under PT East West Seed Indonesia)</w:t>
            </w:r>
            <w:r w:rsidRPr="00C64064" w:rsidDel="00146FE3">
              <w:rPr>
                <w:rFonts w:asciiTheme="majorHAnsi" w:hAnsiTheme="majorHAnsi" w:cstheme="majorHAnsi"/>
                <w:color w:val="auto"/>
                <w:szCs w:val="22"/>
                <w:lang w:val="en-GB"/>
              </w:rPr>
              <w:t xml:space="preserve"> </w:t>
            </w:r>
          </w:p>
        </w:tc>
      </w:tr>
    </w:tbl>
    <w:p w14:paraId="6EEF18C1" w14:textId="77777777" w:rsidR="00115D63" w:rsidRPr="00C64064" w:rsidRDefault="00115D63" w:rsidP="00C72B45">
      <w:pPr>
        <w:pStyle w:val="Body"/>
        <w:rPr>
          <w:rStyle w:val="Quotes"/>
          <w:rFonts w:asciiTheme="majorHAnsi" w:hAnsiTheme="majorHAnsi" w:cstheme="majorHAnsi"/>
          <w:b/>
          <w:bCs/>
          <w:sz w:val="18"/>
          <w:szCs w:val="18"/>
        </w:rPr>
        <w:sectPr w:rsidR="00115D63" w:rsidRPr="00C64064" w:rsidSect="00096423">
          <w:pgSz w:w="11906" w:h="16838"/>
          <w:pgMar w:top="1135" w:right="1335" w:bottom="1276" w:left="1334" w:header="709" w:footer="788" w:gutter="0"/>
          <w:pgNumType w:start="2"/>
          <w:cols w:space="708"/>
          <w:titlePg/>
          <w:docGrid w:linePitch="360"/>
        </w:sectPr>
      </w:pPr>
    </w:p>
    <w:bookmarkEnd w:id="11"/>
    <w:p w14:paraId="2ADE476C" w14:textId="77777777" w:rsidR="005D3C20" w:rsidRPr="00C64064" w:rsidRDefault="005D3C20" w:rsidP="00C72B45">
      <w:pPr>
        <w:pStyle w:val="Body"/>
        <w:rPr>
          <w:rFonts w:asciiTheme="majorHAnsi" w:hAnsiTheme="majorHAnsi" w:cstheme="majorHAnsi"/>
        </w:rPr>
        <w:sectPr w:rsidR="005D3C20" w:rsidRPr="00C64064" w:rsidSect="00096423">
          <w:footerReference w:type="default" r:id="rId22"/>
          <w:type w:val="continuous"/>
          <w:pgSz w:w="11906" w:h="16838"/>
          <w:pgMar w:top="1135" w:right="1335" w:bottom="1276" w:left="1334" w:header="709" w:footer="788" w:gutter="0"/>
          <w:cols w:space="708"/>
          <w:titlePg/>
          <w:docGrid w:linePitch="360"/>
        </w:sectPr>
      </w:pPr>
    </w:p>
    <w:p w14:paraId="711ED2ED" w14:textId="77777777" w:rsidR="005D3C20" w:rsidRPr="00C64064" w:rsidRDefault="005D3C20" w:rsidP="005D3C20">
      <w:pPr>
        <w:spacing w:line="276" w:lineRule="auto"/>
        <w:rPr>
          <w:rFonts w:asciiTheme="majorHAnsi" w:hAnsiTheme="majorHAnsi" w:cstheme="majorHAnsi"/>
        </w:rPr>
      </w:pPr>
    </w:p>
    <w:p w14:paraId="4280E447" w14:textId="1F37B41E" w:rsidR="00787DA2" w:rsidRPr="00C64064" w:rsidRDefault="003B435F" w:rsidP="006838CF">
      <w:pPr>
        <w:spacing w:line="276" w:lineRule="auto"/>
        <w:rPr>
          <w:rFonts w:asciiTheme="majorHAnsi" w:hAnsiTheme="majorHAnsi" w:cstheme="majorHAnsi"/>
          <w:b/>
          <w:bCs/>
        </w:rPr>
      </w:pPr>
      <w:r w:rsidRPr="00C64064">
        <w:rPr>
          <w:rFonts w:asciiTheme="majorHAnsi" w:hAnsiTheme="majorHAnsi" w:cstheme="majorHAnsi"/>
          <w:b/>
          <w:bCs/>
        </w:rPr>
        <w:t>D</w:t>
      </w:r>
      <w:r w:rsidR="00CF79BA" w:rsidRPr="00C64064">
        <w:rPr>
          <w:rFonts w:asciiTheme="majorHAnsi" w:hAnsiTheme="majorHAnsi" w:cstheme="majorHAnsi"/>
          <w:b/>
          <w:bCs/>
        </w:rPr>
        <w:t>efinitions</w:t>
      </w:r>
      <w:r w:rsidRPr="00C64064">
        <w:rPr>
          <w:rFonts w:asciiTheme="majorHAnsi" w:hAnsiTheme="majorHAnsi" w:cstheme="majorHAnsi"/>
          <w:b/>
          <w:bCs/>
        </w:rPr>
        <w:t xml:space="preserve"> of key terms</w:t>
      </w:r>
      <w:r w:rsidR="00CF79BA" w:rsidRPr="00C64064">
        <w:rPr>
          <w:rFonts w:asciiTheme="majorHAnsi" w:hAnsiTheme="majorHAnsi" w:cstheme="majorHAnsi"/>
          <w:b/>
          <w:bCs/>
        </w:rPr>
        <w:t xml:space="preserve"> </w:t>
      </w:r>
    </w:p>
    <w:tbl>
      <w:tblPr>
        <w:tblW w:w="9360" w:type="dxa"/>
        <w:tblInd w:w="170" w:type="dxa"/>
        <w:tblBorders>
          <w:top w:val="single" w:sz="4" w:space="0" w:color="auto"/>
          <w:bottom w:val="single" w:sz="4" w:space="0" w:color="auto"/>
          <w:insideH w:val="single" w:sz="4" w:space="0" w:color="auto"/>
        </w:tblBorders>
        <w:tblLayout w:type="fixed"/>
        <w:tblCellMar>
          <w:left w:w="0" w:type="dxa"/>
          <w:right w:w="0" w:type="dxa"/>
        </w:tblCellMar>
        <w:tblLook w:val="0000" w:firstRow="0" w:lastRow="0" w:firstColumn="0" w:lastColumn="0" w:noHBand="0" w:noVBand="0"/>
      </w:tblPr>
      <w:tblGrid>
        <w:gridCol w:w="2520"/>
        <w:gridCol w:w="6840"/>
      </w:tblGrid>
      <w:tr w:rsidR="00D47DCF" w:rsidRPr="00C64064" w14:paraId="71C3A2A4" w14:textId="77777777" w:rsidTr="75BBF136">
        <w:trPr>
          <w:trHeight w:val="436"/>
        </w:trPr>
        <w:tc>
          <w:tcPr>
            <w:tcW w:w="2520" w:type="dxa"/>
            <w:tcBorders>
              <w:top w:val="single" w:sz="8" w:space="0" w:color="auto"/>
              <w:bottom w:val="single" w:sz="8" w:space="0" w:color="auto"/>
            </w:tcBorders>
            <w:tcMar>
              <w:top w:w="170" w:type="dxa"/>
              <w:left w:w="170" w:type="dxa"/>
              <w:bottom w:w="170" w:type="dxa"/>
              <w:right w:w="170" w:type="dxa"/>
            </w:tcMar>
          </w:tcPr>
          <w:p w14:paraId="76406152"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Direct Intervention Cost</w:t>
            </w:r>
          </w:p>
        </w:tc>
        <w:tc>
          <w:tcPr>
            <w:tcW w:w="6840" w:type="dxa"/>
            <w:tcMar>
              <w:top w:w="170" w:type="dxa"/>
              <w:left w:w="170" w:type="dxa"/>
              <w:bottom w:w="170" w:type="dxa"/>
              <w:right w:w="170" w:type="dxa"/>
            </w:tcMar>
          </w:tcPr>
          <w:p w14:paraId="1EE27C34" w14:textId="77777777"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 xml:space="preserve">PRISMA’s contributions to the intervention-related budget, as described in the partnership agreement or memorandum of understanding </w:t>
            </w:r>
          </w:p>
        </w:tc>
      </w:tr>
      <w:tr w:rsidR="00D47DCF" w:rsidRPr="00C64064" w14:paraId="732DA0F2"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9435FEA"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Existing Intervention</w:t>
            </w:r>
          </w:p>
        </w:tc>
        <w:tc>
          <w:tcPr>
            <w:tcW w:w="6840" w:type="dxa"/>
            <w:tcMar>
              <w:top w:w="170" w:type="dxa"/>
              <w:left w:w="170" w:type="dxa"/>
              <w:bottom w:w="170" w:type="dxa"/>
              <w:right w:w="170" w:type="dxa"/>
            </w:tcMar>
          </w:tcPr>
          <w:p w14:paraId="28C39B68" w14:textId="77777777"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Intervention that is currently running and/or commenced this semester</w:t>
            </w:r>
          </w:p>
        </w:tc>
      </w:tr>
      <w:tr w:rsidR="00D47DCF" w:rsidRPr="00C64064" w14:paraId="4A04DC27"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8845EA6" w14:textId="286D2D31"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I</w:t>
            </w:r>
            <w:r w:rsidR="508CB7ED" w:rsidRPr="00C64064">
              <w:rPr>
                <w:rFonts w:asciiTheme="majorHAnsi" w:hAnsiTheme="majorHAnsi" w:cstheme="majorHAnsi"/>
                <w:b/>
                <w:color w:val="auto"/>
                <w:szCs w:val="22"/>
                <w:lang w:val="en-GB"/>
              </w:rPr>
              <w:t>ntervention Concept Note (</w:t>
            </w:r>
            <w:r w:rsidR="2A00AC96" w:rsidRPr="00C64064">
              <w:rPr>
                <w:rFonts w:asciiTheme="majorHAnsi" w:hAnsiTheme="majorHAnsi" w:cstheme="majorHAnsi"/>
                <w:b/>
                <w:color w:val="auto"/>
                <w:szCs w:val="22"/>
                <w:lang w:val="en-GB"/>
              </w:rPr>
              <w:t>ICN</w:t>
            </w:r>
            <w:r w:rsidR="2EC26F04" w:rsidRPr="00C64064">
              <w:rPr>
                <w:rFonts w:asciiTheme="majorHAnsi" w:hAnsiTheme="majorHAnsi" w:cstheme="majorHAnsi"/>
                <w:b/>
                <w:color w:val="auto"/>
                <w:szCs w:val="22"/>
                <w:lang w:val="en-GB"/>
              </w:rPr>
              <w:t>)</w:t>
            </w:r>
          </w:p>
        </w:tc>
        <w:tc>
          <w:tcPr>
            <w:tcW w:w="6840" w:type="dxa"/>
            <w:tcMar>
              <w:top w:w="170" w:type="dxa"/>
              <w:left w:w="170" w:type="dxa"/>
              <w:bottom w:w="170" w:type="dxa"/>
              <w:right w:w="170" w:type="dxa"/>
            </w:tcMar>
          </w:tcPr>
          <w:p w14:paraId="492FCE29" w14:textId="30BC22E4"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An intervention concept note is an initial document outlining the main features and context of a planned intervention</w:t>
            </w:r>
            <w:r w:rsidR="00903EB7" w:rsidRPr="00C64064">
              <w:rPr>
                <w:rFonts w:asciiTheme="majorHAnsi" w:hAnsiTheme="majorHAnsi" w:cstheme="majorHAnsi"/>
                <w:color w:val="auto"/>
                <w:szCs w:val="22"/>
                <w:lang w:val="en-GB"/>
              </w:rPr>
              <w:t>.</w:t>
            </w:r>
          </w:p>
        </w:tc>
      </w:tr>
      <w:tr w:rsidR="00D47DCF" w:rsidRPr="00C64064" w14:paraId="7BEF4758"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77E952B"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Indirect Intervention Cost</w:t>
            </w:r>
          </w:p>
        </w:tc>
        <w:tc>
          <w:tcPr>
            <w:tcW w:w="6840" w:type="dxa"/>
            <w:tcMar>
              <w:top w:w="170" w:type="dxa"/>
              <w:left w:w="170" w:type="dxa"/>
              <w:bottom w:w="170" w:type="dxa"/>
              <w:right w:w="170" w:type="dxa"/>
            </w:tcMar>
          </w:tcPr>
          <w:p w14:paraId="0E2D53AA" w14:textId="5CF253A6" w:rsidR="00787DA2" w:rsidRPr="00C64064" w:rsidRDefault="6E19771B"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PRISMA’s contribution to implementation staff costs (and travel costs), result, management</w:t>
            </w:r>
            <w:r w:rsidR="32414107" w:rsidRPr="00C64064">
              <w:rPr>
                <w:rFonts w:asciiTheme="majorHAnsi" w:hAnsiTheme="majorHAnsi" w:cstheme="majorHAnsi"/>
                <w:color w:val="auto"/>
                <w:szCs w:val="22"/>
                <w:lang w:val="en-GB"/>
              </w:rPr>
              <w:t>,</w:t>
            </w:r>
            <w:r w:rsidRPr="00C64064">
              <w:rPr>
                <w:rFonts w:asciiTheme="majorHAnsi" w:hAnsiTheme="majorHAnsi" w:cstheme="majorHAnsi"/>
                <w:color w:val="auto"/>
                <w:szCs w:val="22"/>
                <w:lang w:val="en-GB"/>
              </w:rPr>
              <w:t xml:space="preserve"> and learning costs (including studies) connected to the intervention, capacity building</w:t>
            </w:r>
            <w:r w:rsidR="68FF59F2" w:rsidRPr="00C64064">
              <w:rPr>
                <w:rFonts w:asciiTheme="majorHAnsi" w:hAnsiTheme="majorHAnsi" w:cstheme="majorHAnsi"/>
                <w:color w:val="auto"/>
                <w:szCs w:val="22"/>
                <w:lang w:val="en-GB"/>
              </w:rPr>
              <w:t>,</w:t>
            </w:r>
            <w:r w:rsidRPr="00C64064">
              <w:rPr>
                <w:rFonts w:asciiTheme="majorHAnsi" w:hAnsiTheme="majorHAnsi" w:cstheme="majorHAnsi"/>
                <w:color w:val="auto"/>
                <w:szCs w:val="22"/>
                <w:lang w:val="en-GB"/>
              </w:rPr>
              <w:t xml:space="preserve"> and communication costs</w:t>
            </w:r>
          </w:p>
        </w:tc>
      </w:tr>
      <w:tr w:rsidR="00D47DCF" w:rsidRPr="00C64064" w14:paraId="41DC9DA3"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590E9B7" w14:textId="577FEFD4" w:rsidR="00787DA2" w:rsidRPr="00C64064" w:rsidRDefault="00787DA2" w:rsidP="0045601F">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szCs w:val="22"/>
                <w:lang w:val="en-GB"/>
              </w:rPr>
              <w:t xml:space="preserve">Investment Leverage </w:t>
            </w:r>
            <w:r w:rsidR="41FD6B7B" w:rsidRPr="00C64064">
              <w:rPr>
                <w:rFonts w:asciiTheme="majorHAnsi" w:hAnsiTheme="majorHAnsi" w:cstheme="majorHAnsi"/>
                <w:b/>
                <w:bCs/>
                <w:color w:val="auto"/>
                <w:szCs w:val="22"/>
                <w:lang w:val="en-GB"/>
              </w:rPr>
              <w:t>(</w:t>
            </w:r>
            <w:r w:rsidR="008A5111" w:rsidRPr="00C64064">
              <w:rPr>
                <w:rFonts w:asciiTheme="majorHAnsi" w:hAnsiTheme="majorHAnsi" w:cstheme="majorHAnsi"/>
                <w:b/>
                <w:bCs/>
                <w:color w:val="auto"/>
                <w:szCs w:val="22"/>
                <w:lang w:val="en-GB"/>
              </w:rPr>
              <w:t>p</w:t>
            </w:r>
            <w:r w:rsidRPr="00C64064">
              <w:rPr>
                <w:rFonts w:asciiTheme="majorHAnsi" w:hAnsiTheme="majorHAnsi" w:cstheme="majorHAnsi"/>
                <w:b/>
                <w:bCs/>
                <w:color w:val="auto"/>
                <w:szCs w:val="22"/>
                <w:lang w:val="en-GB"/>
              </w:rPr>
              <w:t>artner</w:t>
            </w:r>
            <w:r w:rsidR="008A5111" w:rsidRPr="00C64064">
              <w:rPr>
                <w:rFonts w:asciiTheme="majorHAnsi" w:hAnsiTheme="majorHAnsi" w:cstheme="majorHAnsi"/>
                <w:b/>
                <w:bCs/>
                <w:color w:val="auto"/>
                <w:szCs w:val="22"/>
                <w:lang w:val="en-GB"/>
              </w:rPr>
              <w:t>s</w:t>
            </w:r>
            <w:r w:rsidR="1F642ACA" w:rsidRPr="00C64064">
              <w:rPr>
                <w:rFonts w:asciiTheme="majorHAnsi" w:hAnsiTheme="majorHAnsi" w:cstheme="majorHAnsi"/>
                <w:b/>
                <w:bCs/>
                <w:color w:val="auto"/>
                <w:szCs w:val="22"/>
                <w:lang w:val="en-GB"/>
              </w:rPr>
              <w:t>)</w:t>
            </w:r>
          </w:p>
        </w:tc>
        <w:tc>
          <w:tcPr>
            <w:tcW w:w="6840" w:type="dxa"/>
            <w:tcMar>
              <w:top w:w="170" w:type="dxa"/>
              <w:left w:w="170" w:type="dxa"/>
              <w:bottom w:w="170" w:type="dxa"/>
              <w:right w:w="170" w:type="dxa"/>
            </w:tcMar>
          </w:tcPr>
          <w:p w14:paraId="4362D6F0" w14:textId="312DEA76"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 xml:space="preserve">The ratio of the value of additional investments by partners to </w:t>
            </w:r>
            <w:r w:rsidR="23547F34" w:rsidRPr="00C64064">
              <w:rPr>
                <w:rFonts w:asciiTheme="majorHAnsi" w:hAnsiTheme="majorHAnsi" w:cstheme="majorHAnsi"/>
                <w:color w:val="auto"/>
                <w:szCs w:val="22"/>
                <w:lang w:val="en-GB"/>
              </w:rPr>
              <w:t>PRISMA</w:t>
            </w:r>
            <w:r w:rsidR="55688C68" w:rsidRPr="00C64064">
              <w:rPr>
                <w:rFonts w:asciiTheme="majorHAnsi" w:hAnsiTheme="majorHAnsi" w:cstheme="majorHAnsi"/>
                <w:color w:val="auto"/>
                <w:szCs w:val="22"/>
                <w:lang w:val="en-GB"/>
              </w:rPr>
              <w:t>’</w:t>
            </w:r>
            <w:r w:rsidR="23547F34" w:rsidRPr="00C64064">
              <w:rPr>
                <w:rFonts w:asciiTheme="majorHAnsi" w:hAnsiTheme="majorHAnsi" w:cstheme="majorHAnsi"/>
                <w:color w:val="auto"/>
                <w:szCs w:val="22"/>
                <w:lang w:val="en-GB"/>
              </w:rPr>
              <w:t xml:space="preserve">s total </w:t>
            </w:r>
            <w:r w:rsidRPr="00C64064">
              <w:rPr>
                <w:rFonts w:asciiTheme="majorHAnsi" w:hAnsiTheme="majorHAnsi" w:cstheme="majorHAnsi"/>
                <w:color w:val="auto"/>
                <w:szCs w:val="22"/>
                <w:lang w:val="en-GB"/>
              </w:rPr>
              <w:t>intervention costs</w:t>
            </w:r>
          </w:p>
        </w:tc>
      </w:tr>
      <w:tr w:rsidR="00D47DCF" w:rsidRPr="00C64064" w14:paraId="291F9647"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79857FF" w14:textId="13F8B67F" w:rsidR="00787DA2" w:rsidRPr="00C64064" w:rsidRDefault="00787DA2" w:rsidP="0045601F">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szCs w:val="22"/>
                <w:lang w:val="en-GB"/>
              </w:rPr>
              <w:t xml:space="preserve">Investment Leverage </w:t>
            </w:r>
            <w:r w:rsidR="6CC35591" w:rsidRPr="00C64064">
              <w:rPr>
                <w:rFonts w:asciiTheme="majorHAnsi" w:hAnsiTheme="majorHAnsi" w:cstheme="majorHAnsi"/>
                <w:b/>
                <w:bCs/>
                <w:color w:val="auto"/>
                <w:szCs w:val="22"/>
                <w:lang w:val="en-GB"/>
              </w:rPr>
              <w:t>(</w:t>
            </w:r>
            <w:r w:rsidR="008A5111" w:rsidRPr="00C64064">
              <w:rPr>
                <w:rFonts w:asciiTheme="majorHAnsi" w:hAnsiTheme="majorHAnsi" w:cstheme="majorHAnsi"/>
                <w:b/>
                <w:bCs/>
                <w:color w:val="auto"/>
                <w:szCs w:val="22"/>
                <w:lang w:val="en-GB"/>
              </w:rPr>
              <w:t>p</w:t>
            </w:r>
            <w:r w:rsidR="6CC35591" w:rsidRPr="00C64064">
              <w:rPr>
                <w:rFonts w:asciiTheme="majorHAnsi" w:hAnsiTheme="majorHAnsi" w:cstheme="majorHAnsi"/>
                <w:b/>
                <w:bCs/>
                <w:color w:val="auto"/>
                <w:szCs w:val="22"/>
                <w:lang w:val="en-GB"/>
              </w:rPr>
              <w:t xml:space="preserve">rivate </w:t>
            </w:r>
            <w:r w:rsidR="008A5111" w:rsidRPr="00C64064">
              <w:rPr>
                <w:rFonts w:asciiTheme="majorHAnsi" w:hAnsiTheme="majorHAnsi" w:cstheme="majorHAnsi"/>
                <w:b/>
                <w:bCs/>
                <w:color w:val="auto"/>
                <w:szCs w:val="22"/>
                <w:lang w:val="en-GB"/>
              </w:rPr>
              <w:t>s</w:t>
            </w:r>
            <w:r w:rsidR="6CC35591" w:rsidRPr="00C64064">
              <w:rPr>
                <w:rFonts w:asciiTheme="majorHAnsi" w:hAnsiTheme="majorHAnsi" w:cstheme="majorHAnsi"/>
                <w:b/>
                <w:bCs/>
                <w:color w:val="auto"/>
                <w:szCs w:val="22"/>
                <w:lang w:val="en-GB"/>
              </w:rPr>
              <w:t>ector)</w:t>
            </w:r>
          </w:p>
        </w:tc>
        <w:tc>
          <w:tcPr>
            <w:tcW w:w="6840" w:type="dxa"/>
            <w:tcMar>
              <w:top w:w="170" w:type="dxa"/>
              <w:left w:w="170" w:type="dxa"/>
              <w:bottom w:w="170" w:type="dxa"/>
              <w:right w:w="170" w:type="dxa"/>
            </w:tcMar>
          </w:tcPr>
          <w:p w14:paraId="3A74AD0D" w14:textId="477DF111" w:rsidR="00787DA2" w:rsidRPr="00C64064" w:rsidRDefault="3304EDDD"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The ratio of the value of additional investments by the private sector to PRISMA’s total intervention costs</w:t>
            </w:r>
          </w:p>
        </w:tc>
      </w:tr>
      <w:tr w:rsidR="00D47DCF" w:rsidRPr="00C64064" w14:paraId="72040E0C"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BD4F15E"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Investment Per Farm Household</w:t>
            </w:r>
          </w:p>
        </w:tc>
        <w:tc>
          <w:tcPr>
            <w:tcW w:w="6840" w:type="dxa"/>
            <w:tcMar>
              <w:top w:w="170" w:type="dxa"/>
              <w:left w:w="170" w:type="dxa"/>
              <w:bottom w:w="170" w:type="dxa"/>
              <w:right w:w="170" w:type="dxa"/>
            </w:tcMar>
          </w:tcPr>
          <w:p w14:paraId="733C793D" w14:textId="61D0ADE2" w:rsidR="00787DA2" w:rsidRPr="00C64064" w:rsidRDefault="1E678AAF"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Amount of money invested by PRISMA for each farming household beneficiary</w:t>
            </w:r>
          </w:p>
        </w:tc>
      </w:tr>
      <w:tr w:rsidR="00D47DCF" w:rsidRPr="00C64064" w14:paraId="15B8F3AC"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09BC9FD" w14:textId="2AE084C0" w:rsidR="00787DA2" w:rsidRPr="00C64064" w:rsidRDefault="513DCBBD"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Intervention Plan (</w:t>
            </w:r>
            <w:r w:rsidR="6E19771B" w:rsidRPr="00C64064">
              <w:rPr>
                <w:rFonts w:asciiTheme="majorHAnsi" w:hAnsiTheme="majorHAnsi" w:cstheme="majorHAnsi"/>
                <w:b/>
                <w:color w:val="auto"/>
                <w:szCs w:val="22"/>
                <w:lang w:val="en-GB"/>
              </w:rPr>
              <w:t>IP</w:t>
            </w:r>
            <w:r w:rsidR="5D1F72C5" w:rsidRPr="00C64064">
              <w:rPr>
                <w:rFonts w:asciiTheme="majorHAnsi" w:hAnsiTheme="majorHAnsi" w:cstheme="majorHAnsi"/>
                <w:b/>
                <w:color w:val="auto"/>
                <w:szCs w:val="22"/>
                <w:lang w:val="en-GB"/>
              </w:rPr>
              <w:t>)</w:t>
            </w:r>
          </w:p>
        </w:tc>
        <w:tc>
          <w:tcPr>
            <w:tcW w:w="6840" w:type="dxa"/>
            <w:tcMar>
              <w:top w:w="170" w:type="dxa"/>
              <w:left w:w="170" w:type="dxa"/>
              <w:bottom w:w="170" w:type="dxa"/>
              <w:right w:w="170" w:type="dxa"/>
            </w:tcMar>
          </w:tcPr>
          <w:p w14:paraId="13A0AA7B" w14:textId="52BC2B14"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An intervention plan is a detailed document containing all information and data relevant to the decision to start the intervention</w:t>
            </w:r>
            <w:r w:rsidR="000B653B" w:rsidRPr="00C64064">
              <w:rPr>
                <w:rFonts w:asciiTheme="majorHAnsi" w:hAnsiTheme="majorHAnsi" w:cstheme="majorHAnsi"/>
                <w:color w:val="auto"/>
                <w:szCs w:val="22"/>
                <w:lang w:val="en-GB"/>
              </w:rPr>
              <w:t>.</w:t>
            </w:r>
          </w:p>
        </w:tc>
      </w:tr>
      <w:tr w:rsidR="00D47DCF" w:rsidRPr="00C64064" w14:paraId="5989925F"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368CFCB" w14:textId="4E5A3322" w:rsidR="00787DA2" w:rsidRPr="00C64064" w:rsidRDefault="11805C70"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 xml:space="preserve">Intermediary Service Providers </w:t>
            </w:r>
          </w:p>
        </w:tc>
        <w:tc>
          <w:tcPr>
            <w:tcW w:w="6840" w:type="dxa"/>
            <w:tcMar>
              <w:top w:w="170" w:type="dxa"/>
              <w:left w:w="170" w:type="dxa"/>
              <w:bottom w:w="170" w:type="dxa"/>
              <w:right w:w="170" w:type="dxa"/>
            </w:tcMar>
          </w:tcPr>
          <w:p w14:paraId="16F8956F" w14:textId="436B8512"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Intermediary service providers are small or medium-size</w:t>
            </w:r>
            <w:r w:rsidR="007278D3" w:rsidRPr="00C64064">
              <w:rPr>
                <w:rFonts w:asciiTheme="majorHAnsi" w:hAnsiTheme="majorHAnsi" w:cstheme="majorHAnsi"/>
                <w:color w:val="auto"/>
                <w:szCs w:val="22"/>
                <w:lang w:val="en-GB"/>
              </w:rPr>
              <w:t>d</w:t>
            </w:r>
            <w:r w:rsidRPr="00C64064">
              <w:rPr>
                <w:rFonts w:asciiTheme="majorHAnsi" w:hAnsiTheme="majorHAnsi" w:cstheme="majorHAnsi"/>
                <w:color w:val="auto"/>
                <w:szCs w:val="22"/>
                <w:lang w:val="en-GB"/>
              </w:rPr>
              <w:t xml:space="preserve"> enterprises in the up- or down-stream value chain of a partner enterprise of PRISMA (i.e., either buying from farmers and selling to partners or buying from partners and selling to farmers); they can also have important functions, </w:t>
            </w:r>
            <w:r w:rsidR="006B5255" w:rsidRPr="00C64064">
              <w:rPr>
                <w:rFonts w:asciiTheme="majorHAnsi" w:hAnsiTheme="majorHAnsi" w:cstheme="majorHAnsi"/>
                <w:color w:val="auto"/>
                <w:szCs w:val="22"/>
                <w:lang w:val="en-GB"/>
              </w:rPr>
              <w:t>such</w:t>
            </w:r>
            <w:r w:rsidRPr="00C64064">
              <w:rPr>
                <w:rFonts w:asciiTheme="majorHAnsi" w:hAnsiTheme="majorHAnsi" w:cstheme="majorHAnsi"/>
                <w:color w:val="auto"/>
                <w:szCs w:val="22"/>
                <w:lang w:val="en-GB"/>
              </w:rPr>
              <w:t xml:space="preserve"> as information providers or lenders</w:t>
            </w:r>
            <w:r w:rsidR="006B5255" w:rsidRPr="00C64064">
              <w:rPr>
                <w:rFonts w:asciiTheme="majorHAnsi" w:hAnsiTheme="majorHAnsi" w:cstheme="majorHAnsi"/>
                <w:color w:val="auto"/>
                <w:szCs w:val="22"/>
                <w:lang w:val="en-GB"/>
              </w:rPr>
              <w:t>.</w:t>
            </w:r>
          </w:p>
        </w:tc>
      </w:tr>
      <w:tr w:rsidR="00D47DCF" w:rsidRPr="00C64064" w14:paraId="3F570039"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DC1388E"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KPI 1</w:t>
            </w:r>
          </w:p>
        </w:tc>
        <w:tc>
          <w:tcPr>
            <w:tcW w:w="6840" w:type="dxa"/>
            <w:tcMar>
              <w:top w:w="170" w:type="dxa"/>
              <w:left w:w="170" w:type="dxa"/>
              <w:bottom w:w="170" w:type="dxa"/>
              <w:right w:w="170" w:type="dxa"/>
            </w:tcMar>
          </w:tcPr>
          <w:p w14:paraId="48A36498" w14:textId="77777777"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Number of smallholder farming households with increased net income attributable to PRISMA’s interventions</w:t>
            </w:r>
          </w:p>
        </w:tc>
      </w:tr>
      <w:tr w:rsidR="00D47DCF" w:rsidRPr="00C64064" w14:paraId="1D1B6B1C"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7B05EDB"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KPI 1a (new)</w:t>
            </w:r>
          </w:p>
        </w:tc>
        <w:tc>
          <w:tcPr>
            <w:tcW w:w="6840" w:type="dxa"/>
            <w:tcMar>
              <w:top w:w="170" w:type="dxa"/>
              <w:left w:w="170" w:type="dxa"/>
              <w:bottom w:w="170" w:type="dxa"/>
              <w:right w:w="170" w:type="dxa"/>
            </w:tcMar>
          </w:tcPr>
          <w:p w14:paraId="1433AA5D" w14:textId="1C8C1B8A"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 xml:space="preserve">Number of smallholder farming households under the </w:t>
            </w:r>
            <w:r w:rsidR="00683CE2" w:rsidRPr="00C64064">
              <w:rPr>
                <w:rFonts w:asciiTheme="majorHAnsi" w:hAnsiTheme="majorHAnsi" w:cstheme="majorHAnsi"/>
                <w:color w:val="auto"/>
                <w:szCs w:val="22"/>
                <w:lang w:val="en-GB"/>
              </w:rPr>
              <w:t>American dollar (</w:t>
            </w:r>
            <w:r w:rsidRPr="00C64064">
              <w:rPr>
                <w:rFonts w:asciiTheme="majorHAnsi" w:hAnsiTheme="majorHAnsi" w:cstheme="majorHAnsi"/>
                <w:color w:val="auto"/>
                <w:szCs w:val="22"/>
                <w:lang w:val="en-GB"/>
              </w:rPr>
              <w:t>USD</w:t>
            </w:r>
            <w:r w:rsidR="00683CE2" w:rsidRPr="00C64064">
              <w:rPr>
                <w:rFonts w:asciiTheme="majorHAnsi" w:hAnsiTheme="majorHAnsi" w:cstheme="majorHAnsi"/>
                <w:color w:val="auto"/>
                <w:szCs w:val="22"/>
                <w:lang w:val="en-GB"/>
              </w:rPr>
              <w:t xml:space="preserve">) </w:t>
            </w:r>
            <w:r w:rsidRPr="00C64064">
              <w:rPr>
                <w:rFonts w:asciiTheme="majorHAnsi" w:hAnsiTheme="majorHAnsi" w:cstheme="majorHAnsi"/>
                <w:color w:val="auto"/>
                <w:szCs w:val="22"/>
                <w:lang w:val="en-GB"/>
              </w:rPr>
              <w:t>2.50 purchasing power parity poverty line with increased net income</w:t>
            </w:r>
          </w:p>
        </w:tc>
      </w:tr>
      <w:tr w:rsidR="00D47DCF" w:rsidRPr="00C64064" w14:paraId="6A4BFDB9"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FE8C2ED"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lastRenderedPageBreak/>
              <w:t>KPI 1a (old)</w:t>
            </w:r>
          </w:p>
        </w:tc>
        <w:tc>
          <w:tcPr>
            <w:tcW w:w="6840" w:type="dxa"/>
            <w:tcMar>
              <w:top w:w="170" w:type="dxa"/>
              <w:left w:w="170" w:type="dxa"/>
              <w:bottom w:w="170" w:type="dxa"/>
              <w:right w:w="170" w:type="dxa"/>
            </w:tcMar>
          </w:tcPr>
          <w:p w14:paraId="5F8AC8F3" w14:textId="77777777"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Number of smallholder farming households under the USD2.00 purchasing power parity poverty line with increased net income</w:t>
            </w:r>
          </w:p>
        </w:tc>
      </w:tr>
      <w:tr w:rsidR="00D47DCF" w:rsidRPr="00C64064" w14:paraId="45E7E7D6"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0518E2F"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KPI 1b (new)</w:t>
            </w:r>
          </w:p>
        </w:tc>
        <w:tc>
          <w:tcPr>
            <w:tcW w:w="6840" w:type="dxa"/>
            <w:tcMar>
              <w:top w:w="170" w:type="dxa"/>
              <w:left w:w="170" w:type="dxa"/>
              <w:bottom w:w="170" w:type="dxa"/>
              <w:right w:w="170" w:type="dxa"/>
            </w:tcMar>
          </w:tcPr>
          <w:p w14:paraId="53C84ABC" w14:textId="77777777"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Number of smallholder farming households under the USD5.50 purchasing power parity poverty line with increased net income</w:t>
            </w:r>
          </w:p>
        </w:tc>
      </w:tr>
      <w:tr w:rsidR="00D47DCF" w:rsidRPr="00C64064" w14:paraId="0187468F"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CB5E74A"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KPI 1b (old)</w:t>
            </w:r>
          </w:p>
        </w:tc>
        <w:tc>
          <w:tcPr>
            <w:tcW w:w="6840" w:type="dxa"/>
            <w:tcMar>
              <w:top w:w="170" w:type="dxa"/>
              <w:left w:w="170" w:type="dxa"/>
              <w:bottom w:w="170" w:type="dxa"/>
              <w:right w:w="170" w:type="dxa"/>
            </w:tcMar>
          </w:tcPr>
          <w:p w14:paraId="1976E6F7" w14:textId="77777777"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Number of smallholder farming households under the USD2.50 purchasing power parity poverty line with increased net income</w:t>
            </w:r>
          </w:p>
        </w:tc>
      </w:tr>
      <w:tr w:rsidR="00D47DCF" w:rsidRPr="00C64064" w14:paraId="4DEFACC0"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DAA9199"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KPI 2</w:t>
            </w:r>
          </w:p>
        </w:tc>
        <w:tc>
          <w:tcPr>
            <w:tcW w:w="6840" w:type="dxa"/>
            <w:tcMar>
              <w:top w:w="170" w:type="dxa"/>
              <w:left w:w="170" w:type="dxa"/>
              <w:bottom w:w="170" w:type="dxa"/>
              <w:right w:w="170" w:type="dxa"/>
            </w:tcMar>
          </w:tcPr>
          <w:p w14:paraId="53A07685" w14:textId="5CD9548B" w:rsidR="00787DA2" w:rsidRPr="00C64064" w:rsidRDefault="1788C723"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Net attributable additional income for benefit</w:t>
            </w:r>
            <w:r w:rsidR="4B4E5F03" w:rsidRPr="00C64064">
              <w:rPr>
                <w:rFonts w:asciiTheme="majorHAnsi" w:hAnsiTheme="majorHAnsi" w:cstheme="majorHAnsi"/>
                <w:color w:val="auto"/>
                <w:szCs w:val="22"/>
                <w:lang w:val="en-GB"/>
              </w:rPr>
              <w:t>t</w:t>
            </w:r>
            <w:r w:rsidRPr="00C64064">
              <w:rPr>
                <w:rFonts w:asciiTheme="majorHAnsi" w:hAnsiTheme="majorHAnsi" w:cstheme="majorHAnsi"/>
                <w:color w:val="auto"/>
                <w:szCs w:val="22"/>
                <w:lang w:val="en-GB"/>
              </w:rPr>
              <w:t xml:space="preserve">ed farming households in </w:t>
            </w:r>
            <w:r w:rsidR="00683CE2" w:rsidRPr="00C64064">
              <w:rPr>
                <w:rFonts w:asciiTheme="majorHAnsi" w:hAnsiTheme="majorHAnsi" w:cstheme="majorHAnsi"/>
                <w:color w:val="auto"/>
                <w:szCs w:val="22"/>
                <w:lang w:val="en-GB"/>
              </w:rPr>
              <w:t>Indonesian rupiah (</w:t>
            </w:r>
            <w:r w:rsidRPr="00C64064">
              <w:rPr>
                <w:rFonts w:asciiTheme="majorHAnsi" w:hAnsiTheme="majorHAnsi" w:cstheme="majorHAnsi"/>
                <w:color w:val="auto"/>
                <w:szCs w:val="22"/>
                <w:lang w:val="en-GB"/>
              </w:rPr>
              <w:t>IDR</w:t>
            </w:r>
            <w:r w:rsidR="00683CE2" w:rsidRPr="00C64064">
              <w:rPr>
                <w:rFonts w:asciiTheme="majorHAnsi" w:hAnsiTheme="majorHAnsi" w:cstheme="majorHAnsi"/>
                <w:color w:val="auto"/>
                <w:szCs w:val="22"/>
                <w:lang w:val="en-GB"/>
              </w:rPr>
              <w:t>)</w:t>
            </w:r>
          </w:p>
        </w:tc>
      </w:tr>
      <w:tr w:rsidR="00D47DCF" w:rsidRPr="00C64064" w14:paraId="0ADE4C4E"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EC312D2"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KPI 2a</w:t>
            </w:r>
          </w:p>
        </w:tc>
        <w:tc>
          <w:tcPr>
            <w:tcW w:w="6840" w:type="dxa"/>
            <w:tcMar>
              <w:top w:w="170" w:type="dxa"/>
              <w:left w:w="170" w:type="dxa"/>
              <w:bottom w:w="170" w:type="dxa"/>
              <w:right w:w="170" w:type="dxa"/>
            </w:tcMar>
          </w:tcPr>
          <w:p w14:paraId="1CB5F0A9" w14:textId="6222B7E0" w:rsidR="00787DA2" w:rsidRPr="00C64064" w:rsidRDefault="1788C723"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Net attributable additional income for benefit</w:t>
            </w:r>
            <w:r w:rsidR="606B5BC9" w:rsidRPr="00C64064">
              <w:rPr>
                <w:rFonts w:asciiTheme="majorHAnsi" w:hAnsiTheme="majorHAnsi" w:cstheme="majorHAnsi"/>
                <w:color w:val="auto"/>
                <w:szCs w:val="22"/>
                <w:lang w:val="en-GB"/>
              </w:rPr>
              <w:t>t</w:t>
            </w:r>
            <w:r w:rsidRPr="00C64064">
              <w:rPr>
                <w:rFonts w:asciiTheme="majorHAnsi" w:hAnsiTheme="majorHAnsi" w:cstheme="majorHAnsi"/>
                <w:color w:val="auto"/>
                <w:szCs w:val="22"/>
                <w:lang w:val="en-GB"/>
              </w:rPr>
              <w:t>ed farming households under the USD1.90 purchasing power parity poverty line (extreme poverty) in IDR</w:t>
            </w:r>
          </w:p>
        </w:tc>
      </w:tr>
      <w:tr w:rsidR="00D47DCF" w:rsidRPr="00C64064" w14:paraId="04711FF3"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D21F5B3"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KPI 2b</w:t>
            </w:r>
          </w:p>
        </w:tc>
        <w:tc>
          <w:tcPr>
            <w:tcW w:w="6840" w:type="dxa"/>
            <w:tcMar>
              <w:top w:w="170" w:type="dxa"/>
              <w:left w:w="170" w:type="dxa"/>
              <w:bottom w:w="170" w:type="dxa"/>
              <w:right w:w="170" w:type="dxa"/>
            </w:tcMar>
          </w:tcPr>
          <w:p w14:paraId="6ADB91B1" w14:textId="7AE90DA9" w:rsidR="00787DA2" w:rsidRPr="00C64064" w:rsidRDefault="1788C723"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Net attributable additional income for benefit</w:t>
            </w:r>
            <w:r w:rsidR="0B6ABE76" w:rsidRPr="00C64064">
              <w:rPr>
                <w:rFonts w:asciiTheme="majorHAnsi" w:hAnsiTheme="majorHAnsi" w:cstheme="majorHAnsi"/>
                <w:color w:val="auto"/>
                <w:szCs w:val="22"/>
                <w:lang w:val="en-GB"/>
              </w:rPr>
              <w:t>t</w:t>
            </w:r>
            <w:r w:rsidRPr="00C64064">
              <w:rPr>
                <w:rFonts w:asciiTheme="majorHAnsi" w:hAnsiTheme="majorHAnsi" w:cstheme="majorHAnsi"/>
                <w:color w:val="auto"/>
                <w:szCs w:val="22"/>
                <w:lang w:val="en-GB"/>
              </w:rPr>
              <w:t>ed farming households under the USD2.50 purchasing power parity poverty line in IDR</w:t>
            </w:r>
          </w:p>
        </w:tc>
      </w:tr>
      <w:tr w:rsidR="00D47DCF" w:rsidRPr="00C64064" w14:paraId="5BB213FB"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2E36F71"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KPI 3</w:t>
            </w:r>
          </w:p>
        </w:tc>
        <w:tc>
          <w:tcPr>
            <w:tcW w:w="6840" w:type="dxa"/>
            <w:tcMar>
              <w:top w:w="170" w:type="dxa"/>
              <w:left w:w="170" w:type="dxa"/>
              <w:bottom w:w="170" w:type="dxa"/>
              <w:right w:w="170" w:type="dxa"/>
            </w:tcMar>
          </w:tcPr>
          <w:p w14:paraId="6A37046F" w14:textId="599EEFDB" w:rsidR="00787DA2" w:rsidRPr="00C64064" w:rsidRDefault="6E19771B"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 xml:space="preserve">Number of intermediary service providers providing </w:t>
            </w:r>
            <w:r w:rsidR="162A8CC8" w:rsidRPr="00C64064">
              <w:rPr>
                <w:rFonts w:asciiTheme="majorHAnsi" w:hAnsiTheme="majorHAnsi" w:cstheme="majorHAnsi"/>
                <w:color w:val="auto"/>
                <w:szCs w:val="22"/>
                <w:lang w:val="en-GB"/>
              </w:rPr>
              <w:t xml:space="preserve">farmers </w:t>
            </w:r>
            <w:r w:rsidRPr="00C64064">
              <w:rPr>
                <w:rFonts w:asciiTheme="majorHAnsi" w:hAnsiTheme="majorHAnsi" w:cstheme="majorHAnsi"/>
                <w:color w:val="auto"/>
                <w:szCs w:val="22"/>
                <w:lang w:val="en-GB"/>
              </w:rPr>
              <w:t xml:space="preserve">additional/improved access to innovation </w:t>
            </w:r>
          </w:p>
        </w:tc>
      </w:tr>
      <w:tr w:rsidR="00D47DCF" w:rsidRPr="00C64064" w14:paraId="75D479C6"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9B5661D"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KPI 4</w:t>
            </w:r>
          </w:p>
        </w:tc>
        <w:tc>
          <w:tcPr>
            <w:tcW w:w="6840" w:type="dxa"/>
            <w:tcMar>
              <w:top w:w="170" w:type="dxa"/>
              <w:left w:w="170" w:type="dxa"/>
              <w:bottom w:w="170" w:type="dxa"/>
              <w:right w:w="170" w:type="dxa"/>
            </w:tcMar>
          </w:tcPr>
          <w:p w14:paraId="1F1B4FE3" w14:textId="77777777"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Women’s economic empowerment effectiveness within PRISMA innovations</w:t>
            </w:r>
          </w:p>
        </w:tc>
      </w:tr>
      <w:tr w:rsidR="00D47DCF" w:rsidRPr="00C64064" w14:paraId="1488A288"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350979D"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KPI 5</w:t>
            </w:r>
          </w:p>
        </w:tc>
        <w:tc>
          <w:tcPr>
            <w:tcW w:w="6840" w:type="dxa"/>
            <w:tcMar>
              <w:top w:w="170" w:type="dxa"/>
              <w:left w:w="170" w:type="dxa"/>
              <w:bottom w:w="170" w:type="dxa"/>
              <w:right w:w="170" w:type="dxa"/>
            </w:tcMar>
          </w:tcPr>
          <w:p w14:paraId="75D55772" w14:textId="77777777"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Value of additional turnover of intermediary service providers in IDR</w:t>
            </w:r>
          </w:p>
        </w:tc>
      </w:tr>
      <w:tr w:rsidR="00D47DCF" w:rsidRPr="00C64064" w14:paraId="0349A276"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8D00775"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KPI 6</w:t>
            </w:r>
          </w:p>
        </w:tc>
        <w:tc>
          <w:tcPr>
            <w:tcW w:w="6840" w:type="dxa"/>
            <w:tcMar>
              <w:top w:w="170" w:type="dxa"/>
              <w:left w:w="170" w:type="dxa"/>
              <w:bottom w:w="170" w:type="dxa"/>
              <w:right w:w="170" w:type="dxa"/>
            </w:tcMar>
          </w:tcPr>
          <w:p w14:paraId="3FBAFB5B" w14:textId="77777777"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Number of intervention partners (private and public sector)</w:t>
            </w:r>
          </w:p>
        </w:tc>
      </w:tr>
      <w:tr w:rsidR="00D47DCF" w:rsidRPr="00C64064" w14:paraId="4BEBE48C"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AEA3886"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KPI 7</w:t>
            </w:r>
          </w:p>
        </w:tc>
        <w:tc>
          <w:tcPr>
            <w:tcW w:w="6840" w:type="dxa"/>
            <w:tcMar>
              <w:top w:w="170" w:type="dxa"/>
              <w:left w:w="170" w:type="dxa"/>
              <w:bottom w:w="170" w:type="dxa"/>
              <w:right w:w="170" w:type="dxa"/>
            </w:tcMar>
          </w:tcPr>
          <w:p w14:paraId="4687343D" w14:textId="77777777"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Number of intervention partners (private and public sector)</w:t>
            </w:r>
          </w:p>
        </w:tc>
      </w:tr>
      <w:tr w:rsidR="00D47DCF" w:rsidRPr="00C64064" w14:paraId="507B4C7E"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3ABA747"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KPI 8</w:t>
            </w:r>
          </w:p>
        </w:tc>
        <w:tc>
          <w:tcPr>
            <w:tcW w:w="6840" w:type="dxa"/>
            <w:tcMar>
              <w:top w:w="170" w:type="dxa"/>
              <w:left w:w="170" w:type="dxa"/>
              <w:bottom w:w="170" w:type="dxa"/>
              <w:right w:w="170" w:type="dxa"/>
            </w:tcMar>
          </w:tcPr>
          <w:p w14:paraId="5B3D0F28" w14:textId="221FA323"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 xml:space="preserve">Value of attributable additional and/or more inclusive investment by </w:t>
            </w:r>
            <w:r w:rsidR="003B30F3" w:rsidRPr="00C64064">
              <w:rPr>
                <w:rFonts w:asciiTheme="majorHAnsi" w:hAnsiTheme="majorHAnsi" w:cstheme="majorHAnsi"/>
                <w:color w:val="auto"/>
                <w:szCs w:val="22"/>
                <w:lang w:val="en-GB"/>
              </w:rPr>
              <w:t xml:space="preserve">the </w:t>
            </w:r>
            <w:r w:rsidRPr="00C64064">
              <w:rPr>
                <w:rFonts w:asciiTheme="majorHAnsi" w:hAnsiTheme="majorHAnsi" w:cstheme="majorHAnsi"/>
                <w:color w:val="auto"/>
                <w:szCs w:val="22"/>
                <w:lang w:val="en-GB"/>
              </w:rPr>
              <w:t>public and private sector in IDR</w:t>
            </w:r>
          </w:p>
        </w:tc>
      </w:tr>
      <w:tr w:rsidR="00D47DCF" w:rsidRPr="00C64064" w14:paraId="003D9F80"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5326B3F"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KPI 8a</w:t>
            </w:r>
          </w:p>
        </w:tc>
        <w:tc>
          <w:tcPr>
            <w:tcW w:w="6840" w:type="dxa"/>
            <w:tcMar>
              <w:top w:w="170" w:type="dxa"/>
              <w:left w:w="170" w:type="dxa"/>
              <w:bottom w:w="170" w:type="dxa"/>
              <w:right w:w="170" w:type="dxa"/>
            </w:tcMar>
          </w:tcPr>
          <w:p w14:paraId="1A4911D4" w14:textId="77777777"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Value of attributable additional and/or more inclusive investment by public and private partners in IDR</w:t>
            </w:r>
          </w:p>
        </w:tc>
      </w:tr>
      <w:tr w:rsidR="00D47DCF" w:rsidRPr="00C64064" w14:paraId="47ACE53A"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71CAECA"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KPI 9</w:t>
            </w:r>
          </w:p>
        </w:tc>
        <w:tc>
          <w:tcPr>
            <w:tcW w:w="6840" w:type="dxa"/>
            <w:tcMar>
              <w:top w:w="170" w:type="dxa"/>
              <w:left w:w="170" w:type="dxa"/>
              <w:bottom w:w="170" w:type="dxa"/>
              <w:right w:w="170" w:type="dxa"/>
            </w:tcMar>
          </w:tcPr>
          <w:p w14:paraId="026A6B8E" w14:textId="4A8121BB"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Number of crowding</w:t>
            </w:r>
            <w:r w:rsidR="613A3F79" w:rsidRPr="00C64064">
              <w:rPr>
                <w:rFonts w:asciiTheme="majorHAnsi" w:hAnsiTheme="majorHAnsi" w:cstheme="majorHAnsi"/>
                <w:color w:val="auto"/>
                <w:szCs w:val="22"/>
                <w:lang w:val="en-GB"/>
              </w:rPr>
              <w:t>-</w:t>
            </w:r>
            <w:r w:rsidRPr="00C64064">
              <w:rPr>
                <w:rFonts w:asciiTheme="majorHAnsi" w:hAnsiTheme="majorHAnsi" w:cstheme="majorHAnsi"/>
                <w:color w:val="auto"/>
                <w:szCs w:val="22"/>
                <w:lang w:val="en-GB"/>
              </w:rPr>
              <w:t>in businesses/institutions induced by PRISMA</w:t>
            </w:r>
          </w:p>
        </w:tc>
      </w:tr>
      <w:tr w:rsidR="00D47DCF" w:rsidRPr="00C64064" w14:paraId="30F7246C"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EE2B637"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KPI 10</w:t>
            </w:r>
          </w:p>
        </w:tc>
        <w:tc>
          <w:tcPr>
            <w:tcW w:w="6840" w:type="dxa"/>
            <w:tcMar>
              <w:top w:w="170" w:type="dxa"/>
              <w:left w:w="170" w:type="dxa"/>
              <w:bottom w:w="170" w:type="dxa"/>
              <w:right w:w="170" w:type="dxa"/>
            </w:tcMar>
          </w:tcPr>
          <w:p w14:paraId="6A754C25" w14:textId="77777777"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Number of responding businesses/institutions induced by PRISMA</w:t>
            </w:r>
          </w:p>
        </w:tc>
      </w:tr>
      <w:tr w:rsidR="00D47DCF" w:rsidRPr="00C64064" w14:paraId="3D27711B"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43D1C2D"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lastRenderedPageBreak/>
              <w:t>KPI 11</w:t>
            </w:r>
          </w:p>
        </w:tc>
        <w:tc>
          <w:tcPr>
            <w:tcW w:w="6840" w:type="dxa"/>
            <w:tcMar>
              <w:top w:w="170" w:type="dxa"/>
              <w:left w:w="170" w:type="dxa"/>
              <w:bottom w:w="170" w:type="dxa"/>
              <w:right w:w="170" w:type="dxa"/>
            </w:tcMar>
          </w:tcPr>
          <w:p w14:paraId="076EB521" w14:textId="77777777"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Number of policy engagements</w:t>
            </w:r>
          </w:p>
        </w:tc>
      </w:tr>
      <w:tr w:rsidR="009C1B70" w:rsidRPr="00C64064" w14:paraId="085A16C3"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B030E24" w14:textId="401888CE" w:rsidR="009C1B70" w:rsidRPr="00C64064" w:rsidRDefault="009C1B70" w:rsidP="0045601F">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szCs w:val="22"/>
                <w:lang w:val="en-ID"/>
              </w:rPr>
              <w:t>MSMB</w:t>
            </w:r>
          </w:p>
        </w:tc>
        <w:tc>
          <w:tcPr>
            <w:tcW w:w="6840" w:type="dxa"/>
            <w:tcMar>
              <w:top w:w="170" w:type="dxa"/>
              <w:left w:w="170" w:type="dxa"/>
              <w:bottom w:w="170" w:type="dxa"/>
              <w:right w:w="170" w:type="dxa"/>
            </w:tcMar>
          </w:tcPr>
          <w:p w14:paraId="5F422A35" w14:textId="305B63FF" w:rsidR="009C1B70" w:rsidRPr="00C64064" w:rsidRDefault="009C1B70"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ID"/>
              </w:rPr>
              <w:t>Mitra Sejahtera Membangun Bangsa (an agricultural startup)</w:t>
            </w:r>
          </w:p>
        </w:tc>
      </w:tr>
      <w:tr w:rsidR="00D47DCF" w:rsidRPr="00C64064" w14:paraId="2C68B0B8"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D2AE28A"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NAIC</w:t>
            </w:r>
          </w:p>
        </w:tc>
        <w:tc>
          <w:tcPr>
            <w:tcW w:w="6840" w:type="dxa"/>
            <w:tcMar>
              <w:top w:w="170" w:type="dxa"/>
              <w:left w:w="170" w:type="dxa"/>
              <w:bottom w:w="170" w:type="dxa"/>
              <w:right w:w="170" w:type="dxa"/>
            </w:tcMar>
          </w:tcPr>
          <w:p w14:paraId="614197C8" w14:textId="68D82171"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 xml:space="preserve">Net attributable income change is an additional income generated from a specific technology or input </w:t>
            </w:r>
            <w:r w:rsidR="006230B6" w:rsidRPr="00C64064">
              <w:rPr>
                <w:rFonts w:asciiTheme="majorHAnsi" w:hAnsiTheme="majorHAnsi" w:cstheme="majorHAnsi"/>
                <w:color w:val="auto"/>
                <w:szCs w:val="22"/>
                <w:lang w:val="en-GB"/>
              </w:rPr>
              <w:t>PRISMA promotes</w:t>
            </w:r>
            <w:r w:rsidRPr="00C64064">
              <w:rPr>
                <w:rFonts w:asciiTheme="majorHAnsi" w:hAnsiTheme="majorHAnsi" w:cstheme="majorHAnsi"/>
                <w:color w:val="auto"/>
                <w:szCs w:val="22"/>
                <w:lang w:val="en-GB"/>
              </w:rPr>
              <w:t xml:space="preserve"> during one production cycle. For livestock, the measurement period is 6 months.</w:t>
            </w:r>
          </w:p>
        </w:tc>
      </w:tr>
      <w:tr w:rsidR="00E1253A" w:rsidRPr="00C64064" w14:paraId="7D424FCC"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7504D3F"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New Intervention</w:t>
            </w:r>
          </w:p>
        </w:tc>
        <w:tc>
          <w:tcPr>
            <w:tcW w:w="6840" w:type="dxa"/>
            <w:tcMar>
              <w:top w:w="170" w:type="dxa"/>
              <w:left w:w="170" w:type="dxa"/>
              <w:bottom w:w="170" w:type="dxa"/>
              <w:right w:w="170" w:type="dxa"/>
            </w:tcMar>
          </w:tcPr>
          <w:p w14:paraId="6EB051E2" w14:textId="0DC26EA7"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An intervention that started this semester</w:t>
            </w:r>
            <w:r w:rsidR="009C1B70" w:rsidRPr="00C64064">
              <w:rPr>
                <w:rFonts w:asciiTheme="majorHAnsi" w:hAnsiTheme="majorHAnsi" w:cstheme="majorHAnsi"/>
                <w:color w:val="auto"/>
                <w:szCs w:val="22"/>
                <w:lang w:val="en-GB"/>
              </w:rPr>
              <w:t xml:space="preserve"> </w:t>
            </w:r>
          </w:p>
        </w:tc>
      </w:tr>
      <w:tr w:rsidR="00E1253A" w:rsidRPr="00C64064" w14:paraId="00C3BA21"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3FC3952"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Outreach</w:t>
            </w:r>
          </w:p>
        </w:tc>
        <w:tc>
          <w:tcPr>
            <w:tcW w:w="6840" w:type="dxa"/>
            <w:tcMar>
              <w:top w:w="170" w:type="dxa"/>
              <w:left w:w="170" w:type="dxa"/>
              <w:bottom w:w="170" w:type="dxa"/>
              <w:right w:w="170" w:type="dxa"/>
            </w:tcMar>
          </w:tcPr>
          <w:p w14:paraId="2E2FF481" w14:textId="77777777"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Number of smallholder farming households with increased incomes</w:t>
            </w:r>
          </w:p>
        </w:tc>
      </w:tr>
      <w:tr w:rsidR="00E1253A" w:rsidRPr="00C64064" w14:paraId="37324239"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FC83F7B"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Partnership Outreach</w:t>
            </w:r>
          </w:p>
        </w:tc>
        <w:tc>
          <w:tcPr>
            <w:tcW w:w="6840" w:type="dxa"/>
            <w:tcMar>
              <w:top w:w="170" w:type="dxa"/>
              <w:left w:w="170" w:type="dxa"/>
              <w:bottom w:w="170" w:type="dxa"/>
              <w:right w:w="170" w:type="dxa"/>
            </w:tcMar>
          </w:tcPr>
          <w:p w14:paraId="70383410" w14:textId="77777777"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Outreach that comes directly from PRISMA’s partner in the targeted area</w:t>
            </w:r>
          </w:p>
        </w:tc>
      </w:tr>
      <w:tr w:rsidR="00E1253A" w:rsidRPr="00C64064" w14:paraId="7C8DA27A"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E235AA7"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Pipeline</w:t>
            </w:r>
          </w:p>
        </w:tc>
        <w:tc>
          <w:tcPr>
            <w:tcW w:w="6840" w:type="dxa"/>
            <w:tcMar>
              <w:top w:w="170" w:type="dxa"/>
              <w:left w:w="170" w:type="dxa"/>
              <w:bottom w:w="170" w:type="dxa"/>
              <w:right w:w="170" w:type="dxa"/>
            </w:tcMar>
          </w:tcPr>
          <w:p w14:paraId="4D597941" w14:textId="77777777"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Projection value from potential new interventions which are still at the idea/ICN/IP stage</w:t>
            </w:r>
          </w:p>
        </w:tc>
      </w:tr>
      <w:tr w:rsidR="00E1253A" w:rsidRPr="00C64064" w14:paraId="57EBB57A"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09F29CA"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Projection</w:t>
            </w:r>
          </w:p>
        </w:tc>
        <w:tc>
          <w:tcPr>
            <w:tcW w:w="6840" w:type="dxa"/>
            <w:tcMar>
              <w:top w:w="170" w:type="dxa"/>
              <w:left w:w="170" w:type="dxa"/>
              <w:bottom w:w="170" w:type="dxa"/>
              <w:right w:w="170" w:type="dxa"/>
            </w:tcMar>
          </w:tcPr>
          <w:p w14:paraId="551313CE" w14:textId="77777777"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Projection value from existing and new interventions</w:t>
            </w:r>
          </w:p>
        </w:tc>
      </w:tr>
      <w:tr w:rsidR="00E1253A" w:rsidRPr="00C64064" w14:paraId="19DCACFD"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89DFBE4"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Quality Management Tool</w:t>
            </w:r>
          </w:p>
        </w:tc>
        <w:tc>
          <w:tcPr>
            <w:tcW w:w="6840" w:type="dxa"/>
            <w:tcMar>
              <w:top w:w="170" w:type="dxa"/>
              <w:left w:w="170" w:type="dxa"/>
              <w:bottom w:w="170" w:type="dxa"/>
              <w:right w:w="170" w:type="dxa"/>
            </w:tcMar>
          </w:tcPr>
          <w:p w14:paraId="2FD502E4" w14:textId="04F6095D"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 xml:space="preserve">A tool to assess intervention quality over time, from ICN to IP and implementation </w:t>
            </w:r>
          </w:p>
        </w:tc>
      </w:tr>
      <w:tr w:rsidR="00E1253A" w:rsidRPr="00C64064" w14:paraId="6D099D16"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1E51650"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Social Return on Investment</w:t>
            </w:r>
          </w:p>
        </w:tc>
        <w:tc>
          <w:tcPr>
            <w:tcW w:w="6840" w:type="dxa"/>
            <w:tcMar>
              <w:top w:w="170" w:type="dxa"/>
              <w:left w:w="170" w:type="dxa"/>
              <w:bottom w:w="170" w:type="dxa"/>
              <w:right w:w="170" w:type="dxa"/>
            </w:tcMar>
          </w:tcPr>
          <w:p w14:paraId="0C95E1F1" w14:textId="39D529CE" w:rsidR="00787DA2" w:rsidRPr="00C64064" w:rsidRDefault="5CF9254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The ratio of the value of farming household’s net</w:t>
            </w:r>
            <w:r w:rsidR="499932D0" w:rsidRPr="00C64064">
              <w:rPr>
                <w:rFonts w:asciiTheme="majorHAnsi" w:hAnsiTheme="majorHAnsi" w:cstheme="majorHAnsi"/>
                <w:color w:val="auto"/>
                <w:szCs w:val="22"/>
                <w:lang w:val="en-GB"/>
              </w:rPr>
              <w:t xml:space="preserve"> </w:t>
            </w:r>
            <w:r w:rsidRPr="00C64064">
              <w:rPr>
                <w:rFonts w:asciiTheme="majorHAnsi" w:hAnsiTheme="majorHAnsi" w:cstheme="majorHAnsi"/>
                <w:color w:val="auto"/>
                <w:szCs w:val="22"/>
                <w:lang w:val="en-GB"/>
              </w:rPr>
              <w:t>income increase compared to PRISMA’s total intervention costs</w:t>
            </w:r>
          </w:p>
        </w:tc>
      </w:tr>
      <w:tr w:rsidR="00E1253A" w:rsidRPr="00C64064" w14:paraId="6905525D"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4DC3A39"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Total Intervention Cost</w:t>
            </w:r>
          </w:p>
        </w:tc>
        <w:tc>
          <w:tcPr>
            <w:tcW w:w="6840" w:type="dxa"/>
            <w:tcMar>
              <w:top w:w="170" w:type="dxa"/>
              <w:left w:w="170" w:type="dxa"/>
              <w:bottom w:w="170" w:type="dxa"/>
              <w:right w:w="170" w:type="dxa"/>
            </w:tcMar>
          </w:tcPr>
          <w:p w14:paraId="2FB25F78" w14:textId="77777777"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Total of direct and indirect intervention costs</w:t>
            </w:r>
          </w:p>
        </w:tc>
      </w:tr>
      <w:tr w:rsidR="00E1253A" w:rsidRPr="00C64064" w14:paraId="1CB64D59"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C35967A"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Total Outreach</w:t>
            </w:r>
          </w:p>
        </w:tc>
        <w:tc>
          <w:tcPr>
            <w:tcW w:w="6840" w:type="dxa"/>
            <w:tcMar>
              <w:top w:w="170" w:type="dxa"/>
              <w:left w:w="170" w:type="dxa"/>
              <w:bottom w:w="170" w:type="dxa"/>
              <w:right w:w="170" w:type="dxa"/>
            </w:tcMar>
          </w:tcPr>
          <w:p w14:paraId="7EDA6DE1" w14:textId="77777777"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Partnership and wider market outreach</w:t>
            </w:r>
          </w:p>
        </w:tc>
      </w:tr>
      <w:tr w:rsidR="00634E60" w:rsidRPr="00C64064" w14:paraId="27937878"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8C20582" w14:textId="77777777" w:rsidR="00787DA2" w:rsidRPr="00C64064" w:rsidRDefault="00787DA2" w:rsidP="0045601F">
            <w:pPr>
              <w:pStyle w:val="Bodytext1colmn"/>
              <w:spacing w:before="0" w:after="0" w:line="276" w:lineRule="auto"/>
              <w:jc w:val="left"/>
              <w:rPr>
                <w:rFonts w:asciiTheme="majorHAnsi" w:hAnsiTheme="majorHAnsi" w:cstheme="majorHAnsi"/>
                <w:b/>
                <w:color w:val="auto"/>
                <w:szCs w:val="22"/>
                <w:lang w:val="en-GB"/>
              </w:rPr>
            </w:pPr>
            <w:r w:rsidRPr="00C64064">
              <w:rPr>
                <w:rFonts w:asciiTheme="majorHAnsi" w:hAnsiTheme="majorHAnsi" w:cstheme="majorHAnsi"/>
                <w:b/>
                <w:color w:val="auto"/>
                <w:szCs w:val="22"/>
                <w:lang w:val="en-GB"/>
              </w:rPr>
              <w:t>Wider Market Outreach or Households</w:t>
            </w:r>
          </w:p>
        </w:tc>
        <w:tc>
          <w:tcPr>
            <w:tcW w:w="6840" w:type="dxa"/>
            <w:tcMar>
              <w:top w:w="170" w:type="dxa"/>
              <w:left w:w="170" w:type="dxa"/>
              <w:bottom w:w="170" w:type="dxa"/>
              <w:right w:w="170" w:type="dxa"/>
            </w:tcMar>
          </w:tcPr>
          <w:p w14:paraId="665A0C37" w14:textId="77777777" w:rsidR="00787DA2" w:rsidRPr="00C64064" w:rsidRDefault="00787DA2"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Outreach that comes from PRISMA’s partners in other areas, other market actors in the targeted areas, and other market actors in other areas that are attributable to PRISMA’s interventions</w:t>
            </w:r>
          </w:p>
        </w:tc>
      </w:tr>
    </w:tbl>
    <w:p w14:paraId="19FB35C3" w14:textId="554A4511" w:rsidR="00642B2E" w:rsidRPr="00C64064" w:rsidRDefault="00642B2E" w:rsidP="00C72B45">
      <w:pPr>
        <w:pStyle w:val="Body"/>
        <w:rPr>
          <w:rFonts w:asciiTheme="majorHAnsi" w:hAnsiTheme="majorHAnsi" w:cstheme="majorHAnsi"/>
        </w:rPr>
      </w:pPr>
    </w:p>
    <w:p w14:paraId="11595DD6" w14:textId="77777777" w:rsidR="00F2053A" w:rsidRPr="00C64064" w:rsidRDefault="00F2053A" w:rsidP="0045601F">
      <w:pPr>
        <w:spacing w:line="276" w:lineRule="auto"/>
        <w:rPr>
          <w:rFonts w:asciiTheme="majorHAnsi" w:hAnsiTheme="majorHAnsi" w:cstheme="majorHAnsi"/>
          <w:b/>
          <w:bCs/>
        </w:rPr>
      </w:pPr>
      <w:r w:rsidRPr="00C64064">
        <w:rPr>
          <w:rFonts w:asciiTheme="majorHAnsi" w:hAnsiTheme="majorHAnsi" w:cstheme="majorHAnsi"/>
          <w:b/>
          <w:bCs/>
        </w:rPr>
        <w:br w:type="page"/>
      </w:r>
    </w:p>
    <w:p w14:paraId="5EF32D19" w14:textId="54162FF4" w:rsidR="00C22772" w:rsidRPr="00C64064" w:rsidRDefault="00CF79BA" w:rsidP="006838CF">
      <w:pPr>
        <w:spacing w:line="276" w:lineRule="auto"/>
        <w:rPr>
          <w:rFonts w:asciiTheme="majorHAnsi" w:hAnsiTheme="majorHAnsi" w:cstheme="majorHAnsi"/>
          <w:b/>
          <w:bCs/>
        </w:rPr>
      </w:pPr>
      <w:r w:rsidRPr="00C64064">
        <w:rPr>
          <w:rFonts w:asciiTheme="majorHAnsi" w:hAnsiTheme="majorHAnsi" w:cstheme="majorHAnsi"/>
          <w:b/>
          <w:bCs/>
        </w:rPr>
        <w:lastRenderedPageBreak/>
        <w:t xml:space="preserve">Glossary </w:t>
      </w:r>
    </w:p>
    <w:tbl>
      <w:tblPr>
        <w:tblW w:w="9362" w:type="dxa"/>
        <w:tblInd w:w="170" w:type="dxa"/>
        <w:tblBorders>
          <w:top w:val="single" w:sz="8" w:space="0" w:color="auto"/>
          <w:bottom w:val="single" w:sz="8" w:space="0" w:color="auto"/>
          <w:insideH w:val="single" w:sz="8" w:space="0" w:color="auto"/>
        </w:tblBorders>
        <w:tblLayout w:type="fixed"/>
        <w:tblCellMar>
          <w:left w:w="0" w:type="dxa"/>
          <w:right w:w="0" w:type="dxa"/>
        </w:tblCellMar>
        <w:tblLook w:val="0000" w:firstRow="0" w:lastRow="0" w:firstColumn="0" w:lastColumn="0" w:noHBand="0" w:noVBand="0"/>
      </w:tblPr>
      <w:tblGrid>
        <w:gridCol w:w="2106"/>
        <w:gridCol w:w="7256"/>
      </w:tblGrid>
      <w:tr w:rsidR="00E1253A" w:rsidRPr="00C64064" w14:paraId="2ED9A8E4" w14:textId="77777777" w:rsidTr="13968B9F">
        <w:trPr>
          <w:trHeight w:val="436"/>
        </w:trPr>
        <w:tc>
          <w:tcPr>
            <w:tcW w:w="2106" w:type="dxa"/>
            <w:tcMar>
              <w:top w:w="170" w:type="dxa"/>
              <w:left w:w="170" w:type="dxa"/>
              <w:bottom w:w="170" w:type="dxa"/>
              <w:right w:w="170" w:type="dxa"/>
            </w:tcMar>
          </w:tcPr>
          <w:p w14:paraId="11ED6F77" w14:textId="77777777" w:rsidR="00C47D7C" w:rsidRPr="00C64064" w:rsidRDefault="00C47D7C" w:rsidP="0045601F">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szCs w:val="22"/>
                <w:lang w:val="en-GB"/>
              </w:rPr>
              <w:t>Copying</w:t>
            </w:r>
          </w:p>
        </w:tc>
        <w:tc>
          <w:tcPr>
            <w:tcW w:w="7256" w:type="dxa"/>
            <w:tcBorders>
              <w:top w:val="single" w:sz="4" w:space="0" w:color="auto"/>
              <w:bottom w:val="single" w:sz="4" w:space="0" w:color="auto"/>
            </w:tcBorders>
            <w:tcMar>
              <w:top w:w="170" w:type="dxa"/>
              <w:left w:w="170" w:type="dxa"/>
              <w:bottom w:w="170" w:type="dxa"/>
              <w:right w:w="170" w:type="dxa"/>
            </w:tcMar>
          </w:tcPr>
          <w:p w14:paraId="5CD9E957" w14:textId="0E18B10A" w:rsidR="00C47D7C" w:rsidRPr="00C64064" w:rsidRDefault="00C47D7C"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 xml:space="preserve">This is when </w:t>
            </w:r>
            <w:r w:rsidR="006230B6" w:rsidRPr="00C64064">
              <w:rPr>
                <w:rFonts w:asciiTheme="majorHAnsi" w:hAnsiTheme="majorHAnsi" w:cstheme="majorHAnsi"/>
                <w:color w:val="auto"/>
                <w:szCs w:val="22"/>
                <w:lang w:val="en-GB"/>
              </w:rPr>
              <w:t>several</w:t>
            </w:r>
            <w:r w:rsidRPr="00C64064">
              <w:rPr>
                <w:rFonts w:asciiTheme="majorHAnsi" w:hAnsiTheme="majorHAnsi" w:cstheme="majorHAnsi"/>
                <w:color w:val="auto"/>
                <w:szCs w:val="22"/>
                <w:lang w:val="en-GB"/>
              </w:rPr>
              <w:t xml:space="preserve"> market players (competitors) adopt comparable changes instigated by PRISMA partners – either direct copies or variants </w:t>
            </w:r>
            <w:r w:rsidR="4B571C66" w:rsidRPr="00C64064">
              <w:rPr>
                <w:rFonts w:asciiTheme="majorHAnsi" w:hAnsiTheme="majorHAnsi" w:cstheme="majorHAnsi"/>
                <w:color w:val="auto"/>
                <w:szCs w:val="22"/>
                <w:lang w:val="en-GB"/>
              </w:rPr>
              <w:t>o</w:t>
            </w:r>
            <w:r w:rsidR="7DA1583E" w:rsidRPr="00C64064">
              <w:rPr>
                <w:rFonts w:asciiTheme="majorHAnsi" w:hAnsiTheme="majorHAnsi" w:cstheme="majorHAnsi"/>
                <w:color w:val="auto"/>
                <w:szCs w:val="22"/>
                <w:lang w:val="en-GB"/>
              </w:rPr>
              <w:t>f</w:t>
            </w:r>
            <w:r w:rsidRPr="00C64064">
              <w:rPr>
                <w:rFonts w:asciiTheme="majorHAnsi" w:hAnsiTheme="majorHAnsi" w:cstheme="majorHAnsi"/>
                <w:color w:val="auto"/>
                <w:szCs w:val="22"/>
                <w:lang w:val="en-GB"/>
              </w:rPr>
              <w:t xml:space="preserve"> the original innovation – that are upheld without PRISMA support. This is also a key indicator of systemic change.</w:t>
            </w:r>
          </w:p>
        </w:tc>
      </w:tr>
      <w:tr w:rsidR="00E1253A" w:rsidRPr="00C64064" w14:paraId="150F9DC7" w14:textId="77777777" w:rsidTr="13968B9F">
        <w:trPr>
          <w:trHeight w:val="60"/>
        </w:trPr>
        <w:tc>
          <w:tcPr>
            <w:tcW w:w="2106" w:type="dxa"/>
            <w:tcMar>
              <w:top w:w="170" w:type="dxa"/>
              <w:left w:w="170" w:type="dxa"/>
              <w:bottom w:w="170" w:type="dxa"/>
              <w:right w:w="170" w:type="dxa"/>
            </w:tcMar>
          </w:tcPr>
          <w:p w14:paraId="6F30F716" w14:textId="1CFBDA03" w:rsidR="00C47D7C" w:rsidRPr="00C64064" w:rsidRDefault="00C47D7C" w:rsidP="0045601F">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szCs w:val="22"/>
                <w:lang w:val="en-GB"/>
              </w:rPr>
              <w:t>Crowding</w:t>
            </w:r>
            <w:r w:rsidR="03F41523" w:rsidRPr="00C64064">
              <w:rPr>
                <w:rFonts w:asciiTheme="majorHAnsi" w:hAnsiTheme="majorHAnsi" w:cstheme="majorHAnsi"/>
                <w:b/>
                <w:bCs/>
                <w:color w:val="auto"/>
                <w:szCs w:val="22"/>
                <w:lang w:val="en-GB"/>
              </w:rPr>
              <w:t>-</w:t>
            </w:r>
            <w:r w:rsidRPr="00C64064">
              <w:rPr>
                <w:rFonts w:asciiTheme="majorHAnsi" w:hAnsiTheme="majorHAnsi" w:cstheme="majorHAnsi"/>
                <w:b/>
                <w:bCs/>
                <w:color w:val="auto"/>
                <w:szCs w:val="22"/>
                <w:lang w:val="en-GB"/>
              </w:rPr>
              <w:t>in</w:t>
            </w:r>
          </w:p>
        </w:tc>
        <w:tc>
          <w:tcPr>
            <w:tcW w:w="7256" w:type="dxa"/>
            <w:tcBorders>
              <w:top w:val="single" w:sz="4" w:space="0" w:color="auto"/>
              <w:bottom w:val="single" w:sz="4" w:space="0" w:color="auto"/>
            </w:tcBorders>
            <w:tcMar>
              <w:top w:w="170" w:type="dxa"/>
              <w:left w:w="170" w:type="dxa"/>
              <w:bottom w:w="170" w:type="dxa"/>
              <w:right w:w="170" w:type="dxa"/>
            </w:tcMar>
          </w:tcPr>
          <w:p w14:paraId="4483F30A" w14:textId="781DB347" w:rsidR="00C47D7C" w:rsidRPr="00C64064" w:rsidRDefault="1C41F079"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Crowding</w:t>
            </w:r>
            <w:r w:rsidR="7CAF640C" w:rsidRPr="00C64064">
              <w:rPr>
                <w:rFonts w:asciiTheme="majorHAnsi" w:hAnsiTheme="majorHAnsi" w:cstheme="majorHAnsi"/>
                <w:color w:val="auto"/>
                <w:szCs w:val="22"/>
                <w:lang w:val="en-GB"/>
              </w:rPr>
              <w:t>-</w:t>
            </w:r>
            <w:r w:rsidRPr="00C64064">
              <w:rPr>
                <w:rFonts w:asciiTheme="majorHAnsi" w:hAnsiTheme="majorHAnsi" w:cstheme="majorHAnsi"/>
                <w:color w:val="auto"/>
                <w:szCs w:val="22"/>
                <w:lang w:val="en-GB"/>
              </w:rPr>
              <w:t xml:space="preserve">in is the process of stimulating </w:t>
            </w:r>
            <w:r w:rsidR="006729A1" w:rsidRPr="00C64064">
              <w:rPr>
                <w:rFonts w:asciiTheme="majorHAnsi" w:hAnsiTheme="majorHAnsi" w:cstheme="majorHAnsi"/>
                <w:color w:val="auto"/>
                <w:szCs w:val="22"/>
                <w:lang w:val="en-GB"/>
              </w:rPr>
              <w:t>several</w:t>
            </w:r>
            <w:r w:rsidRPr="00C64064">
              <w:rPr>
                <w:rFonts w:asciiTheme="majorHAnsi" w:hAnsiTheme="majorHAnsi" w:cstheme="majorHAnsi"/>
                <w:color w:val="auto"/>
                <w:szCs w:val="22"/>
                <w:lang w:val="en-GB"/>
              </w:rPr>
              <w:t xml:space="preserve"> market players to react to the system</w:t>
            </w:r>
            <w:r w:rsidR="1BB29AFC" w:rsidRPr="00C64064">
              <w:rPr>
                <w:rFonts w:asciiTheme="majorHAnsi" w:hAnsiTheme="majorHAnsi" w:cstheme="majorHAnsi"/>
                <w:color w:val="auto"/>
                <w:szCs w:val="22"/>
                <w:lang w:val="en-GB"/>
              </w:rPr>
              <w:t>-</w:t>
            </w:r>
            <w:r w:rsidRPr="00C64064">
              <w:rPr>
                <w:rFonts w:asciiTheme="majorHAnsi" w:hAnsiTheme="majorHAnsi" w:cstheme="majorHAnsi"/>
                <w:color w:val="auto"/>
                <w:szCs w:val="22"/>
                <w:lang w:val="en-GB"/>
              </w:rPr>
              <w:t>level changes instigated through the intervention activities. It results in greater breadth and depth within the core market functions and is a key indicator of systemic change.</w:t>
            </w:r>
          </w:p>
        </w:tc>
      </w:tr>
      <w:tr w:rsidR="00E1253A" w:rsidRPr="00C64064" w14:paraId="50A8B733" w14:textId="77777777" w:rsidTr="13968B9F">
        <w:trPr>
          <w:trHeight w:val="60"/>
        </w:trPr>
        <w:tc>
          <w:tcPr>
            <w:tcW w:w="2106" w:type="dxa"/>
            <w:tcMar>
              <w:top w:w="170" w:type="dxa"/>
              <w:left w:w="170" w:type="dxa"/>
              <w:bottom w:w="170" w:type="dxa"/>
              <w:right w:w="170" w:type="dxa"/>
            </w:tcMar>
          </w:tcPr>
          <w:p w14:paraId="1324984A" w14:textId="77777777" w:rsidR="00C47D7C" w:rsidRPr="00C64064" w:rsidRDefault="00C47D7C" w:rsidP="0045601F">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szCs w:val="22"/>
                <w:lang w:val="en-GB"/>
              </w:rPr>
              <w:t>Market Systems Development (MSD)</w:t>
            </w:r>
          </w:p>
        </w:tc>
        <w:tc>
          <w:tcPr>
            <w:tcW w:w="7256" w:type="dxa"/>
            <w:tcBorders>
              <w:top w:val="single" w:sz="4" w:space="0" w:color="auto"/>
              <w:bottom w:val="single" w:sz="4" w:space="0" w:color="auto"/>
            </w:tcBorders>
            <w:tcMar>
              <w:top w:w="170" w:type="dxa"/>
              <w:left w:w="170" w:type="dxa"/>
              <w:bottom w:w="170" w:type="dxa"/>
              <w:right w:w="170" w:type="dxa"/>
            </w:tcMar>
          </w:tcPr>
          <w:p w14:paraId="7DF2FCCF" w14:textId="77777777" w:rsidR="00C47D7C" w:rsidRPr="00C64064" w:rsidRDefault="00C47D7C"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In poorly performing markets, such as agriculture, critical functions, such as information, technology, infrastructure, finance, skills, standards, regulations, etc., are either absent or not working as they should. Instead of supporting sector performance, they tend to inhibit it. Changes in these functions and rules are therefore needed if a sector is to perform better.</w:t>
            </w:r>
          </w:p>
          <w:p w14:paraId="6DD99EA9" w14:textId="77777777" w:rsidR="00C47D7C" w:rsidRPr="00C64064" w:rsidRDefault="00C47D7C"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In practical terms, it is these ‘supporting functions’ of the market that PRISMA seeks to influence, to make them more supportive of sector competitiveness and inclusivity.</w:t>
            </w:r>
          </w:p>
        </w:tc>
      </w:tr>
      <w:tr w:rsidR="00E1253A" w:rsidRPr="00C64064" w14:paraId="644FC723" w14:textId="77777777" w:rsidTr="13968B9F">
        <w:trPr>
          <w:trHeight w:val="60"/>
        </w:trPr>
        <w:tc>
          <w:tcPr>
            <w:tcW w:w="2106" w:type="dxa"/>
            <w:tcMar>
              <w:top w:w="170" w:type="dxa"/>
              <w:left w:w="170" w:type="dxa"/>
              <w:bottom w:w="170" w:type="dxa"/>
              <w:right w:w="170" w:type="dxa"/>
            </w:tcMar>
          </w:tcPr>
          <w:p w14:paraId="7388F877" w14:textId="77777777" w:rsidR="00C47D7C" w:rsidRPr="00C64064" w:rsidRDefault="00C47D7C" w:rsidP="0045601F">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szCs w:val="22"/>
                <w:lang w:val="en-GB"/>
              </w:rPr>
              <w:t>Market System Strategy (MSS)</w:t>
            </w:r>
          </w:p>
        </w:tc>
        <w:tc>
          <w:tcPr>
            <w:tcW w:w="7256" w:type="dxa"/>
            <w:tcBorders>
              <w:top w:val="single" w:sz="4" w:space="0" w:color="auto"/>
              <w:bottom w:val="single" w:sz="4" w:space="0" w:color="auto"/>
            </w:tcBorders>
            <w:tcMar>
              <w:top w:w="170" w:type="dxa"/>
              <w:left w:w="170" w:type="dxa"/>
              <w:bottom w:w="170" w:type="dxa"/>
              <w:right w:w="170" w:type="dxa"/>
            </w:tcMar>
          </w:tcPr>
          <w:p w14:paraId="68B0DE5F" w14:textId="5A12D3F2" w:rsidR="00C47D7C" w:rsidRPr="00C64064" w:rsidRDefault="1C41F079"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 xml:space="preserve">PRISMA uses </w:t>
            </w:r>
            <w:r w:rsidR="2343F1F0" w:rsidRPr="00C64064">
              <w:rPr>
                <w:rFonts w:asciiTheme="majorHAnsi" w:hAnsiTheme="majorHAnsi" w:cstheme="majorHAnsi"/>
                <w:color w:val="auto"/>
                <w:szCs w:val="22"/>
                <w:lang w:val="en-GB"/>
              </w:rPr>
              <w:t>a</w:t>
            </w:r>
            <w:r w:rsidR="7BFC8759" w:rsidRPr="00C64064">
              <w:rPr>
                <w:rFonts w:asciiTheme="majorHAnsi" w:hAnsiTheme="majorHAnsi" w:cstheme="majorHAnsi"/>
                <w:color w:val="auto"/>
                <w:szCs w:val="22"/>
                <w:lang w:val="en-GB"/>
              </w:rPr>
              <w:t>n</w:t>
            </w:r>
            <w:r w:rsidRPr="00C64064">
              <w:rPr>
                <w:rFonts w:asciiTheme="majorHAnsi" w:hAnsiTheme="majorHAnsi" w:cstheme="majorHAnsi"/>
                <w:color w:val="auto"/>
                <w:szCs w:val="22"/>
                <w:lang w:val="en-GB"/>
              </w:rPr>
              <w:t xml:space="preserve"> MSS framework for each sector to link its activities with partners to what it hopes to achieve in the ‘market system’ and towards achieving the program objectives. PRISMA uses a three-tiered system as a basis for the MSS – intervention area; market function; and market system change, which contribute to the sector vision.</w:t>
            </w:r>
          </w:p>
        </w:tc>
      </w:tr>
      <w:tr w:rsidR="00E1253A" w:rsidRPr="00C64064" w14:paraId="67FD568E" w14:textId="77777777" w:rsidTr="13968B9F">
        <w:trPr>
          <w:trHeight w:val="60"/>
        </w:trPr>
        <w:tc>
          <w:tcPr>
            <w:tcW w:w="2106" w:type="dxa"/>
            <w:tcMar>
              <w:top w:w="170" w:type="dxa"/>
              <w:left w:w="170" w:type="dxa"/>
              <w:bottom w:w="170" w:type="dxa"/>
              <w:right w:w="170" w:type="dxa"/>
            </w:tcMar>
          </w:tcPr>
          <w:p w14:paraId="639787BE" w14:textId="77777777" w:rsidR="00C47D7C" w:rsidRPr="00C64064" w:rsidRDefault="00C47D7C" w:rsidP="0045601F">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szCs w:val="22"/>
                <w:lang w:val="en-GB"/>
              </w:rPr>
              <w:t>Results Chain</w:t>
            </w:r>
          </w:p>
        </w:tc>
        <w:tc>
          <w:tcPr>
            <w:tcW w:w="7256" w:type="dxa"/>
            <w:tcBorders>
              <w:top w:val="single" w:sz="4" w:space="0" w:color="auto"/>
              <w:bottom w:val="single" w:sz="4" w:space="0" w:color="auto"/>
            </w:tcBorders>
            <w:tcMar>
              <w:top w:w="170" w:type="dxa"/>
              <w:left w:w="170" w:type="dxa"/>
              <w:bottom w:w="170" w:type="dxa"/>
              <w:right w:w="170" w:type="dxa"/>
            </w:tcMar>
          </w:tcPr>
          <w:p w14:paraId="473F71CB" w14:textId="77777777" w:rsidR="00C47D7C" w:rsidRPr="00C64064" w:rsidRDefault="00C47D7C"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A model showing the chain of causality through which PRISMA’s activities lead to poverty-reducing benefits. Results chains are tailored to specific interventions and are consequently more detailed than a MSS.</w:t>
            </w:r>
          </w:p>
        </w:tc>
      </w:tr>
      <w:tr w:rsidR="00E1253A" w:rsidRPr="00C64064" w14:paraId="0F13A36E" w14:textId="77777777" w:rsidTr="13968B9F">
        <w:trPr>
          <w:trHeight w:val="60"/>
        </w:trPr>
        <w:tc>
          <w:tcPr>
            <w:tcW w:w="2106" w:type="dxa"/>
            <w:tcMar>
              <w:top w:w="170" w:type="dxa"/>
              <w:left w:w="170" w:type="dxa"/>
              <w:bottom w:w="170" w:type="dxa"/>
              <w:right w:w="170" w:type="dxa"/>
            </w:tcMar>
          </w:tcPr>
          <w:p w14:paraId="7CEE6F4E" w14:textId="77777777" w:rsidR="00C47D7C" w:rsidRPr="00C64064" w:rsidRDefault="00C47D7C" w:rsidP="0045601F">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szCs w:val="22"/>
                <w:lang w:val="en-GB"/>
              </w:rPr>
              <w:t>Systemic Change</w:t>
            </w:r>
          </w:p>
        </w:tc>
        <w:tc>
          <w:tcPr>
            <w:tcW w:w="7256" w:type="dxa"/>
            <w:tcBorders>
              <w:top w:val="single" w:sz="4" w:space="0" w:color="auto"/>
              <w:bottom w:val="single" w:sz="4" w:space="0" w:color="auto"/>
            </w:tcBorders>
            <w:tcMar>
              <w:top w:w="170" w:type="dxa"/>
              <w:left w:w="170" w:type="dxa"/>
              <w:bottom w:w="170" w:type="dxa"/>
              <w:right w:w="170" w:type="dxa"/>
            </w:tcMar>
          </w:tcPr>
          <w:p w14:paraId="62310EDA" w14:textId="4326D1A8" w:rsidR="00C47D7C" w:rsidRPr="00C64064" w:rsidRDefault="00C47D7C"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 xml:space="preserve">When PRISMA refers to systemic change, it </w:t>
            </w:r>
            <w:r w:rsidR="003B0607" w:rsidRPr="00C64064">
              <w:rPr>
                <w:rFonts w:asciiTheme="majorHAnsi" w:hAnsiTheme="majorHAnsi" w:cstheme="majorHAnsi"/>
                <w:color w:val="auto"/>
                <w:szCs w:val="22"/>
                <w:lang w:val="en-GB"/>
              </w:rPr>
              <w:t>describes</w:t>
            </w:r>
            <w:r w:rsidRPr="00C64064">
              <w:rPr>
                <w:rFonts w:asciiTheme="majorHAnsi" w:hAnsiTheme="majorHAnsi" w:cstheme="majorHAnsi"/>
                <w:color w:val="auto"/>
                <w:szCs w:val="22"/>
                <w:lang w:val="en-GB"/>
              </w:rPr>
              <w:t xml:space="preserve"> the improvements in how a market’s supporting functions are performed and how they contribute to improved sector performance and inclusivity. This </w:t>
            </w:r>
            <w:r w:rsidR="009F6660" w:rsidRPr="00C64064">
              <w:rPr>
                <w:rFonts w:asciiTheme="majorHAnsi" w:hAnsiTheme="majorHAnsi" w:cstheme="majorHAnsi"/>
                <w:color w:val="auto"/>
                <w:szCs w:val="22"/>
                <w:lang w:val="en-GB"/>
              </w:rPr>
              <w:t xml:space="preserve">is achieved </w:t>
            </w:r>
            <w:r w:rsidR="009E3572" w:rsidRPr="00C64064">
              <w:rPr>
                <w:rFonts w:asciiTheme="majorHAnsi" w:hAnsiTheme="majorHAnsi" w:cstheme="majorHAnsi"/>
                <w:color w:val="auto"/>
                <w:szCs w:val="22"/>
                <w:lang w:val="en-GB"/>
              </w:rPr>
              <w:t>by addressing the root causes of market failures and promoting inclusion and resilience at the same time.</w:t>
            </w:r>
          </w:p>
        </w:tc>
      </w:tr>
      <w:tr w:rsidR="00634E60" w:rsidRPr="00C64064" w14:paraId="433B7547" w14:textId="77777777" w:rsidTr="13968B9F">
        <w:trPr>
          <w:trHeight w:val="60"/>
        </w:trPr>
        <w:tc>
          <w:tcPr>
            <w:tcW w:w="2106" w:type="dxa"/>
            <w:tcMar>
              <w:top w:w="170" w:type="dxa"/>
              <w:left w:w="170" w:type="dxa"/>
              <w:bottom w:w="170" w:type="dxa"/>
              <w:right w:w="170" w:type="dxa"/>
            </w:tcMar>
          </w:tcPr>
          <w:p w14:paraId="4E9EC159" w14:textId="5BC2DDC9" w:rsidR="00B27A64" w:rsidRPr="00C64064" w:rsidRDefault="00B27A64" w:rsidP="0045601F">
            <w:pPr>
              <w:pStyle w:val="Bodytext1colmn"/>
              <w:spacing w:before="0" w:after="0" w:line="276" w:lineRule="auto"/>
              <w:jc w:val="left"/>
              <w:rPr>
                <w:rFonts w:asciiTheme="majorHAnsi" w:hAnsiTheme="majorHAnsi" w:cstheme="majorHAnsi"/>
                <w:b/>
                <w:bCs/>
                <w:color w:val="auto"/>
                <w:szCs w:val="22"/>
                <w:lang w:val="en-GB"/>
              </w:rPr>
            </w:pPr>
            <w:r w:rsidRPr="00C64064">
              <w:rPr>
                <w:rFonts w:asciiTheme="majorHAnsi" w:hAnsiTheme="majorHAnsi" w:cstheme="majorHAnsi"/>
                <w:b/>
                <w:bCs/>
                <w:color w:val="auto"/>
                <w:szCs w:val="22"/>
                <w:lang w:val="en-GB"/>
              </w:rPr>
              <w:t xml:space="preserve">Resilience </w:t>
            </w:r>
          </w:p>
        </w:tc>
        <w:tc>
          <w:tcPr>
            <w:tcW w:w="7256" w:type="dxa"/>
            <w:tcBorders>
              <w:top w:val="single" w:sz="4" w:space="0" w:color="auto"/>
              <w:bottom w:val="single" w:sz="4" w:space="0" w:color="auto"/>
            </w:tcBorders>
            <w:tcMar>
              <w:top w:w="170" w:type="dxa"/>
              <w:left w:w="170" w:type="dxa"/>
              <w:bottom w:w="170" w:type="dxa"/>
              <w:right w:w="170" w:type="dxa"/>
            </w:tcMar>
          </w:tcPr>
          <w:p w14:paraId="3B6C4262" w14:textId="4486BE35" w:rsidR="00B27A64" w:rsidRPr="00C64064" w:rsidRDefault="00B27A64" w:rsidP="0045601F">
            <w:pPr>
              <w:pStyle w:val="Bodytext1colmn"/>
              <w:spacing w:before="0" w:after="0" w:line="276" w:lineRule="auto"/>
              <w:jc w:val="left"/>
              <w:rPr>
                <w:rFonts w:asciiTheme="majorHAnsi" w:hAnsiTheme="majorHAnsi" w:cstheme="majorHAnsi"/>
                <w:color w:val="auto"/>
                <w:szCs w:val="22"/>
                <w:lang w:val="en-GB"/>
              </w:rPr>
            </w:pPr>
            <w:r w:rsidRPr="00C64064">
              <w:rPr>
                <w:rFonts w:asciiTheme="majorHAnsi" w:hAnsiTheme="majorHAnsi" w:cstheme="majorHAnsi"/>
                <w:color w:val="auto"/>
                <w:szCs w:val="22"/>
                <w:lang w:val="en-GB"/>
              </w:rPr>
              <w:t xml:space="preserve">The ability of the market actors to </w:t>
            </w:r>
            <w:r w:rsidR="009371D4" w:rsidRPr="00C64064">
              <w:rPr>
                <w:rFonts w:asciiTheme="majorHAnsi" w:hAnsiTheme="majorHAnsi" w:cstheme="majorHAnsi"/>
                <w:color w:val="auto"/>
                <w:szCs w:val="22"/>
                <w:lang w:val="en-GB"/>
              </w:rPr>
              <w:t>withstand shocks, respond to unexpected threats, and continue business operations under stress</w:t>
            </w:r>
            <w:r w:rsidR="00123BCB" w:rsidRPr="00C64064">
              <w:rPr>
                <w:rFonts w:asciiTheme="majorHAnsi" w:hAnsiTheme="majorHAnsi" w:cstheme="majorHAnsi"/>
                <w:color w:val="auto"/>
                <w:szCs w:val="22"/>
                <w:lang w:val="en-GB"/>
              </w:rPr>
              <w:t>.</w:t>
            </w:r>
            <w:r w:rsidRPr="00C64064">
              <w:rPr>
                <w:rFonts w:asciiTheme="majorHAnsi" w:hAnsiTheme="majorHAnsi" w:cstheme="majorHAnsi"/>
                <w:color w:val="auto"/>
                <w:szCs w:val="22"/>
                <w:lang w:val="en-GB"/>
              </w:rPr>
              <w:t xml:space="preserve"> </w:t>
            </w:r>
          </w:p>
        </w:tc>
      </w:tr>
    </w:tbl>
    <w:p w14:paraId="73E8170B" w14:textId="012F8A1C" w:rsidR="00F2053A" w:rsidRPr="00C64064" w:rsidRDefault="00F2053A" w:rsidP="00C72B45">
      <w:pPr>
        <w:pStyle w:val="Body"/>
        <w:rPr>
          <w:rFonts w:asciiTheme="majorHAnsi" w:hAnsiTheme="majorHAnsi" w:cstheme="majorHAnsi"/>
        </w:rPr>
      </w:pPr>
    </w:p>
    <w:p w14:paraId="53B2C71A" w14:textId="77777777" w:rsidR="00970236" w:rsidRPr="00C64064" w:rsidRDefault="00970236" w:rsidP="0045601F">
      <w:pPr>
        <w:spacing w:line="276" w:lineRule="auto"/>
        <w:rPr>
          <w:rFonts w:asciiTheme="majorHAnsi" w:hAnsiTheme="majorHAnsi" w:cstheme="majorHAnsi"/>
        </w:rPr>
      </w:pPr>
      <w:bookmarkStart w:id="12" w:name="_Toc130198658"/>
      <w:bookmarkStart w:id="13" w:name="_Toc130198743"/>
    </w:p>
    <w:p w14:paraId="387E7465" w14:textId="1225DDDC" w:rsidR="00724AAF" w:rsidRDefault="00724AAF" w:rsidP="0045601F">
      <w:pPr>
        <w:spacing w:line="276" w:lineRule="auto"/>
        <w:rPr>
          <w:rFonts w:asciiTheme="majorHAnsi" w:hAnsiTheme="majorHAnsi" w:cstheme="majorHAnsi"/>
        </w:rPr>
      </w:pPr>
    </w:p>
    <w:p w14:paraId="5FAC270D" w14:textId="77777777" w:rsidR="00724AAF" w:rsidRDefault="00724AAF">
      <w:pPr>
        <w:rPr>
          <w:rFonts w:asciiTheme="majorHAnsi" w:hAnsiTheme="majorHAnsi" w:cstheme="majorHAnsi"/>
        </w:rPr>
      </w:pPr>
      <w:r>
        <w:rPr>
          <w:rFonts w:asciiTheme="majorHAnsi" w:hAnsiTheme="majorHAnsi" w:cstheme="majorHAnsi"/>
        </w:rPr>
        <w:lastRenderedPageBreak/>
        <w:br w:type="page"/>
      </w:r>
    </w:p>
    <w:p w14:paraId="612CDC7C" w14:textId="5CE3B555" w:rsidR="009550A8" w:rsidRPr="00A8522F" w:rsidRDefault="002717F7" w:rsidP="0045601F">
      <w:pPr>
        <w:spacing w:line="276" w:lineRule="auto"/>
        <w:rPr>
          <w:rFonts w:asciiTheme="majorHAnsi" w:eastAsiaTheme="majorEastAsia" w:hAnsiTheme="majorHAnsi" w:cstheme="majorHAnsi"/>
          <w:b/>
          <w:color w:val="3BB54A"/>
        </w:rPr>
      </w:pPr>
      <w:r w:rsidRPr="00A8522F">
        <w:rPr>
          <w:rFonts w:asciiTheme="majorHAnsi" w:hAnsiTheme="majorHAnsi" w:cstheme="majorHAnsi"/>
          <w:noProof/>
          <w:color w:val="3BB54A"/>
        </w:rPr>
        <w:lastRenderedPageBreak/>
        <w:drawing>
          <wp:anchor distT="0" distB="0" distL="114300" distR="114300" simplePos="0" relativeHeight="251744768" behindDoc="0" locked="0" layoutInCell="1" allowOverlap="1" wp14:anchorId="0697C576" wp14:editId="1A023D10">
            <wp:simplePos x="0" y="0"/>
            <wp:positionH relativeFrom="page">
              <wp:posOffset>-19050</wp:posOffset>
            </wp:positionH>
            <wp:positionV relativeFrom="paragraph">
              <wp:posOffset>5705475</wp:posOffset>
            </wp:positionV>
            <wp:extent cx="7561298" cy="4253230"/>
            <wp:effectExtent l="0" t="0" r="1905" b="0"/>
            <wp:wrapNone/>
            <wp:docPr id="402423181"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23181" name="Picture 51">
                      <a:extLst>
                        <a:ext uri="{C183D7F6-B498-43B3-948B-1728B52AA6E4}">
                          <adec:decorative xmlns:adec="http://schemas.microsoft.com/office/drawing/2017/decorative" val="1"/>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561298" cy="4253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50A8" w:rsidRPr="00A8522F">
        <w:rPr>
          <w:rFonts w:asciiTheme="majorHAnsi" w:hAnsiTheme="majorHAnsi" w:cstheme="majorHAnsi"/>
          <w:color w:val="3BB54A"/>
        </w:rPr>
        <w:br w:type="page"/>
      </w:r>
    </w:p>
    <w:p w14:paraId="5F0A428B" w14:textId="71AE2F04" w:rsidR="00CF79BA" w:rsidRPr="00C64064" w:rsidRDefault="10BF2CBC" w:rsidP="00017C2E">
      <w:pPr>
        <w:pStyle w:val="Head1nonumber"/>
        <w:rPr>
          <w:rFonts w:asciiTheme="majorHAnsi" w:hAnsiTheme="majorHAnsi" w:cstheme="majorHAnsi"/>
        </w:rPr>
      </w:pPr>
      <w:bookmarkStart w:id="14" w:name="_Toc167702230"/>
      <w:bookmarkStart w:id="15" w:name="_Toc172823278"/>
      <w:bookmarkStart w:id="16" w:name="_Toc180155145"/>
      <w:r w:rsidRPr="00C64064">
        <w:rPr>
          <w:rFonts w:asciiTheme="majorHAnsi" w:hAnsiTheme="majorHAnsi" w:cstheme="majorHAnsi"/>
        </w:rPr>
        <w:lastRenderedPageBreak/>
        <w:t>Executive</w:t>
      </w:r>
      <w:r w:rsidR="5C71FE4D" w:rsidRPr="00C64064">
        <w:rPr>
          <w:rFonts w:asciiTheme="majorHAnsi" w:hAnsiTheme="majorHAnsi" w:cstheme="majorHAnsi"/>
        </w:rPr>
        <w:t xml:space="preserve"> </w:t>
      </w:r>
      <w:r w:rsidRPr="00C64064">
        <w:rPr>
          <w:rFonts w:asciiTheme="majorHAnsi" w:hAnsiTheme="majorHAnsi" w:cstheme="majorHAnsi"/>
        </w:rPr>
        <w:t>Summary</w:t>
      </w:r>
      <w:bookmarkEnd w:id="12"/>
      <w:bookmarkEnd w:id="13"/>
      <w:bookmarkEnd w:id="14"/>
      <w:bookmarkEnd w:id="15"/>
      <w:bookmarkEnd w:id="16"/>
      <w:r w:rsidRPr="00C64064">
        <w:rPr>
          <w:rFonts w:asciiTheme="majorHAnsi" w:hAnsiTheme="majorHAnsi" w:cstheme="majorHAnsi"/>
        </w:rPr>
        <w:t xml:space="preserve"> </w:t>
      </w:r>
    </w:p>
    <w:p w14:paraId="10BBEA64" w14:textId="5480F1B2" w:rsidR="009B4187" w:rsidRPr="00BB2BDC" w:rsidRDefault="009B4187" w:rsidP="009B4187">
      <w:pPr>
        <w:pStyle w:val="Head2"/>
      </w:pPr>
      <w:bookmarkStart w:id="17" w:name="_Toc180155146"/>
      <w:bookmarkStart w:id="18" w:name="_Toc172823279"/>
      <w:r>
        <w:t>Introduction</w:t>
      </w:r>
      <w:bookmarkEnd w:id="17"/>
    </w:p>
    <w:p w14:paraId="1029CE11" w14:textId="2379920E" w:rsidR="0039384A" w:rsidRDefault="00686DBB" w:rsidP="00686DBB">
      <w:r>
        <w:t>This report presents the final half-year progress of the Australia-Indonesia Partnership for Promoting Rural Incomes through Support for Markets in Agriculture (PRISMA</w:t>
      </w:r>
      <w:r w:rsidRPr="00586A9E">
        <w:t xml:space="preserve">). </w:t>
      </w:r>
      <w:r w:rsidR="00F5463A" w:rsidRPr="00586A9E">
        <w:t xml:space="preserve">A </w:t>
      </w:r>
      <w:r w:rsidR="001678E2" w:rsidRPr="00450972">
        <w:t>transformative</w:t>
      </w:r>
      <w:r w:rsidR="00E964AF">
        <w:t xml:space="preserve"> </w:t>
      </w:r>
      <w:r w:rsidR="00F5463A">
        <w:t>program, PRIS</w:t>
      </w:r>
      <w:r w:rsidR="00CC4FB5">
        <w:t xml:space="preserve">MA has increased incomes for </w:t>
      </w:r>
      <w:r w:rsidR="00432CA6">
        <w:t xml:space="preserve">over </w:t>
      </w:r>
      <w:r w:rsidR="00CC4FB5">
        <w:t>1.4</w:t>
      </w:r>
      <w:r w:rsidR="00D330E6">
        <w:t>8</w:t>
      </w:r>
      <w:r w:rsidR="00CC4FB5">
        <w:t xml:space="preserve"> million </w:t>
      </w:r>
      <w:r w:rsidR="0039384A">
        <w:t xml:space="preserve">farming </w:t>
      </w:r>
      <w:r w:rsidR="004A0644">
        <w:t>households</w:t>
      </w:r>
      <w:r w:rsidR="008F11B9">
        <w:t>.</w:t>
      </w:r>
      <w:r w:rsidR="00DB2CD3">
        <w:t xml:space="preserve"> </w:t>
      </w:r>
    </w:p>
    <w:p w14:paraId="3C098EB3" w14:textId="0066FD7A" w:rsidR="005D6FB8" w:rsidRDefault="009E71D7" w:rsidP="00A4594A">
      <w:r>
        <w:t>Massive</w:t>
      </w:r>
      <w:r w:rsidR="005037C9">
        <w:t xml:space="preserve"> system</w:t>
      </w:r>
      <w:r w:rsidR="00F5463A">
        <w:t xml:space="preserve"> </w:t>
      </w:r>
      <w:r w:rsidR="005037C9">
        <w:t>change</w:t>
      </w:r>
      <w:r>
        <w:t xml:space="preserve"> has</w:t>
      </w:r>
      <w:r w:rsidR="005037C9">
        <w:t xml:space="preserve"> driv</w:t>
      </w:r>
      <w:r>
        <w:t>en</w:t>
      </w:r>
      <w:r w:rsidR="005037C9">
        <w:t xml:space="preserve"> this result</w:t>
      </w:r>
      <w:r>
        <w:t xml:space="preserve">. </w:t>
      </w:r>
      <w:r w:rsidR="00A4594A">
        <w:t xml:space="preserve">This change is not static but a process that will continue to unfold beyond the </w:t>
      </w:r>
      <w:r w:rsidR="00535947">
        <w:t>program’s life</w:t>
      </w:r>
      <w:r w:rsidR="00A4594A">
        <w:t>. Farmers, agro retailers and traders have adopted higher productivity practices that generate higher incomes throughout the supply chain. Higher incomes increase investment back into agriculture, generating more resilient markets.</w:t>
      </w:r>
      <w:r w:rsidR="009113BC">
        <w:t xml:space="preserve"> </w:t>
      </w:r>
      <w:r w:rsidR="005D6FB8">
        <w:t>For PRISMA, commerciality is sustainability.</w:t>
      </w:r>
    </w:p>
    <w:p w14:paraId="0CF92BC1" w14:textId="77A84C97" w:rsidR="00E63A5B" w:rsidRPr="00450972" w:rsidRDefault="00E63A5B" w:rsidP="5583D54B">
      <w:pPr>
        <w:rPr>
          <w:rFonts w:asciiTheme="majorHAnsi" w:hAnsiTheme="majorHAnsi" w:cstheme="majorBidi"/>
          <w:lang w:val="en-AU"/>
        </w:rPr>
      </w:pPr>
      <w:r>
        <w:t xml:space="preserve">The evidence </w:t>
      </w:r>
      <w:r w:rsidR="005D6FB8">
        <w:t>PRISMA</w:t>
      </w:r>
      <w:r>
        <w:t xml:space="preserve"> generate</w:t>
      </w:r>
      <w:r w:rsidR="00501933">
        <w:t>s</w:t>
      </w:r>
      <w:r w:rsidR="009E7E68">
        <w:t xml:space="preserve"> has been transferred </w:t>
      </w:r>
      <w:r w:rsidR="00501933">
        <w:t>to the government</w:t>
      </w:r>
      <w:r w:rsidR="00D458F6">
        <w:t xml:space="preserve"> of Indonesia's planning and policy processes and academic institutions. Significant policy initiatives have made transformational changes (new processes, practices, regulations) and improved capacity within key partner institutions, supporting productivity increases and inbuilt resilience for farmers and the ecosystem</w:t>
      </w:r>
      <w:r w:rsidR="008B496B" w:rsidRPr="5583D54B">
        <w:rPr>
          <w:rFonts w:asciiTheme="majorHAnsi" w:hAnsiTheme="majorHAnsi" w:cstheme="majorBidi"/>
          <w:lang w:val="en-AU"/>
        </w:rPr>
        <w:t xml:space="preserve"> </w:t>
      </w:r>
      <w:r w:rsidR="00F60675" w:rsidRPr="5583D54B">
        <w:rPr>
          <w:rFonts w:asciiTheme="majorHAnsi" w:hAnsiTheme="majorHAnsi" w:cstheme="majorBidi"/>
          <w:lang w:val="en-AU"/>
        </w:rPr>
        <w:t>surrounding</w:t>
      </w:r>
      <w:r w:rsidR="008B496B" w:rsidRPr="5583D54B">
        <w:rPr>
          <w:rFonts w:asciiTheme="majorHAnsi" w:hAnsiTheme="majorHAnsi" w:cstheme="majorBidi"/>
          <w:lang w:val="en-AU"/>
        </w:rPr>
        <w:t xml:space="preserve"> them. </w:t>
      </w:r>
    </w:p>
    <w:p w14:paraId="7032DB06" w14:textId="2F091732" w:rsidR="00A4594A" w:rsidRDefault="008B496B" w:rsidP="00A4594A">
      <w:r>
        <w:t>PRISMA has seen</w:t>
      </w:r>
      <w:r w:rsidR="005D6FB8">
        <w:t xml:space="preserve"> groundbreaking results in </w:t>
      </w:r>
      <w:r w:rsidR="000F64D2">
        <w:t xml:space="preserve">climate-smart agriculture. </w:t>
      </w:r>
      <w:r w:rsidR="00DA579D">
        <w:t>The program has pioneered interventions that build incomes in farming zones adapting to climate change</w:t>
      </w:r>
      <w:r w:rsidR="00BD4AE7">
        <w:t>, from</w:t>
      </w:r>
      <w:r w:rsidR="007632A9">
        <w:t xml:space="preserve"> </w:t>
      </w:r>
      <w:r w:rsidR="00B86E3C">
        <w:t>catalysing</w:t>
      </w:r>
      <w:r w:rsidR="007632A9">
        <w:t xml:space="preserve"> climate-smart rice seeds to </w:t>
      </w:r>
      <w:r w:rsidR="00707CFA">
        <w:t xml:space="preserve">kick-starting mineral-based organic fertiliser usage. </w:t>
      </w:r>
      <w:r w:rsidR="00BD4AE7">
        <w:t xml:space="preserve">There continue to be opportunities </w:t>
      </w:r>
      <w:r w:rsidR="00C35F1F">
        <w:t xml:space="preserve">to </w:t>
      </w:r>
      <w:r w:rsidR="00B059BD">
        <w:t>scale climate-smart innovations and influence government approach</w:t>
      </w:r>
      <w:r w:rsidR="009B3C79">
        <w:t>es</w:t>
      </w:r>
      <w:r w:rsidR="00B059BD">
        <w:t xml:space="preserve"> </w:t>
      </w:r>
      <w:r w:rsidR="00C35F1F">
        <w:t>in</w:t>
      </w:r>
      <w:r w:rsidR="00B059BD">
        <w:t xml:space="preserve"> this fast evolving are</w:t>
      </w:r>
      <w:r w:rsidR="009B3C79">
        <w:t>a</w:t>
      </w:r>
      <w:r w:rsidR="00B059BD">
        <w:t xml:space="preserve">. </w:t>
      </w:r>
    </w:p>
    <w:p w14:paraId="70565D70" w14:textId="49BFEFB0" w:rsidR="00EB7B3D" w:rsidRPr="00D02516" w:rsidRDefault="00707CFA" w:rsidP="00EB7B3D">
      <w:r>
        <w:t xml:space="preserve">Building on </w:t>
      </w:r>
      <w:r w:rsidR="00C35F1F">
        <w:t>its</w:t>
      </w:r>
      <w:r w:rsidR="00DB18A1">
        <w:t xml:space="preserve"> </w:t>
      </w:r>
      <w:r>
        <w:t xml:space="preserve">success, </w:t>
      </w:r>
      <w:r w:rsidR="00F2405F">
        <w:t>PRISMA</w:t>
      </w:r>
      <w:r w:rsidR="00F2028F">
        <w:t xml:space="preserve">’s focus </w:t>
      </w:r>
      <w:r w:rsidR="00B3647A">
        <w:t>on</w:t>
      </w:r>
      <w:r w:rsidR="00F2405F">
        <w:t xml:space="preserve"> its final year</w:t>
      </w:r>
      <w:r w:rsidR="00DB7055">
        <w:t xml:space="preserve"> is</w:t>
      </w:r>
      <w:r w:rsidR="009B1F4C">
        <w:t xml:space="preserve"> to influence the market with its know-how and expertise. The eleventh year was an extension granted by DFAT in recognition of </w:t>
      </w:r>
      <w:r w:rsidR="00C35F1F">
        <w:t>the</w:t>
      </w:r>
      <w:r w:rsidR="009B1F4C">
        <w:t xml:space="preserve"> </w:t>
      </w:r>
      <w:r w:rsidR="00F63AA8">
        <w:t xml:space="preserve">opportunity </w:t>
      </w:r>
      <w:r w:rsidR="009B1F4C">
        <w:t xml:space="preserve">to </w:t>
      </w:r>
      <w:r w:rsidR="00403F59">
        <w:t>share the PRISMA experience</w:t>
      </w:r>
      <w:r w:rsidR="00F63AA8">
        <w:t xml:space="preserve"> more widely</w:t>
      </w:r>
      <w:r w:rsidR="00403F59">
        <w:t>. The program for the final year split</w:t>
      </w:r>
      <w:r w:rsidR="00EB7B3D" w:rsidRPr="00D02516">
        <w:t xml:space="preserve"> sustainability </w:t>
      </w:r>
      <w:r w:rsidR="00E571DD" w:rsidRPr="00E571DD">
        <w:t xml:space="preserve">targets </w:t>
      </w:r>
      <w:r w:rsidR="00F63AA8">
        <w:t xml:space="preserve">into </w:t>
      </w:r>
      <w:r w:rsidR="00E571DD" w:rsidRPr="00E571DD">
        <w:t>sector-level activities (</w:t>
      </w:r>
      <w:r w:rsidR="00E571DD" w:rsidRPr="00003791">
        <w:rPr>
          <w:b/>
          <w:bCs/>
          <w:u w:val="single"/>
        </w:rPr>
        <w:t>market resilience</w:t>
      </w:r>
      <w:r w:rsidR="00E571DD" w:rsidRPr="00E571DD">
        <w:t>) and policy-</w:t>
      </w:r>
      <w:r w:rsidR="002979BF" w:rsidRPr="002979BF">
        <w:t xml:space="preserve"> and academic-institution-focused</w:t>
      </w:r>
      <w:r w:rsidR="00036281">
        <w:t xml:space="preserve"> </w:t>
      </w:r>
      <w:r w:rsidR="00722BCE">
        <w:t>activities (</w:t>
      </w:r>
      <w:r w:rsidR="00722BCE" w:rsidRPr="00003791">
        <w:rPr>
          <w:b/>
          <w:bCs/>
          <w:u w:val="single"/>
        </w:rPr>
        <w:t>high-priority policy initiatives</w:t>
      </w:r>
      <w:r w:rsidR="00722BCE">
        <w:t>).</w:t>
      </w:r>
    </w:p>
    <w:p w14:paraId="09948D8A" w14:textId="67C62633" w:rsidR="002468D4" w:rsidRDefault="00EB7B3D" w:rsidP="00EB7B3D">
      <w:r w:rsidRPr="00D02516">
        <w:t xml:space="preserve">Resilience activities spanned 12 sectors, bolstering market actors' ability to navigate market stress and uncertainties. These </w:t>
      </w:r>
      <w:r w:rsidR="0010606F">
        <w:t>i</w:t>
      </w:r>
      <w:r w:rsidRPr="00D02516">
        <w:t xml:space="preserve">ncluded activities and events for </w:t>
      </w:r>
      <w:r w:rsidR="00C234C1">
        <w:t>building</w:t>
      </w:r>
      <w:r w:rsidRPr="00D02516">
        <w:t xml:space="preserve"> private and public sector capacities, enhancing market functions critical for sector performance, and institutionalizing essential functions like research and marketing.</w:t>
      </w:r>
      <w:r w:rsidR="002468D4">
        <w:t xml:space="preserve"> </w:t>
      </w:r>
      <w:r w:rsidR="006C5756">
        <w:t>Twenty-seven</w:t>
      </w:r>
      <w:r w:rsidR="002468D4">
        <w:t xml:space="preserve"> events were held</w:t>
      </w:r>
      <w:r w:rsidR="005C6BE1" w:rsidRPr="005C6BE1">
        <w:t xml:space="preserve">, reaching more than 2.5 million people and influencing </w:t>
      </w:r>
      <w:r w:rsidR="0054113C">
        <w:t xml:space="preserve">more than </w:t>
      </w:r>
      <w:r w:rsidR="005C6BE1" w:rsidRPr="005C6BE1">
        <w:t>2,500 people face-to-face</w:t>
      </w:r>
      <w:r w:rsidR="002468D4">
        <w:t xml:space="preserve">. </w:t>
      </w:r>
    </w:p>
    <w:p w14:paraId="0D94E803" w14:textId="25EECF81" w:rsidR="0048020D" w:rsidRDefault="1B5CA281" w:rsidP="00114757">
      <w:pPr>
        <w:spacing w:before="120"/>
        <w:jc w:val="both"/>
      </w:pPr>
      <w:r>
        <w:t>The high-priority policy initiatives target</w:t>
      </w:r>
      <w:r w:rsidR="0E1D6CB0">
        <w:t>ed</w:t>
      </w:r>
      <w:r>
        <w:t xml:space="preserve"> policy and institutional behaviour changes to foster a more conducive environment for private sector-led agricultural growth.</w:t>
      </w:r>
      <w:r w:rsidR="4B259C7A">
        <w:t xml:space="preserve"> These initiatives build on PRISMA efforts to foster a more enabling business environment in key sectors and national and regional agricultural planning. </w:t>
      </w:r>
      <w:r w:rsidR="0757DB4E">
        <w:t>In total, PRISMA</w:t>
      </w:r>
      <w:r w:rsidR="5525B864">
        <w:t xml:space="preserve"> has </w:t>
      </w:r>
      <w:r w:rsidR="003469DF">
        <w:t>supported</w:t>
      </w:r>
      <w:r w:rsidR="5525B864">
        <w:t xml:space="preserve"> </w:t>
      </w:r>
      <w:r w:rsidR="776EDD68">
        <w:t>1</w:t>
      </w:r>
      <w:r w:rsidR="00EE0630">
        <w:t>70</w:t>
      </w:r>
      <w:r w:rsidR="0757DB4E">
        <w:t xml:space="preserve"> GoI policy initiatives, including a few major initiatives, such as revamping Indonesia’s cattle feed standard (SNI), creating the dairy sector roadmap and contributing to the national 5-year planning. In the process, PRISMA has been recognised and appreciated by national government bodies, including </w:t>
      </w:r>
      <w:r w:rsidR="7D8B247C">
        <w:t xml:space="preserve">Bappenas and </w:t>
      </w:r>
      <w:r w:rsidR="0757DB4E">
        <w:t>the Ministry of Agriculture (MoA).</w:t>
      </w:r>
      <w:r w:rsidR="00627D36">
        <w:t>one of our w</w:t>
      </w:r>
      <w:r w:rsidR="0757DB4E">
        <w:t>As a result, Bappenas</w:t>
      </w:r>
      <w:r w:rsidR="7D8B247C">
        <w:t xml:space="preserve"> and MoA</w:t>
      </w:r>
      <w:r w:rsidR="0757DB4E">
        <w:t xml:space="preserve"> continue </w:t>
      </w:r>
      <w:r w:rsidR="66796A67">
        <w:t xml:space="preserve">to </w:t>
      </w:r>
      <w:r w:rsidR="0757DB4E">
        <w:t xml:space="preserve">request PRISMA’s support in 2024 and beyond, particularly in the areas of national food security, policy and regulatory reforms, and institutional capacity development. </w:t>
      </w:r>
    </w:p>
    <w:p w14:paraId="49C3D984" w14:textId="49A9AE6A" w:rsidR="007B7BD5" w:rsidRPr="00114757" w:rsidRDefault="007B7BD5" w:rsidP="00114757">
      <w:pPr>
        <w:spacing w:before="120"/>
        <w:jc w:val="both"/>
      </w:pPr>
      <w:r w:rsidRPr="007B7BD5">
        <w:rPr>
          <w:rFonts w:ascii="Times New Roman" w:eastAsia="Times New Roman" w:hAnsi="Times New Roman" w:cs="Times New Roman"/>
          <w:sz w:val="24"/>
          <w:szCs w:val="24"/>
          <w:lang w:val="en-ID" w:eastAsia="en-ID"/>
        </w:rPr>
        <w:br/>
      </w:r>
    </w:p>
    <w:p w14:paraId="0E5A9130" w14:textId="797C755E" w:rsidR="007F45A0" w:rsidRPr="007F45A0" w:rsidRDefault="007F45A0" w:rsidP="007F45A0"/>
    <w:p w14:paraId="4BC65CCC" w14:textId="046AC864" w:rsidR="00443A48" w:rsidRDefault="0757DB4E" w:rsidP="00EB7B3D">
      <w:r>
        <w:lastRenderedPageBreak/>
        <w:t>PRISMA is the only agriculture program that collaborates with over 238 private entities and has proven its value to the private and public sectors.</w:t>
      </w:r>
      <w:r w:rsidR="4E68B18B">
        <w:t xml:space="preserve"> </w:t>
      </w:r>
      <w:r w:rsidR="00884FCF">
        <w:t>Creating opportunities for overlooked</w:t>
      </w:r>
      <w:r w:rsidR="008014F3">
        <w:t xml:space="preserve"> market segments has been one of PRI</w:t>
      </w:r>
      <w:r w:rsidR="00641158">
        <w:t xml:space="preserve">SMA’s success stories. Supporting companies to adapt their outreach to target women farmers, who make up more than </w:t>
      </w:r>
      <w:r w:rsidR="009B3C79">
        <w:t>one-quarter</w:t>
      </w:r>
      <w:r w:rsidR="00641158">
        <w:t xml:space="preserve"> of the farming population</w:t>
      </w:r>
      <w:r w:rsidR="00EB5038">
        <w:t xml:space="preserve">, has resulted in income increases and greater agency for women. </w:t>
      </w:r>
      <w:r w:rsidR="00960A53">
        <w:t xml:space="preserve">A similar story could be told on disability inclusive practices and work with indigenous farmers in Tanah Papua. </w:t>
      </w:r>
    </w:p>
    <w:p w14:paraId="36F34239" w14:textId="3223BFBB" w:rsidR="00AD0F9E" w:rsidRDefault="00960A53" w:rsidP="00B975A7">
      <w:r>
        <w:t>PRISMA</w:t>
      </w:r>
      <w:r w:rsidR="00C405A6">
        <w:t xml:space="preserve">’s credibility and </w:t>
      </w:r>
      <w:r w:rsidR="009B3C79">
        <w:t xml:space="preserve">depth of </w:t>
      </w:r>
      <w:r w:rsidR="00C405A6">
        <w:t xml:space="preserve">knowledge has </w:t>
      </w:r>
      <w:r>
        <w:t>influenc</w:t>
      </w:r>
      <w:r w:rsidR="00C405A6">
        <w:t>ed</w:t>
      </w:r>
      <w:r>
        <w:t xml:space="preserve"> businesses to change their approach</w:t>
      </w:r>
      <w:r w:rsidR="005C5F16">
        <w:t>.</w:t>
      </w:r>
      <w:r w:rsidR="00C11C53">
        <w:t xml:space="preserve"> This knowledge was harvested and shared in the final year, with </w:t>
      </w:r>
      <w:r w:rsidR="002156C3">
        <w:t xml:space="preserve">increased knowledge in the market </w:t>
      </w:r>
      <w:r w:rsidR="007120AC">
        <w:t xml:space="preserve">triggered by national events on gender equality and disability inclusion. </w:t>
      </w:r>
      <w:r w:rsidR="002156C3">
        <w:t>Read on for more on th</w:t>
      </w:r>
      <w:r w:rsidR="00C07AE6">
        <w:t>e</w:t>
      </w:r>
      <w:r w:rsidR="00C7480A">
        <w:t xml:space="preserve"> </w:t>
      </w:r>
      <w:r w:rsidR="002156C3">
        <w:t>impact</w:t>
      </w:r>
      <w:r w:rsidR="00291F23">
        <w:t xml:space="preserve"> of PRISMA,</w:t>
      </w:r>
      <w:r w:rsidR="000356E1">
        <w:t xml:space="preserve"> this semester</w:t>
      </w:r>
      <w:r w:rsidR="006C27A0">
        <w:t>,</w:t>
      </w:r>
      <w:r w:rsidR="000356E1">
        <w:t xml:space="preserve"> and over </w:t>
      </w:r>
      <w:r w:rsidR="00A611E5">
        <w:t xml:space="preserve">its remarkable last </w:t>
      </w:r>
      <w:r w:rsidR="00C07AE6">
        <w:t>decade.</w:t>
      </w:r>
    </w:p>
    <w:p w14:paraId="2380CC96" w14:textId="38FEC68D" w:rsidR="001E5099" w:rsidRPr="00BB2BDC" w:rsidRDefault="00BB2BDC" w:rsidP="00C53CA1">
      <w:pPr>
        <w:pStyle w:val="Head2"/>
      </w:pPr>
      <w:bookmarkStart w:id="19" w:name="_Toc180155147"/>
      <w:r w:rsidRPr="00E8170E">
        <w:t>PRISMA progres</w:t>
      </w:r>
      <w:r w:rsidR="001B3938">
        <w:t>s</w:t>
      </w:r>
      <w:bookmarkEnd w:id="18"/>
      <w:bookmarkEnd w:id="19"/>
    </w:p>
    <w:p w14:paraId="5014F12D" w14:textId="16E0890E" w:rsidR="00C578B4" w:rsidRDefault="00506CE3" w:rsidP="00B03C3A">
      <w:pPr>
        <w:pStyle w:val="Head3"/>
      </w:pPr>
      <w:bookmarkStart w:id="20" w:name="_Toc173318291"/>
      <w:bookmarkStart w:id="21" w:name="_Toc179192283"/>
      <w:bookmarkStart w:id="22" w:name="_Toc180155148"/>
      <w:r>
        <w:t>The EOPO outcome data is derived from impact assessments of interventions in semester 2, 2023, and previous interventions that continued into semester 1, 2024. The majority of PRISMA’s interventions ceased in December 2023 to concentrate on market resilience.</w:t>
      </w:r>
      <w:r w:rsidR="00FA50C1">
        <w:t xml:space="preserve"> The outreach and in</w:t>
      </w:r>
      <w:r w:rsidR="00FD34AB">
        <w:t>c</w:t>
      </w:r>
      <w:r w:rsidR="00FA50C1">
        <w:t>ome</w:t>
      </w:r>
      <w:r w:rsidR="00FD34AB">
        <w:t xml:space="preserve"> </w:t>
      </w:r>
      <w:r w:rsidR="000F554B">
        <w:t>continue to increase</w:t>
      </w:r>
      <w:r w:rsidR="00F610C2">
        <w:t>, as</w:t>
      </w:r>
      <w:r w:rsidR="00FD34AB">
        <w:t xml:space="preserve"> documented below.</w:t>
      </w:r>
      <w:bookmarkEnd w:id="20"/>
      <w:bookmarkEnd w:id="21"/>
      <w:bookmarkEnd w:id="22"/>
      <w:r w:rsidR="00FD34AB">
        <w:t xml:space="preserve"> </w:t>
      </w:r>
      <w:r w:rsidR="00FA50C1">
        <w:t xml:space="preserve"> </w:t>
      </w:r>
    </w:p>
    <w:p w14:paraId="1F354C85" w14:textId="0EC97EAC" w:rsidR="001E5099" w:rsidRPr="00394C13" w:rsidRDefault="00394C13" w:rsidP="00394C13">
      <w:pPr>
        <w:rPr>
          <w:color w:val="002060"/>
        </w:rPr>
      </w:pPr>
      <w:bookmarkStart w:id="23" w:name="_Toc157607463"/>
      <w:bookmarkStart w:id="24" w:name="_Toc157610871"/>
      <w:bookmarkStart w:id="25" w:name="_Toc157612262"/>
      <w:r w:rsidRPr="00D40BD4">
        <w:rPr>
          <w:b/>
          <w:bCs/>
          <w:color w:val="002060"/>
        </w:rPr>
        <w:t>End-of-program outcome</w:t>
      </w:r>
      <w:bookmarkEnd w:id="23"/>
      <w:bookmarkEnd w:id="24"/>
      <w:bookmarkEnd w:id="25"/>
      <w:r w:rsidRPr="00D40BD4">
        <w:rPr>
          <w:b/>
          <w:bCs/>
          <w:color w:val="002060"/>
        </w:rPr>
        <w:t>:</w:t>
      </w:r>
      <w:r w:rsidRPr="00D40BD4">
        <w:rPr>
          <w:color w:val="002060"/>
        </w:rPr>
        <w:t xml:space="preserve"> 1,000,000 farming households increase their income </w:t>
      </w:r>
      <w:r>
        <w:rPr>
          <w:color w:val="002060"/>
        </w:rPr>
        <w:t xml:space="preserve">by 30 percent </w:t>
      </w:r>
      <w:r w:rsidRPr="00D40BD4">
        <w:rPr>
          <w:color w:val="002060"/>
        </w:rPr>
        <w:t>due to PRISMA Interventions</w:t>
      </w:r>
    </w:p>
    <w:p w14:paraId="70472F41" w14:textId="460D85A2" w:rsidR="00373927" w:rsidRDefault="00967073" w:rsidP="00373927">
      <w:pPr>
        <w:spacing w:after="120" w:line="276" w:lineRule="auto"/>
        <w:rPr>
          <w:rFonts w:asciiTheme="majorHAnsi" w:hAnsiTheme="majorHAnsi" w:cstheme="majorHAnsi"/>
          <w:lang w:val="en-AU"/>
        </w:rPr>
      </w:pPr>
      <w:r w:rsidRPr="00E32EA5">
        <w:rPr>
          <w:rFonts w:cs="Arial"/>
        </w:rPr>
        <w:t>PRISMA's end-of-program outcome</w:t>
      </w:r>
      <w:r>
        <w:rPr>
          <w:rFonts w:cs="Arial"/>
        </w:rPr>
        <w:t xml:space="preserve"> is</w:t>
      </w:r>
      <w:r w:rsidRPr="00E32EA5">
        <w:rPr>
          <w:rFonts w:cs="Arial"/>
        </w:rPr>
        <w:t xml:space="preserve"> to increase the income of one million smallholder farming households by 30 per cent by December 2023. This is a cumulative outcome spanning both phases of the program. </w:t>
      </w:r>
      <w:r w:rsidR="001E5099" w:rsidRPr="00C64064">
        <w:rPr>
          <w:rFonts w:asciiTheme="majorHAnsi" w:hAnsiTheme="majorHAnsi" w:cstheme="majorHAnsi"/>
          <w:lang w:val="en-AU"/>
        </w:rPr>
        <w:t xml:space="preserve">PRISMA exceeded </w:t>
      </w:r>
      <w:r w:rsidR="001751A5">
        <w:rPr>
          <w:rFonts w:asciiTheme="majorHAnsi" w:hAnsiTheme="majorHAnsi" w:cstheme="majorHAnsi"/>
          <w:lang w:val="en-AU"/>
        </w:rPr>
        <w:t>the</w:t>
      </w:r>
      <w:r w:rsidR="001E5099" w:rsidRPr="00C64064">
        <w:rPr>
          <w:rFonts w:asciiTheme="majorHAnsi" w:hAnsiTheme="majorHAnsi" w:cstheme="majorHAnsi"/>
          <w:lang w:val="en-AU"/>
        </w:rPr>
        <w:t xml:space="preserve"> program outcome by the end of 2023 and is projected to reach over 1.48 million smallholder farmers by the end of 2024.</w:t>
      </w:r>
    </w:p>
    <w:p w14:paraId="6B5AC79F" w14:textId="77777777" w:rsidR="000F1553" w:rsidRDefault="002F4DF5" w:rsidP="00373927">
      <w:pPr>
        <w:spacing w:after="120" w:line="276" w:lineRule="auto"/>
        <w:rPr>
          <w:b/>
          <w:bCs/>
          <w:color w:val="002060"/>
        </w:rPr>
      </w:pPr>
      <w:r>
        <w:rPr>
          <w:rFonts w:asciiTheme="majorHAnsi" w:hAnsiTheme="majorHAnsi" w:cstheme="majorHAnsi"/>
          <w:lang w:val="en-AU"/>
        </w:rPr>
        <w:br/>
      </w:r>
      <w:r>
        <w:rPr>
          <w:rFonts w:asciiTheme="majorHAnsi" w:hAnsiTheme="majorHAnsi" w:cstheme="majorHAnsi"/>
          <w:lang w:val="en-AU"/>
        </w:rPr>
        <w:br/>
      </w:r>
    </w:p>
    <w:p w14:paraId="3483792B" w14:textId="77777777" w:rsidR="000F1553" w:rsidRDefault="000F1553">
      <w:pPr>
        <w:rPr>
          <w:b/>
          <w:bCs/>
          <w:color w:val="002060"/>
        </w:rPr>
      </w:pPr>
      <w:r>
        <w:rPr>
          <w:b/>
          <w:bCs/>
          <w:color w:val="002060"/>
        </w:rPr>
        <w:br w:type="page"/>
      </w:r>
    </w:p>
    <w:p w14:paraId="5BA9C8E0" w14:textId="14A90DCF" w:rsidR="001E5099" w:rsidRPr="00C64064" w:rsidRDefault="002F4DF5" w:rsidP="00373927">
      <w:pPr>
        <w:spacing w:after="120" w:line="276" w:lineRule="auto"/>
        <w:rPr>
          <w:rFonts w:asciiTheme="majorHAnsi" w:hAnsiTheme="majorHAnsi" w:cstheme="majorHAnsi"/>
          <w:lang w:val="en-AU"/>
        </w:rPr>
      </w:pPr>
      <w:r w:rsidRPr="002F4DF5">
        <w:rPr>
          <w:b/>
          <w:bCs/>
          <w:color w:val="002060"/>
        </w:rPr>
        <w:lastRenderedPageBreak/>
        <w:t xml:space="preserve">Outreach </w:t>
      </w:r>
    </w:p>
    <w:p w14:paraId="70ABBEF7" w14:textId="36543070" w:rsidR="00A614A6" w:rsidRDefault="00A614A6" w:rsidP="001E5099">
      <w:pPr>
        <w:jc w:val="both"/>
        <w:rPr>
          <w:rFonts w:asciiTheme="majorHAnsi" w:hAnsiTheme="majorHAnsi" w:cstheme="majorBidi"/>
          <w:lang w:val="en-AU"/>
        </w:rPr>
      </w:pPr>
      <w:bookmarkStart w:id="26" w:name="_Hlk172905068"/>
      <w:r>
        <w:rPr>
          <w:rFonts w:cs="Arial"/>
          <w:b/>
          <w:bCs/>
          <w:noProof/>
          <w:color w:val="232A6A"/>
        </w:rPr>
        <mc:AlternateContent>
          <mc:Choice Requires="wpg">
            <w:drawing>
              <wp:inline distT="0" distB="0" distL="0" distR="0" wp14:anchorId="56D30BA2" wp14:editId="7972229C">
                <wp:extent cx="6046470" cy="896620"/>
                <wp:effectExtent l="0" t="0" r="0" b="0"/>
                <wp:docPr id="1793293557" name="Group 63" descr="PRISMA outreach trajectory"/>
                <wp:cNvGraphicFramePr/>
                <a:graphic xmlns:a="http://schemas.openxmlformats.org/drawingml/2006/main">
                  <a:graphicData uri="http://schemas.microsoft.com/office/word/2010/wordprocessingGroup">
                    <wpg:wgp>
                      <wpg:cNvGrpSpPr/>
                      <wpg:grpSpPr>
                        <a:xfrm>
                          <a:off x="0" y="0"/>
                          <a:ext cx="6046470" cy="896620"/>
                          <a:chOff x="0" y="0"/>
                          <a:chExt cx="6046470" cy="896620"/>
                        </a:xfrm>
                      </wpg:grpSpPr>
                      <wps:wsp>
                        <wps:cNvPr id="667762089" name="Straight Connector 2">
                          <a:extLst>
                            <a:ext uri="{C183D7F6-B498-43B3-948B-1728B52AA6E4}">
                              <adec:decorative xmlns:adec="http://schemas.microsoft.com/office/drawing/2017/decorative" val="1"/>
                            </a:ext>
                          </a:extLst>
                        </wps:cNvPr>
                        <wps:cNvCnPr/>
                        <wps:spPr>
                          <a:xfrm>
                            <a:off x="4724400" y="165100"/>
                            <a:ext cx="235585" cy="0"/>
                          </a:xfrm>
                          <a:prstGeom prst="line">
                            <a:avLst/>
                          </a:prstGeom>
                          <a:noFill/>
                          <a:ln w="9525" cap="rnd" cmpd="sng" algn="ctr">
                            <a:solidFill>
                              <a:srgbClr val="222A6A"/>
                            </a:solidFill>
                            <a:prstDash val="solid"/>
                            <a:tailEnd type="oval" w="sm" len="sm"/>
                          </a:ln>
                          <a:effectLst/>
                        </wps:spPr>
                        <wps:bodyPr/>
                      </wps:wsp>
                      <wps:wsp>
                        <wps:cNvPr id="1105267920" name="Rectangle 1">
                          <a:extLst>
                            <a:ext uri="{C183D7F6-B498-43B3-948B-1728B52AA6E4}">
                              <adec:decorative xmlns:adec="http://schemas.microsoft.com/office/drawing/2017/decorative" val="1"/>
                            </a:ext>
                          </a:extLst>
                        </wps:cNvPr>
                        <wps:cNvSpPr/>
                        <wps:spPr>
                          <a:xfrm>
                            <a:off x="95250" y="139700"/>
                            <a:ext cx="1110615" cy="45719"/>
                          </a:xfrm>
                          <a:prstGeom prst="rect">
                            <a:avLst/>
                          </a:prstGeom>
                          <a:solidFill>
                            <a:srgbClr val="2391A6"/>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9213002" name="Text Box 3"/>
                        <wps:cNvSpPr txBox="1"/>
                        <wps:spPr>
                          <a:xfrm>
                            <a:off x="4959350" y="0"/>
                            <a:ext cx="1087120" cy="680720"/>
                          </a:xfrm>
                          <a:prstGeom prst="rect">
                            <a:avLst/>
                          </a:prstGeom>
                          <a:noFill/>
                          <a:ln w="6350">
                            <a:noFill/>
                          </a:ln>
                        </wps:spPr>
                        <wps:txbx>
                          <w:txbxContent>
                            <w:p w14:paraId="07C9F675" w14:textId="77777777" w:rsidR="00A614A6" w:rsidRDefault="00A614A6" w:rsidP="00A614A6">
                              <w:pPr>
                                <w:spacing w:after="0"/>
                                <w:rPr>
                                  <w:sz w:val="15"/>
                                  <w:szCs w:val="15"/>
                                  <w:lang w:val="en-AU"/>
                                </w:rPr>
                              </w:pPr>
                              <w:r w:rsidRPr="00631E2E">
                                <w:rPr>
                                  <w:sz w:val="15"/>
                                  <w:szCs w:val="15"/>
                                  <w:lang w:val="en-AU"/>
                                </w:rPr>
                                <w:t>Projected cumulative end of 2</w:t>
                              </w:r>
                              <w:r w:rsidRPr="00631E2E">
                                <w:rPr>
                                  <w:sz w:val="15"/>
                                  <w:szCs w:val="15"/>
                                  <w:vertAlign w:val="superscript"/>
                                  <w:lang w:val="en-AU"/>
                                </w:rPr>
                                <w:t>nd</w:t>
                              </w:r>
                              <w:r w:rsidRPr="00631E2E">
                                <w:rPr>
                                  <w:sz w:val="15"/>
                                  <w:szCs w:val="15"/>
                                  <w:lang w:val="en-AU"/>
                                </w:rPr>
                                <w:t xml:space="preserve"> Phase (Semester 2, 2024)</w:t>
                              </w:r>
                            </w:p>
                            <w:p w14:paraId="6A008932" w14:textId="77777777" w:rsidR="00A614A6" w:rsidRPr="00631E2E" w:rsidRDefault="00A614A6" w:rsidP="00A614A6">
                              <w:pPr>
                                <w:spacing w:after="65"/>
                                <w:rPr>
                                  <w:b/>
                                  <w:bCs/>
                                  <w:color w:val="222A6A"/>
                                  <w:sz w:val="30"/>
                                  <w:szCs w:val="30"/>
                                  <w:lang w:val="en-AU"/>
                                </w:rPr>
                              </w:pPr>
                              <w:r w:rsidRPr="00631E2E">
                                <w:rPr>
                                  <w:b/>
                                  <w:bCs/>
                                  <w:color w:val="222A6A"/>
                                  <w:sz w:val="30"/>
                                  <w:szCs w:val="30"/>
                                  <w:lang w:val="en-AU"/>
                                </w:rPr>
                                <w:t>1,</w:t>
                              </w:r>
                              <w:r>
                                <w:rPr>
                                  <w:b/>
                                  <w:bCs/>
                                  <w:color w:val="222A6A"/>
                                  <w:sz w:val="30"/>
                                  <w:szCs w:val="30"/>
                                  <w:lang w:val="en-AU"/>
                                </w:rPr>
                                <w:t>487</w:t>
                              </w:r>
                              <w:r w:rsidRPr="00631E2E">
                                <w:rPr>
                                  <w:b/>
                                  <w:bCs/>
                                  <w:color w:val="222A6A"/>
                                  <w:sz w:val="30"/>
                                  <w:szCs w:val="30"/>
                                  <w:lang w:val="en-AU"/>
                                </w:rPr>
                                <w:t>,</w:t>
                              </w:r>
                              <w:r>
                                <w:rPr>
                                  <w:b/>
                                  <w:bCs/>
                                  <w:color w:val="222A6A"/>
                                  <w:sz w:val="30"/>
                                  <w:szCs w:val="30"/>
                                  <w:lang w:val="en-AU"/>
                                </w:rPr>
                                <w:t>364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4285942" name="Rectangle 1">
                          <a:extLst>
                            <a:ext uri="{C183D7F6-B498-43B3-948B-1728B52AA6E4}">
                              <adec:decorative xmlns:adec="http://schemas.microsoft.com/office/drawing/2017/decorative" val="1"/>
                            </a:ext>
                          </a:extLst>
                        </wps:cNvPr>
                        <wps:cNvSpPr/>
                        <wps:spPr>
                          <a:xfrm>
                            <a:off x="1206500" y="139700"/>
                            <a:ext cx="3614641" cy="45719"/>
                          </a:xfrm>
                          <a:prstGeom prst="rect">
                            <a:avLst/>
                          </a:prstGeom>
                          <a:solidFill>
                            <a:srgbClr val="F5732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876760" name="Text Box 3"/>
                        <wps:cNvSpPr txBox="1"/>
                        <wps:spPr>
                          <a:xfrm>
                            <a:off x="0" y="215900"/>
                            <a:ext cx="1056640" cy="680720"/>
                          </a:xfrm>
                          <a:prstGeom prst="rect">
                            <a:avLst/>
                          </a:prstGeom>
                          <a:noFill/>
                          <a:ln w="6350">
                            <a:noFill/>
                          </a:ln>
                        </wps:spPr>
                        <wps:txbx>
                          <w:txbxContent>
                            <w:p w14:paraId="4DA41A70" w14:textId="77777777" w:rsidR="00A614A6" w:rsidRDefault="00A614A6" w:rsidP="00A614A6">
                              <w:pPr>
                                <w:spacing w:after="0"/>
                                <w:rPr>
                                  <w:sz w:val="15"/>
                                  <w:szCs w:val="15"/>
                                  <w:lang w:val="en-AU"/>
                                </w:rPr>
                              </w:pPr>
                              <w:r>
                                <w:rPr>
                                  <w:sz w:val="15"/>
                                  <w:szCs w:val="15"/>
                                  <w:lang w:val="en-AU"/>
                                </w:rPr>
                                <w:t>Cumulative</w:t>
                              </w:r>
                              <w:r>
                                <w:rPr>
                                  <w:sz w:val="15"/>
                                  <w:szCs w:val="15"/>
                                  <w:lang w:val="en-AU"/>
                                </w:rPr>
                                <w:br/>
                                <w:t>1</w:t>
                              </w:r>
                              <w:r w:rsidRPr="00631E2E">
                                <w:rPr>
                                  <w:sz w:val="15"/>
                                  <w:szCs w:val="15"/>
                                  <w:vertAlign w:val="superscript"/>
                                  <w:lang w:val="en-AU"/>
                                </w:rPr>
                                <w:t>st</w:t>
                              </w:r>
                              <w:r>
                                <w:rPr>
                                  <w:sz w:val="15"/>
                                  <w:szCs w:val="15"/>
                                  <w:lang w:val="en-AU"/>
                                </w:rPr>
                                <w:t xml:space="preserve"> Phase</w:t>
                              </w:r>
                              <w:r w:rsidRPr="00631E2E">
                                <w:rPr>
                                  <w:sz w:val="15"/>
                                  <w:szCs w:val="15"/>
                                  <w:lang w:val="en-AU"/>
                                </w:rPr>
                                <w:t xml:space="preserve"> </w:t>
                              </w:r>
                            </w:p>
                            <w:p w14:paraId="2B972816" w14:textId="77777777" w:rsidR="00A614A6" w:rsidRPr="00631E2E" w:rsidRDefault="00A614A6" w:rsidP="00A614A6">
                              <w:pPr>
                                <w:spacing w:after="65"/>
                                <w:rPr>
                                  <w:b/>
                                  <w:bCs/>
                                  <w:color w:val="2391A6"/>
                                  <w:sz w:val="30"/>
                                  <w:szCs w:val="30"/>
                                  <w:lang w:val="en-AU"/>
                                </w:rPr>
                              </w:pPr>
                              <w:r w:rsidRPr="00631E2E">
                                <w:rPr>
                                  <w:b/>
                                  <w:bCs/>
                                  <w:color w:val="2391A6"/>
                                  <w:sz w:val="30"/>
                                  <w:szCs w:val="30"/>
                                  <w:lang w:val="en-AU"/>
                                </w:rPr>
                                <w:t>345,001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4842148" name="Text Box 3"/>
                        <wps:cNvSpPr txBox="1"/>
                        <wps:spPr>
                          <a:xfrm>
                            <a:off x="1111250" y="215900"/>
                            <a:ext cx="1468120" cy="680720"/>
                          </a:xfrm>
                          <a:prstGeom prst="rect">
                            <a:avLst/>
                          </a:prstGeom>
                          <a:noFill/>
                          <a:ln w="6350">
                            <a:noFill/>
                          </a:ln>
                        </wps:spPr>
                        <wps:txbx>
                          <w:txbxContent>
                            <w:p w14:paraId="7B1E4B54" w14:textId="77777777" w:rsidR="00A614A6" w:rsidRDefault="00A614A6" w:rsidP="00A614A6">
                              <w:pPr>
                                <w:spacing w:after="0"/>
                                <w:rPr>
                                  <w:sz w:val="15"/>
                                  <w:szCs w:val="15"/>
                                  <w:lang w:val="en-AU"/>
                                </w:rPr>
                              </w:pPr>
                              <w:r>
                                <w:rPr>
                                  <w:sz w:val="15"/>
                                  <w:szCs w:val="15"/>
                                  <w:lang w:val="en-AU"/>
                                </w:rPr>
                                <w:t>Actual cumulative 2</w:t>
                              </w:r>
                              <w:r w:rsidRPr="00631E2E">
                                <w:rPr>
                                  <w:sz w:val="15"/>
                                  <w:szCs w:val="15"/>
                                  <w:vertAlign w:val="superscript"/>
                                  <w:lang w:val="en-AU"/>
                                </w:rPr>
                                <w:t>nd</w:t>
                              </w:r>
                              <w:r>
                                <w:rPr>
                                  <w:sz w:val="15"/>
                                  <w:szCs w:val="15"/>
                                  <w:lang w:val="en-AU"/>
                                </w:rPr>
                                <w:t xml:space="preserve"> Phase</w:t>
                              </w:r>
                              <w:r w:rsidRPr="00631E2E">
                                <w:rPr>
                                  <w:sz w:val="15"/>
                                  <w:szCs w:val="15"/>
                                  <w:lang w:val="en-AU"/>
                                </w:rPr>
                                <w:t xml:space="preserve"> (Semester </w:t>
                              </w:r>
                              <w:r>
                                <w:rPr>
                                  <w:sz w:val="15"/>
                                  <w:szCs w:val="15"/>
                                  <w:lang w:val="en-AU"/>
                                </w:rPr>
                                <w:t>1</w:t>
                              </w:r>
                              <w:r w:rsidRPr="00631E2E">
                                <w:rPr>
                                  <w:sz w:val="15"/>
                                  <w:szCs w:val="15"/>
                                  <w:lang w:val="en-AU"/>
                                </w:rPr>
                                <w:t>, 202</w:t>
                              </w:r>
                              <w:r>
                                <w:rPr>
                                  <w:sz w:val="15"/>
                                  <w:szCs w:val="15"/>
                                  <w:lang w:val="en-AU"/>
                                </w:rPr>
                                <w:t>4</w:t>
                              </w:r>
                              <w:r w:rsidRPr="00631E2E">
                                <w:rPr>
                                  <w:sz w:val="15"/>
                                  <w:szCs w:val="15"/>
                                  <w:lang w:val="en-AU"/>
                                </w:rPr>
                                <w:t>)</w:t>
                              </w:r>
                            </w:p>
                            <w:p w14:paraId="543CDF28" w14:textId="77777777" w:rsidR="00A614A6" w:rsidRPr="007E07CF" w:rsidRDefault="00A614A6" w:rsidP="00A614A6">
                              <w:pPr>
                                <w:spacing w:after="65"/>
                                <w:rPr>
                                  <w:b/>
                                  <w:bCs/>
                                  <w:color w:val="8B0923" w:themeColor="accent5" w:themeShade="BF"/>
                                  <w:sz w:val="30"/>
                                  <w:szCs w:val="30"/>
                                  <w:lang w:val="en-AU"/>
                                </w:rPr>
                              </w:pPr>
                              <w:r w:rsidRPr="007E07CF">
                                <w:rPr>
                                  <w:b/>
                                  <w:bCs/>
                                  <w:color w:val="8B0923" w:themeColor="accent5" w:themeShade="BF"/>
                                  <w:sz w:val="30"/>
                                  <w:szCs w:val="30"/>
                                  <w:lang w:val="en-AU"/>
                                </w:rPr>
                                <w:t>1,4</w:t>
                              </w:r>
                              <w:r>
                                <w:rPr>
                                  <w:b/>
                                  <w:bCs/>
                                  <w:color w:val="8B0923" w:themeColor="accent5" w:themeShade="BF"/>
                                  <w:sz w:val="30"/>
                                  <w:szCs w:val="30"/>
                                  <w:lang w:val="en-AU"/>
                                </w:rPr>
                                <w:t>82</w:t>
                              </w:r>
                              <w:r w:rsidRPr="007E07CF">
                                <w:rPr>
                                  <w:b/>
                                  <w:bCs/>
                                  <w:color w:val="8B0923" w:themeColor="accent5" w:themeShade="BF"/>
                                  <w:sz w:val="30"/>
                                  <w:szCs w:val="30"/>
                                  <w:lang w:val="en-AU"/>
                                </w:rPr>
                                <w:t>,7</w:t>
                              </w:r>
                              <w:r>
                                <w:rPr>
                                  <w:b/>
                                  <w:bCs/>
                                  <w:color w:val="8B0923" w:themeColor="accent5" w:themeShade="BF"/>
                                  <w:sz w:val="30"/>
                                  <w:szCs w:val="30"/>
                                  <w:lang w:val="en-AU"/>
                                </w:rPr>
                                <w:t>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6D30BA2" id="Group 63" o:spid="_x0000_s1027" alt="PRISMA outreach trajectory" style="width:476.1pt;height:70.6pt;mso-position-horizontal-relative:char;mso-position-vertical-relative:line" coordsize="60464,8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">
                <v:line id="Straight Connector 2" o:spid="_x0000_s1028" alt="&quot;&quot;" style="position:absolute;visibility:visible;mso-wrap-style:square" from="47244,1651" to="49599,1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" strokecolor="#222a6a">
                  <v:stroke endarrow="oval" endarrowwidth="narrow" endarrowlength="short" endcap="round"/>
                </v:line>
                <v:rect id="Rectangle 1" o:spid="_x0000_s1029" alt="&quot;&quot;" style="position:absolute;left:952;top:1397;width:11106;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" fillcolor="#2391a6" stroked="f" strokeweight="2pt"/>
                <v:shape id="_x0000_s1030" type="#_x0000_t202" style="position:absolute;left:49593;width:10871;height:6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" filled="f" stroked="f" strokeweight=".5pt">
                  <v:textbox>
                    <w:txbxContent>
                      <w:p w14:paraId="07C9F675" w14:textId="77777777" w:rsidR="00A614A6" w:rsidRDefault="00A614A6" w:rsidP="00A614A6">
                        <w:pPr>
                          <w:spacing w:after="0"/>
                          <w:rPr>
                            <w:sz w:val="15"/>
                            <w:szCs w:val="15"/>
                            <w:lang w:val="en-AU"/>
                          </w:rPr>
                        </w:pPr>
                        <w:r w:rsidRPr="00631E2E">
                          <w:rPr>
                            <w:sz w:val="15"/>
                            <w:szCs w:val="15"/>
                            <w:lang w:val="en-AU"/>
                          </w:rPr>
                          <w:t>Projected cumulative end of 2</w:t>
                        </w:r>
                        <w:r w:rsidRPr="00631E2E">
                          <w:rPr>
                            <w:sz w:val="15"/>
                            <w:szCs w:val="15"/>
                            <w:vertAlign w:val="superscript"/>
                            <w:lang w:val="en-AU"/>
                          </w:rPr>
                          <w:t>nd</w:t>
                        </w:r>
                        <w:r w:rsidRPr="00631E2E">
                          <w:rPr>
                            <w:sz w:val="15"/>
                            <w:szCs w:val="15"/>
                            <w:lang w:val="en-AU"/>
                          </w:rPr>
                          <w:t xml:space="preserve"> Phase (Semester 2, 2024)</w:t>
                        </w:r>
                      </w:p>
                      <w:p w14:paraId="6A008932" w14:textId="77777777" w:rsidR="00A614A6" w:rsidRPr="00631E2E" w:rsidRDefault="00A614A6" w:rsidP="00A614A6">
                        <w:pPr>
                          <w:spacing w:after="65"/>
                          <w:rPr>
                            <w:b/>
                            <w:bCs/>
                            <w:color w:val="222A6A"/>
                            <w:sz w:val="30"/>
                            <w:szCs w:val="30"/>
                            <w:lang w:val="en-AU"/>
                          </w:rPr>
                        </w:pPr>
                        <w:r w:rsidRPr="00631E2E">
                          <w:rPr>
                            <w:b/>
                            <w:bCs/>
                            <w:color w:val="222A6A"/>
                            <w:sz w:val="30"/>
                            <w:szCs w:val="30"/>
                            <w:lang w:val="en-AU"/>
                          </w:rPr>
                          <w:t>1,</w:t>
                        </w:r>
                        <w:r>
                          <w:rPr>
                            <w:b/>
                            <w:bCs/>
                            <w:color w:val="222A6A"/>
                            <w:sz w:val="30"/>
                            <w:szCs w:val="30"/>
                            <w:lang w:val="en-AU"/>
                          </w:rPr>
                          <w:t>487</w:t>
                        </w:r>
                        <w:r w:rsidRPr="00631E2E">
                          <w:rPr>
                            <w:b/>
                            <w:bCs/>
                            <w:color w:val="222A6A"/>
                            <w:sz w:val="30"/>
                            <w:szCs w:val="30"/>
                            <w:lang w:val="en-AU"/>
                          </w:rPr>
                          <w:t>,</w:t>
                        </w:r>
                        <w:r>
                          <w:rPr>
                            <w:b/>
                            <w:bCs/>
                            <w:color w:val="222A6A"/>
                            <w:sz w:val="30"/>
                            <w:szCs w:val="30"/>
                            <w:lang w:val="en-AU"/>
                          </w:rPr>
                          <w:t>364</w:t>
                        </w:r>
                      </w:p>
                    </w:txbxContent>
                  </v:textbox>
                </v:shape>
                <v:rect id="Rectangle 1" o:spid="_x0000_s1031" alt="&quot;&quot;" style="position:absolute;left:12065;top:1397;width:36146;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" fillcolor="#f57321" stroked="f" strokeweight="2pt"/>
                <v:shape id="_x0000_s1032" type="#_x0000_t202" style="position:absolute;top:2159;width:10566;height:6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" filled="f" stroked="f" strokeweight=".5pt">
                  <v:textbox>
                    <w:txbxContent>
                      <w:p w14:paraId="4DA41A70" w14:textId="77777777" w:rsidR="00A614A6" w:rsidRDefault="00A614A6" w:rsidP="00A614A6">
                        <w:pPr>
                          <w:spacing w:after="0"/>
                          <w:rPr>
                            <w:sz w:val="15"/>
                            <w:szCs w:val="15"/>
                            <w:lang w:val="en-AU"/>
                          </w:rPr>
                        </w:pPr>
                        <w:r>
                          <w:rPr>
                            <w:sz w:val="15"/>
                            <w:szCs w:val="15"/>
                            <w:lang w:val="en-AU"/>
                          </w:rPr>
                          <w:t>Cumulative</w:t>
                        </w:r>
                        <w:r>
                          <w:rPr>
                            <w:sz w:val="15"/>
                            <w:szCs w:val="15"/>
                            <w:lang w:val="en-AU"/>
                          </w:rPr>
                          <w:br/>
                          <w:t>1</w:t>
                        </w:r>
                        <w:r w:rsidRPr="00631E2E">
                          <w:rPr>
                            <w:sz w:val="15"/>
                            <w:szCs w:val="15"/>
                            <w:vertAlign w:val="superscript"/>
                            <w:lang w:val="en-AU"/>
                          </w:rPr>
                          <w:t>st</w:t>
                        </w:r>
                        <w:r>
                          <w:rPr>
                            <w:sz w:val="15"/>
                            <w:szCs w:val="15"/>
                            <w:lang w:val="en-AU"/>
                          </w:rPr>
                          <w:t xml:space="preserve"> Phase</w:t>
                        </w:r>
                        <w:r w:rsidRPr="00631E2E">
                          <w:rPr>
                            <w:sz w:val="15"/>
                            <w:szCs w:val="15"/>
                            <w:lang w:val="en-AU"/>
                          </w:rPr>
                          <w:t xml:space="preserve"> </w:t>
                        </w:r>
                      </w:p>
                      <w:p w14:paraId="2B972816" w14:textId="77777777" w:rsidR="00A614A6" w:rsidRPr="00631E2E" w:rsidRDefault="00A614A6" w:rsidP="00A614A6">
                        <w:pPr>
                          <w:spacing w:after="65"/>
                          <w:rPr>
                            <w:b/>
                            <w:bCs/>
                            <w:color w:val="2391A6"/>
                            <w:sz w:val="30"/>
                            <w:szCs w:val="30"/>
                            <w:lang w:val="en-AU"/>
                          </w:rPr>
                        </w:pPr>
                        <w:r w:rsidRPr="00631E2E">
                          <w:rPr>
                            <w:b/>
                            <w:bCs/>
                            <w:color w:val="2391A6"/>
                            <w:sz w:val="30"/>
                            <w:szCs w:val="30"/>
                            <w:lang w:val="en-AU"/>
                          </w:rPr>
                          <w:t>345,001</w:t>
                        </w:r>
                      </w:p>
                    </w:txbxContent>
                  </v:textbox>
                </v:shape>
                <v:shape id="_x0000_s1033" type="#_x0000_t202" style="position:absolute;left:11112;top:2159;width:14681;height:6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" filled="f" stroked="f" strokeweight=".5pt">
                  <v:textbox>
                    <w:txbxContent>
                      <w:p w14:paraId="7B1E4B54" w14:textId="77777777" w:rsidR="00A614A6" w:rsidRDefault="00A614A6" w:rsidP="00A614A6">
                        <w:pPr>
                          <w:spacing w:after="0"/>
                          <w:rPr>
                            <w:sz w:val="15"/>
                            <w:szCs w:val="15"/>
                            <w:lang w:val="en-AU"/>
                          </w:rPr>
                        </w:pPr>
                        <w:r>
                          <w:rPr>
                            <w:sz w:val="15"/>
                            <w:szCs w:val="15"/>
                            <w:lang w:val="en-AU"/>
                          </w:rPr>
                          <w:t>Actual cumulative 2</w:t>
                        </w:r>
                        <w:r w:rsidRPr="00631E2E">
                          <w:rPr>
                            <w:sz w:val="15"/>
                            <w:szCs w:val="15"/>
                            <w:vertAlign w:val="superscript"/>
                            <w:lang w:val="en-AU"/>
                          </w:rPr>
                          <w:t>nd</w:t>
                        </w:r>
                        <w:r>
                          <w:rPr>
                            <w:sz w:val="15"/>
                            <w:szCs w:val="15"/>
                            <w:lang w:val="en-AU"/>
                          </w:rPr>
                          <w:t xml:space="preserve"> Phase</w:t>
                        </w:r>
                        <w:r w:rsidRPr="00631E2E">
                          <w:rPr>
                            <w:sz w:val="15"/>
                            <w:szCs w:val="15"/>
                            <w:lang w:val="en-AU"/>
                          </w:rPr>
                          <w:t xml:space="preserve"> (Semester </w:t>
                        </w:r>
                        <w:r>
                          <w:rPr>
                            <w:sz w:val="15"/>
                            <w:szCs w:val="15"/>
                            <w:lang w:val="en-AU"/>
                          </w:rPr>
                          <w:t>1</w:t>
                        </w:r>
                        <w:r w:rsidRPr="00631E2E">
                          <w:rPr>
                            <w:sz w:val="15"/>
                            <w:szCs w:val="15"/>
                            <w:lang w:val="en-AU"/>
                          </w:rPr>
                          <w:t>, 202</w:t>
                        </w:r>
                        <w:r>
                          <w:rPr>
                            <w:sz w:val="15"/>
                            <w:szCs w:val="15"/>
                            <w:lang w:val="en-AU"/>
                          </w:rPr>
                          <w:t>4</w:t>
                        </w:r>
                        <w:r w:rsidRPr="00631E2E">
                          <w:rPr>
                            <w:sz w:val="15"/>
                            <w:szCs w:val="15"/>
                            <w:lang w:val="en-AU"/>
                          </w:rPr>
                          <w:t>)</w:t>
                        </w:r>
                      </w:p>
                      <w:p w14:paraId="543CDF28" w14:textId="77777777" w:rsidR="00A614A6" w:rsidRPr="007E07CF" w:rsidRDefault="00A614A6" w:rsidP="00A614A6">
                        <w:pPr>
                          <w:spacing w:after="65"/>
                          <w:rPr>
                            <w:b/>
                            <w:bCs/>
                            <w:color w:val="8B0923" w:themeColor="accent5" w:themeShade="BF"/>
                            <w:sz w:val="30"/>
                            <w:szCs w:val="30"/>
                            <w:lang w:val="en-AU"/>
                          </w:rPr>
                        </w:pPr>
                        <w:r w:rsidRPr="007E07CF">
                          <w:rPr>
                            <w:b/>
                            <w:bCs/>
                            <w:color w:val="8B0923" w:themeColor="accent5" w:themeShade="BF"/>
                            <w:sz w:val="30"/>
                            <w:szCs w:val="30"/>
                            <w:lang w:val="en-AU"/>
                          </w:rPr>
                          <w:t>1,4</w:t>
                        </w:r>
                        <w:r>
                          <w:rPr>
                            <w:b/>
                            <w:bCs/>
                            <w:color w:val="8B0923" w:themeColor="accent5" w:themeShade="BF"/>
                            <w:sz w:val="30"/>
                            <w:szCs w:val="30"/>
                            <w:lang w:val="en-AU"/>
                          </w:rPr>
                          <w:t>82</w:t>
                        </w:r>
                        <w:r w:rsidRPr="007E07CF">
                          <w:rPr>
                            <w:b/>
                            <w:bCs/>
                            <w:color w:val="8B0923" w:themeColor="accent5" w:themeShade="BF"/>
                            <w:sz w:val="30"/>
                            <w:szCs w:val="30"/>
                            <w:lang w:val="en-AU"/>
                          </w:rPr>
                          <w:t>,7</w:t>
                        </w:r>
                        <w:r>
                          <w:rPr>
                            <w:b/>
                            <w:bCs/>
                            <w:color w:val="8B0923" w:themeColor="accent5" w:themeShade="BF"/>
                            <w:sz w:val="30"/>
                            <w:szCs w:val="30"/>
                            <w:lang w:val="en-AU"/>
                          </w:rPr>
                          <w:t>78</w:t>
                        </w:r>
                      </w:p>
                    </w:txbxContent>
                  </v:textbox>
                </v:shape>
                <w10:anchorlock/>
              </v:group>
            </w:pict>
          </mc:Fallback>
        </mc:AlternateContent>
      </w:r>
    </w:p>
    <w:p w14:paraId="67F514B6" w14:textId="6422BA63" w:rsidR="001E5099" w:rsidRPr="00C64064" w:rsidRDefault="000971E6" w:rsidP="50B3A700">
      <w:pPr>
        <w:jc w:val="both"/>
        <w:rPr>
          <w:rFonts w:asciiTheme="majorHAnsi" w:hAnsiTheme="majorHAnsi" w:cstheme="majorBidi"/>
          <w:lang w:val="en-AU"/>
        </w:rPr>
      </w:pPr>
      <w:r w:rsidRPr="00C64064">
        <w:rPr>
          <w:rFonts w:asciiTheme="majorHAnsi" w:hAnsiTheme="majorHAnsi" w:cstheme="majorHAnsi"/>
          <w:noProof/>
        </w:rPr>
        <w:drawing>
          <wp:inline distT="0" distB="0" distL="0" distR="0" wp14:anchorId="235544A7" wp14:editId="02469300">
            <wp:extent cx="6120130" cy="2800983"/>
            <wp:effectExtent l="0" t="0" r="13970" b="6350"/>
            <wp:docPr id="1850553179" name="Chart 1" descr="PRISMA Incremental Outreach&#10;">
              <a:extLst xmlns:a="http://schemas.openxmlformats.org/drawingml/2006/main">
                <a:ext uri="{FF2B5EF4-FFF2-40B4-BE49-F238E27FC236}">
                  <a16:creationId xmlns:a16="http://schemas.microsoft.com/office/drawing/2014/main" id="{0AB25BEF-37F6-66B3-8451-02922397DF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bookmarkEnd w:id="26"/>
    <w:p w14:paraId="4028726B" w14:textId="29EBE779" w:rsidR="001E5099" w:rsidRPr="00C64064" w:rsidRDefault="001E5099" w:rsidP="50B3A700">
      <w:pPr>
        <w:jc w:val="both"/>
        <w:rPr>
          <w:rStyle w:val="cf01"/>
          <w:rFonts w:asciiTheme="majorHAnsi" w:hAnsiTheme="majorHAnsi" w:cstheme="majorBidi"/>
          <w:i/>
          <w:iCs/>
          <w:sz w:val="22"/>
          <w:szCs w:val="22"/>
        </w:rPr>
      </w:pPr>
      <w:r w:rsidRPr="50B3A700">
        <w:rPr>
          <w:rStyle w:val="cf01"/>
          <w:rFonts w:asciiTheme="majorHAnsi" w:hAnsiTheme="majorHAnsi" w:cstheme="majorBidi"/>
          <w:i/>
          <w:iCs/>
          <w:sz w:val="22"/>
          <w:szCs w:val="22"/>
        </w:rPr>
        <w:t xml:space="preserve">Note </w:t>
      </w:r>
      <w:r w:rsidR="004B6469" w:rsidRPr="50B3A700">
        <w:rPr>
          <w:rStyle w:val="cf01"/>
          <w:rFonts w:asciiTheme="majorHAnsi" w:hAnsiTheme="majorHAnsi" w:cstheme="majorBidi"/>
          <w:i/>
          <w:iCs/>
          <w:sz w:val="22"/>
          <w:szCs w:val="22"/>
        </w:rPr>
        <w:t>that i</w:t>
      </w:r>
      <w:r w:rsidRPr="50B3A700">
        <w:rPr>
          <w:rStyle w:val="cf01"/>
          <w:rFonts w:asciiTheme="majorHAnsi" w:hAnsiTheme="majorHAnsi" w:cstheme="majorBidi"/>
          <w:i/>
          <w:iCs/>
          <w:sz w:val="22"/>
          <w:szCs w:val="22"/>
        </w:rPr>
        <w:t>n the updated figure for the end</w:t>
      </w:r>
      <w:r w:rsidR="00012D28" w:rsidRPr="50B3A700">
        <w:rPr>
          <w:rStyle w:val="cf01"/>
          <w:rFonts w:asciiTheme="majorHAnsi" w:hAnsiTheme="majorHAnsi" w:cstheme="majorBidi"/>
          <w:i/>
          <w:iCs/>
          <w:sz w:val="22"/>
          <w:szCs w:val="22"/>
        </w:rPr>
        <w:t>-</w:t>
      </w:r>
      <w:r w:rsidRPr="50B3A700">
        <w:rPr>
          <w:rStyle w:val="cf01"/>
          <w:rFonts w:asciiTheme="majorHAnsi" w:hAnsiTheme="majorHAnsi" w:cstheme="majorBidi"/>
          <w:i/>
          <w:iCs/>
          <w:sz w:val="22"/>
          <w:szCs w:val="22"/>
        </w:rPr>
        <w:t>of</w:t>
      </w:r>
      <w:r w:rsidR="00012D28" w:rsidRPr="50B3A700">
        <w:rPr>
          <w:rStyle w:val="cf01"/>
          <w:rFonts w:asciiTheme="majorHAnsi" w:hAnsiTheme="majorHAnsi" w:cstheme="majorBidi"/>
          <w:i/>
          <w:iCs/>
          <w:sz w:val="22"/>
          <w:szCs w:val="22"/>
        </w:rPr>
        <w:t>-</w:t>
      </w:r>
      <w:r w:rsidRPr="50B3A700">
        <w:rPr>
          <w:rStyle w:val="cf01"/>
          <w:rFonts w:asciiTheme="majorHAnsi" w:hAnsiTheme="majorHAnsi" w:cstheme="majorBidi"/>
          <w:i/>
          <w:iCs/>
          <w:sz w:val="22"/>
          <w:szCs w:val="22"/>
        </w:rPr>
        <w:t>program outreach</w:t>
      </w:r>
      <w:r w:rsidR="00DD49BB" w:rsidRPr="50B3A700">
        <w:rPr>
          <w:rStyle w:val="cf01"/>
          <w:rFonts w:asciiTheme="majorHAnsi" w:hAnsiTheme="majorHAnsi" w:cstheme="majorBidi"/>
          <w:i/>
          <w:iCs/>
          <w:sz w:val="22"/>
          <w:szCs w:val="22"/>
        </w:rPr>
        <w:t>, t</w:t>
      </w:r>
      <w:r w:rsidRPr="50B3A700">
        <w:rPr>
          <w:rStyle w:val="cf01"/>
          <w:rFonts w:asciiTheme="majorHAnsi" w:hAnsiTheme="majorHAnsi" w:cstheme="majorBidi"/>
          <w:i/>
          <w:iCs/>
          <w:sz w:val="22"/>
          <w:szCs w:val="22"/>
        </w:rPr>
        <w:t>he projected end</w:t>
      </w:r>
      <w:r w:rsidR="00012D28" w:rsidRPr="50B3A700">
        <w:rPr>
          <w:rStyle w:val="cf01"/>
          <w:rFonts w:asciiTheme="majorHAnsi" w:hAnsiTheme="majorHAnsi" w:cstheme="majorBidi"/>
          <w:i/>
          <w:iCs/>
          <w:sz w:val="22"/>
          <w:szCs w:val="22"/>
        </w:rPr>
        <w:t>-</w:t>
      </w:r>
      <w:r w:rsidRPr="50B3A700">
        <w:rPr>
          <w:rStyle w:val="cf01"/>
          <w:rFonts w:asciiTheme="majorHAnsi" w:hAnsiTheme="majorHAnsi" w:cstheme="majorBidi"/>
          <w:i/>
          <w:iCs/>
          <w:sz w:val="22"/>
          <w:szCs w:val="22"/>
        </w:rPr>
        <w:t>of</w:t>
      </w:r>
      <w:r w:rsidR="00012D28" w:rsidRPr="50B3A700">
        <w:rPr>
          <w:rStyle w:val="cf01"/>
          <w:rFonts w:asciiTheme="majorHAnsi" w:hAnsiTheme="majorHAnsi" w:cstheme="majorBidi"/>
          <w:i/>
          <w:iCs/>
          <w:sz w:val="22"/>
          <w:szCs w:val="22"/>
        </w:rPr>
        <w:t>-</w:t>
      </w:r>
      <w:r w:rsidRPr="50B3A700">
        <w:rPr>
          <w:rStyle w:val="cf01"/>
          <w:rFonts w:asciiTheme="majorHAnsi" w:hAnsiTheme="majorHAnsi" w:cstheme="majorBidi"/>
          <w:i/>
          <w:iCs/>
          <w:sz w:val="22"/>
          <w:szCs w:val="22"/>
        </w:rPr>
        <w:t>program outreach is 1,487,634 farming households, down from 1,582,147 the previous semester</w:t>
      </w:r>
      <w:r w:rsidR="004B6469" w:rsidRPr="50B3A700">
        <w:rPr>
          <w:rStyle w:val="cf01"/>
          <w:rFonts w:asciiTheme="majorHAnsi" w:hAnsiTheme="majorHAnsi" w:cstheme="majorBidi"/>
          <w:i/>
          <w:iCs/>
          <w:sz w:val="22"/>
          <w:szCs w:val="22"/>
        </w:rPr>
        <w:t>.</w:t>
      </w:r>
      <w:r w:rsidRPr="50B3A700">
        <w:rPr>
          <w:rStyle w:val="cf01"/>
          <w:rFonts w:asciiTheme="majorHAnsi" w:hAnsiTheme="majorHAnsi" w:cstheme="majorBidi"/>
          <w:i/>
          <w:iCs/>
          <w:sz w:val="22"/>
          <w:szCs w:val="22"/>
        </w:rPr>
        <w:t xml:space="preserve"> There are </w:t>
      </w:r>
      <w:r w:rsidR="00DD49BB" w:rsidRPr="50B3A700">
        <w:rPr>
          <w:rStyle w:val="cf01"/>
          <w:rFonts w:asciiTheme="majorHAnsi" w:hAnsiTheme="majorHAnsi" w:cstheme="majorBidi"/>
          <w:i/>
          <w:iCs/>
          <w:sz w:val="22"/>
          <w:szCs w:val="22"/>
        </w:rPr>
        <w:t>2</w:t>
      </w:r>
      <w:r w:rsidRPr="50B3A700">
        <w:rPr>
          <w:rStyle w:val="cf01"/>
          <w:rFonts w:asciiTheme="majorHAnsi" w:hAnsiTheme="majorHAnsi" w:cstheme="majorBidi"/>
          <w:i/>
          <w:iCs/>
          <w:sz w:val="22"/>
          <w:szCs w:val="22"/>
        </w:rPr>
        <w:t xml:space="preserve"> major contributing factors for this reduction: (i) High level of overlaps: during semester Y23S2, outreach overlap was 51%</w:t>
      </w:r>
      <w:r w:rsidR="004B6469" w:rsidRPr="50B3A700">
        <w:rPr>
          <w:rStyle w:val="cf01"/>
          <w:rFonts w:asciiTheme="majorHAnsi" w:hAnsiTheme="majorHAnsi" w:cstheme="majorBidi"/>
          <w:i/>
          <w:iCs/>
          <w:sz w:val="22"/>
          <w:szCs w:val="22"/>
        </w:rPr>
        <w:t>,</w:t>
      </w:r>
      <w:r w:rsidRPr="50B3A700">
        <w:rPr>
          <w:rStyle w:val="cf01"/>
          <w:rFonts w:asciiTheme="majorHAnsi" w:hAnsiTheme="majorHAnsi" w:cstheme="majorBidi"/>
          <w:i/>
          <w:iCs/>
          <w:sz w:val="22"/>
          <w:szCs w:val="22"/>
        </w:rPr>
        <w:t xml:space="preserve"> and during semester Y24S1, the overlap shot up to </w:t>
      </w:r>
      <w:r w:rsidR="00396584" w:rsidRPr="50B3A700">
        <w:rPr>
          <w:rStyle w:val="cf01"/>
          <w:rFonts w:asciiTheme="majorHAnsi" w:hAnsiTheme="majorHAnsi" w:cstheme="majorBidi"/>
          <w:i/>
          <w:iCs/>
          <w:sz w:val="22"/>
          <w:szCs w:val="22"/>
        </w:rPr>
        <w:t>61.1</w:t>
      </w:r>
      <w:r w:rsidRPr="50B3A700">
        <w:rPr>
          <w:rStyle w:val="cf01"/>
          <w:rFonts w:asciiTheme="majorHAnsi" w:hAnsiTheme="majorHAnsi" w:cstheme="majorBidi"/>
          <w:i/>
          <w:iCs/>
          <w:sz w:val="22"/>
          <w:szCs w:val="22"/>
        </w:rPr>
        <w:t>%, and (ii) As partnerships ended with the private sector, conduct</w:t>
      </w:r>
      <w:r w:rsidR="00DD49BB" w:rsidRPr="50B3A700">
        <w:rPr>
          <w:rStyle w:val="cf01"/>
          <w:rFonts w:asciiTheme="majorHAnsi" w:hAnsiTheme="majorHAnsi" w:cstheme="majorBidi"/>
          <w:i/>
          <w:iCs/>
          <w:sz w:val="22"/>
          <w:szCs w:val="22"/>
        </w:rPr>
        <w:t>ing</w:t>
      </w:r>
      <w:r w:rsidRPr="50B3A700">
        <w:rPr>
          <w:rStyle w:val="cf01"/>
          <w:rFonts w:asciiTheme="majorHAnsi" w:hAnsiTheme="majorHAnsi" w:cstheme="majorBidi"/>
          <w:i/>
          <w:iCs/>
          <w:sz w:val="22"/>
          <w:szCs w:val="22"/>
        </w:rPr>
        <w:t xml:space="preserve"> impact assessments, which are dependent on partners’ confidential data like sales information</w:t>
      </w:r>
      <w:r w:rsidR="00DD49BB" w:rsidRPr="50B3A700">
        <w:rPr>
          <w:rStyle w:val="cf01"/>
          <w:rFonts w:asciiTheme="majorHAnsi" w:hAnsiTheme="majorHAnsi" w:cstheme="majorBidi"/>
          <w:i/>
          <w:iCs/>
          <w:sz w:val="22"/>
          <w:szCs w:val="22"/>
        </w:rPr>
        <w:t xml:space="preserve"> are increasingly difficult</w:t>
      </w:r>
      <w:r w:rsidRPr="50B3A700">
        <w:rPr>
          <w:rStyle w:val="cf01"/>
          <w:rFonts w:asciiTheme="majorHAnsi" w:hAnsiTheme="majorHAnsi" w:cstheme="majorBidi"/>
          <w:i/>
          <w:iCs/>
          <w:sz w:val="22"/>
          <w:szCs w:val="22"/>
        </w:rPr>
        <w:t xml:space="preserve">. </w:t>
      </w:r>
    </w:p>
    <w:p w14:paraId="6ABA46B7" w14:textId="3BE69E2C" w:rsidR="001E5099" w:rsidRPr="00C64064" w:rsidRDefault="001E5099" w:rsidP="001E5099">
      <w:pPr>
        <w:jc w:val="both"/>
        <w:rPr>
          <w:rFonts w:asciiTheme="majorHAnsi" w:hAnsiTheme="majorHAnsi" w:cstheme="majorHAnsi"/>
          <w:lang w:val="en-AU"/>
        </w:rPr>
      </w:pPr>
      <w:r w:rsidRPr="00C64064">
        <w:rPr>
          <w:rFonts w:asciiTheme="majorHAnsi" w:hAnsiTheme="majorHAnsi" w:cstheme="majorHAnsi"/>
          <w:lang w:val="en-AU"/>
        </w:rPr>
        <w:t xml:space="preserve">In this reporting period, PRISMA's interventions reached an additional </w:t>
      </w:r>
      <w:r w:rsidR="00812026">
        <w:rPr>
          <w:rFonts w:asciiTheme="majorHAnsi" w:hAnsiTheme="majorHAnsi" w:cstheme="majorHAnsi"/>
          <w:lang w:val="en-AU"/>
        </w:rPr>
        <w:t>26,993</w:t>
      </w:r>
      <w:r w:rsidRPr="00C64064">
        <w:rPr>
          <w:rFonts w:asciiTheme="majorHAnsi" w:hAnsiTheme="majorHAnsi" w:cstheme="majorHAnsi"/>
          <w:lang w:val="en-AU"/>
        </w:rPr>
        <w:t xml:space="preserve"> smallholder farming households. Over </w:t>
      </w:r>
      <w:r w:rsidR="00D5530C">
        <w:rPr>
          <w:rFonts w:asciiTheme="majorHAnsi" w:hAnsiTheme="majorHAnsi" w:cstheme="majorHAnsi"/>
          <w:lang w:val="en-AU"/>
        </w:rPr>
        <w:t>66</w:t>
      </w:r>
      <w:r w:rsidR="00FD2D94">
        <w:rPr>
          <w:rFonts w:asciiTheme="majorHAnsi" w:hAnsiTheme="majorHAnsi" w:cstheme="majorHAnsi"/>
          <w:lang w:val="en-AU"/>
        </w:rPr>
        <w:t>.4</w:t>
      </w:r>
      <w:r w:rsidR="002839D0" w:rsidRPr="00C64064">
        <w:rPr>
          <w:rFonts w:asciiTheme="majorHAnsi" w:hAnsiTheme="majorHAnsi" w:cstheme="majorHAnsi"/>
          <w:lang w:val="en-AU"/>
        </w:rPr>
        <w:t>%</w:t>
      </w:r>
      <w:r w:rsidRPr="00C64064">
        <w:rPr>
          <w:rFonts w:asciiTheme="majorHAnsi" w:hAnsiTheme="majorHAnsi" w:cstheme="majorHAnsi"/>
          <w:lang w:val="en-AU"/>
        </w:rPr>
        <w:t xml:space="preserve"> of these households are living below the USD5.50 </w:t>
      </w:r>
      <w:r w:rsidR="00DD49BB" w:rsidRPr="00C64064">
        <w:rPr>
          <w:rFonts w:asciiTheme="majorHAnsi" w:hAnsiTheme="majorHAnsi" w:cstheme="majorHAnsi"/>
          <w:lang w:val="en-AU"/>
        </w:rPr>
        <w:t>purchasing power parity</w:t>
      </w:r>
      <w:r w:rsidRPr="00C64064">
        <w:rPr>
          <w:rFonts w:asciiTheme="majorHAnsi" w:hAnsiTheme="majorHAnsi" w:cstheme="majorHAnsi"/>
          <w:lang w:val="en-AU"/>
        </w:rPr>
        <w:t xml:space="preserve"> poverty line, and more than </w:t>
      </w:r>
      <w:r w:rsidR="00FD2D94">
        <w:rPr>
          <w:rFonts w:asciiTheme="majorHAnsi" w:hAnsiTheme="majorHAnsi" w:cstheme="majorHAnsi"/>
          <w:lang w:val="en-AU"/>
        </w:rPr>
        <w:t>39.9%</w:t>
      </w:r>
      <w:r w:rsidRPr="00C64064">
        <w:rPr>
          <w:rFonts w:asciiTheme="majorHAnsi" w:hAnsiTheme="majorHAnsi" w:cstheme="majorHAnsi"/>
          <w:lang w:val="en-AU"/>
        </w:rPr>
        <w:t xml:space="preserve"> live under the USD2.50 </w:t>
      </w:r>
      <w:r w:rsidR="00107155" w:rsidRPr="00C64064">
        <w:rPr>
          <w:rFonts w:asciiTheme="majorHAnsi" w:hAnsiTheme="majorHAnsi" w:cstheme="majorHAnsi"/>
          <w:lang w:val="en-AU"/>
        </w:rPr>
        <w:t>purchasing power parity</w:t>
      </w:r>
      <w:r w:rsidRPr="00C64064">
        <w:rPr>
          <w:rFonts w:asciiTheme="majorHAnsi" w:hAnsiTheme="majorHAnsi" w:cstheme="majorHAnsi"/>
          <w:lang w:val="en-AU"/>
        </w:rPr>
        <w:t xml:space="preserve"> poverty line.</w:t>
      </w:r>
    </w:p>
    <w:p w14:paraId="0737BE24" w14:textId="194EDA39" w:rsidR="001E5099" w:rsidRPr="00C64064" w:rsidRDefault="001E5099" w:rsidP="50B3A700">
      <w:pPr>
        <w:jc w:val="both"/>
        <w:rPr>
          <w:rFonts w:asciiTheme="majorHAnsi" w:hAnsiTheme="majorHAnsi" w:cstheme="majorBidi"/>
          <w:lang w:val="en-AU"/>
        </w:rPr>
      </w:pPr>
      <w:r w:rsidRPr="50B3A700">
        <w:rPr>
          <w:rFonts w:asciiTheme="majorHAnsi" w:hAnsiTheme="majorHAnsi" w:cstheme="majorBidi"/>
          <w:lang w:val="en-AU"/>
        </w:rPr>
        <w:t xml:space="preserve">The increase in outreach this semester is largely attributed to PRISMA's interventions in the mechanisation and beef sectors, which account for 6,699 and 6,089 households, respectively. The remaining households impacted by PRISMA's interventions </w:t>
      </w:r>
      <w:r w:rsidR="00DD49BB" w:rsidRPr="50B3A700">
        <w:rPr>
          <w:rFonts w:asciiTheme="majorHAnsi" w:hAnsiTheme="majorHAnsi" w:cstheme="majorBidi"/>
          <w:lang w:val="en-AU"/>
        </w:rPr>
        <w:t>have been</w:t>
      </w:r>
      <w:r w:rsidRPr="50B3A700">
        <w:rPr>
          <w:rFonts w:asciiTheme="majorHAnsi" w:hAnsiTheme="majorHAnsi" w:cstheme="majorBidi"/>
          <w:lang w:val="en-AU"/>
        </w:rPr>
        <w:t xml:space="preserve"> in 6 active sectors (mungbean</w:t>
      </w:r>
      <w:r w:rsidRPr="00450972">
        <w:rPr>
          <w:rFonts w:asciiTheme="majorHAnsi" w:hAnsiTheme="majorHAnsi" w:cstheme="majorBidi"/>
          <w:lang w:val="en-AU"/>
        </w:rPr>
        <w:t>, soil treatment, dairy, vegetable, rice, and pig</w:t>
      </w:r>
      <w:r w:rsidR="00724B64" w:rsidRPr="50B3A700">
        <w:rPr>
          <w:rFonts w:asciiTheme="majorHAnsi" w:hAnsiTheme="majorHAnsi" w:cstheme="majorBidi"/>
          <w:lang w:val="en-AU"/>
        </w:rPr>
        <w:t>)</w:t>
      </w:r>
      <w:r w:rsidRPr="50B3A700">
        <w:rPr>
          <w:rFonts w:asciiTheme="majorHAnsi" w:hAnsiTheme="majorHAnsi" w:cstheme="majorBidi"/>
          <w:lang w:val="en-AU"/>
        </w:rPr>
        <w:t xml:space="preserve">. </w:t>
      </w:r>
    </w:p>
    <w:p w14:paraId="00860E86" w14:textId="1DC75137" w:rsidR="001E5099" w:rsidRPr="00C64064" w:rsidRDefault="6D349003" w:rsidP="5583D54B">
      <w:pPr>
        <w:jc w:val="both"/>
        <w:rPr>
          <w:rFonts w:asciiTheme="majorHAnsi" w:hAnsiTheme="majorHAnsi" w:cstheme="majorBidi"/>
          <w:lang w:val="en-AU"/>
        </w:rPr>
      </w:pPr>
      <w:r w:rsidRPr="5583D54B">
        <w:rPr>
          <w:rFonts w:asciiTheme="majorHAnsi" w:hAnsiTheme="majorHAnsi" w:cstheme="majorBidi"/>
          <w:lang w:val="en-AU"/>
        </w:rPr>
        <w:t xml:space="preserve">To attribute the results in this semester, PRISMA conducted 7 impact assessments and </w:t>
      </w:r>
      <w:r w:rsidR="30E5EA6C" w:rsidRPr="5583D54B">
        <w:rPr>
          <w:rFonts w:asciiTheme="majorHAnsi" w:hAnsiTheme="majorHAnsi" w:cstheme="majorBidi"/>
          <w:lang w:val="en-AU"/>
        </w:rPr>
        <w:t>1</w:t>
      </w:r>
      <w:r w:rsidR="5F74D731" w:rsidRPr="5583D54B">
        <w:rPr>
          <w:rFonts w:asciiTheme="majorHAnsi" w:hAnsiTheme="majorHAnsi" w:cstheme="majorBidi"/>
          <w:lang w:val="en-AU"/>
        </w:rPr>
        <w:t>2</w:t>
      </w:r>
      <w:r w:rsidR="30E5EA6C" w:rsidRPr="5583D54B">
        <w:rPr>
          <w:rFonts w:asciiTheme="majorHAnsi" w:hAnsiTheme="majorHAnsi" w:cstheme="majorBidi"/>
          <w:lang w:val="en-AU"/>
        </w:rPr>
        <w:t xml:space="preserve"> </w:t>
      </w:r>
      <w:r w:rsidRPr="5583D54B">
        <w:rPr>
          <w:rFonts w:asciiTheme="majorHAnsi" w:hAnsiTheme="majorHAnsi" w:cstheme="majorBidi"/>
          <w:lang w:val="en-AU"/>
        </w:rPr>
        <w:t>extrapolations.</w:t>
      </w:r>
      <w:r w:rsidRPr="5583D54B">
        <w:rPr>
          <w:rFonts w:asciiTheme="majorHAnsi" w:hAnsiTheme="majorHAnsi" w:cstheme="majorBidi"/>
        </w:rPr>
        <w:t xml:space="preserve"> </w:t>
      </w:r>
      <w:r w:rsidRPr="5583D54B">
        <w:rPr>
          <w:rFonts w:asciiTheme="majorHAnsi" w:hAnsiTheme="majorHAnsi" w:cstheme="majorBidi"/>
          <w:lang w:val="en-AU"/>
        </w:rPr>
        <w:t xml:space="preserve">The number of beneficiaries decreased compared to last semester due to a staggering </w:t>
      </w:r>
      <w:r w:rsidR="192DFFD1" w:rsidRPr="5583D54B">
        <w:rPr>
          <w:rFonts w:asciiTheme="majorHAnsi" w:hAnsiTheme="majorHAnsi" w:cstheme="majorBidi"/>
          <w:lang w:val="en-AU"/>
        </w:rPr>
        <w:t>61.1%</w:t>
      </w:r>
      <w:r w:rsidRPr="5583D54B">
        <w:rPr>
          <w:rFonts w:asciiTheme="majorHAnsi" w:hAnsiTheme="majorHAnsi" w:cstheme="majorBidi"/>
          <w:lang w:val="en-AU"/>
        </w:rPr>
        <w:t xml:space="preserve"> overlap</w:t>
      </w:r>
      <w:r w:rsidR="001E5099" w:rsidRPr="5583D54B">
        <w:rPr>
          <w:rStyle w:val="FootnoteReference"/>
          <w:rFonts w:asciiTheme="majorHAnsi" w:hAnsiTheme="majorHAnsi" w:cstheme="majorBidi"/>
          <w:lang w:val="en-AU"/>
        </w:rPr>
        <w:footnoteReference w:id="2"/>
      </w:r>
      <w:r w:rsidRPr="5583D54B">
        <w:rPr>
          <w:rFonts w:asciiTheme="majorHAnsi" w:hAnsiTheme="majorHAnsi" w:cstheme="majorBidi"/>
          <w:lang w:val="en-AU"/>
        </w:rPr>
        <w:t xml:space="preserve"> in beneficiaries this semester, indicating </w:t>
      </w:r>
      <w:r w:rsidR="353B763C" w:rsidRPr="5583D54B">
        <w:rPr>
          <w:rFonts w:asciiTheme="majorHAnsi" w:hAnsiTheme="majorHAnsi" w:cstheme="majorBidi"/>
          <w:lang w:val="en-AU"/>
        </w:rPr>
        <w:t>that</w:t>
      </w:r>
      <w:r w:rsidRPr="5583D54B">
        <w:rPr>
          <w:rFonts w:asciiTheme="majorHAnsi" w:hAnsiTheme="majorHAnsi" w:cstheme="majorBidi"/>
          <w:lang w:val="en-AU"/>
        </w:rPr>
        <w:t xml:space="preserve"> more farm</w:t>
      </w:r>
      <w:r w:rsidR="1AC42DD0" w:rsidRPr="5583D54B">
        <w:rPr>
          <w:rFonts w:asciiTheme="majorHAnsi" w:hAnsiTheme="majorHAnsi" w:cstheme="majorBidi"/>
          <w:lang w:val="en-AU"/>
        </w:rPr>
        <w:t>ing</w:t>
      </w:r>
      <w:r w:rsidRPr="5583D54B">
        <w:rPr>
          <w:rFonts w:asciiTheme="majorHAnsi" w:hAnsiTheme="majorHAnsi" w:cstheme="majorBidi"/>
          <w:lang w:val="en-AU"/>
        </w:rPr>
        <w:t xml:space="preserve"> household</w:t>
      </w:r>
      <w:r w:rsidR="353B763C" w:rsidRPr="5583D54B">
        <w:rPr>
          <w:rFonts w:asciiTheme="majorHAnsi" w:hAnsiTheme="majorHAnsi" w:cstheme="majorBidi"/>
          <w:lang w:val="en-AU"/>
        </w:rPr>
        <w:t>s</w:t>
      </w:r>
      <w:r w:rsidRPr="5583D54B">
        <w:rPr>
          <w:rFonts w:asciiTheme="majorHAnsi" w:hAnsiTheme="majorHAnsi" w:cstheme="majorBidi"/>
          <w:lang w:val="en-AU"/>
        </w:rPr>
        <w:t xml:space="preserve"> access and benefit</w:t>
      </w:r>
      <w:r w:rsidR="6821CF32" w:rsidRPr="5583D54B">
        <w:rPr>
          <w:rFonts w:asciiTheme="majorHAnsi" w:hAnsiTheme="majorHAnsi" w:cstheme="majorBidi"/>
          <w:lang w:val="en-AU"/>
        </w:rPr>
        <w:t xml:space="preserve"> from</w:t>
      </w:r>
      <w:r w:rsidRPr="5583D54B">
        <w:rPr>
          <w:rFonts w:asciiTheme="majorHAnsi" w:hAnsiTheme="majorHAnsi" w:cstheme="majorBidi"/>
          <w:lang w:val="en-AU"/>
        </w:rPr>
        <w:t xml:space="preserve"> multiple innovations from PRISMA’s partners. </w:t>
      </w:r>
    </w:p>
    <w:p w14:paraId="31E7DAEF" w14:textId="04C2E091" w:rsidR="001E5099" w:rsidRPr="00C64064" w:rsidRDefault="001E5099" w:rsidP="50B3A700">
      <w:pPr>
        <w:jc w:val="both"/>
        <w:rPr>
          <w:rFonts w:asciiTheme="majorHAnsi" w:hAnsiTheme="majorHAnsi" w:cstheme="majorBidi"/>
          <w:lang w:val="en-AU"/>
        </w:rPr>
      </w:pPr>
      <w:r w:rsidRPr="50B3A700">
        <w:rPr>
          <w:rFonts w:asciiTheme="majorHAnsi" w:hAnsiTheme="majorHAnsi" w:cstheme="majorBidi"/>
          <w:lang w:val="en-AU"/>
        </w:rPr>
        <w:t xml:space="preserve">This semester, </w:t>
      </w:r>
      <w:r w:rsidR="00595087" w:rsidRPr="50B3A700">
        <w:rPr>
          <w:rFonts w:asciiTheme="majorHAnsi" w:hAnsiTheme="majorHAnsi" w:cstheme="majorBidi"/>
          <w:lang w:val="en-AU"/>
        </w:rPr>
        <w:t>19.6</w:t>
      </w:r>
      <w:r w:rsidR="002839D0" w:rsidRPr="50B3A700">
        <w:rPr>
          <w:rFonts w:asciiTheme="majorHAnsi" w:hAnsiTheme="majorHAnsi" w:cstheme="majorBidi"/>
          <w:lang w:val="en-AU"/>
        </w:rPr>
        <w:t>%</w:t>
      </w:r>
      <w:r w:rsidRPr="50B3A700">
        <w:rPr>
          <w:rFonts w:asciiTheme="majorHAnsi" w:hAnsiTheme="majorHAnsi" w:cstheme="majorBidi"/>
          <w:lang w:val="en-AU"/>
        </w:rPr>
        <w:t xml:space="preserve"> of overall outreach came from the wider market as PRISMA’s partners in the beef, mechanisation, vegetable, rice, and dairy sectors independently expanded their businesses beyond PRISMA’s intervention areas. </w:t>
      </w:r>
    </w:p>
    <w:p w14:paraId="26C6DBC4" w14:textId="5113A245" w:rsidR="001E5099" w:rsidRDefault="001E5099" w:rsidP="50B3A700">
      <w:pPr>
        <w:jc w:val="both"/>
        <w:rPr>
          <w:rFonts w:asciiTheme="majorHAnsi" w:hAnsiTheme="majorHAnsi" w:cstheme="majorBidi"/>
          <w:lang w:val="en-AU"/>
        </w:rPr>
      </w:pPr>
      <w:r w:rsidRPr="50B3A700">
        <w:rPr>
          <w:rFonts w:asciiTheme="majorHAnsi" w:hAnsiTheme="majorHAnsi" w:cstheme="majorBidi"/>
          <w:lang w:val="en-AU"/>
        </w:rPr>
        <w:t xml:space="preserve">The overall proportion of wider outreach reached </w:t>
      </w:r>
      <w:r w:rsidR="001A60CA" w:rsidRPr="50B3A700">
        <w:rPr>
          <w:rFonts w:asciiTheme="majorHAnsi" w:hAnsiTheme="majorHAnsi" w:cstheme="majorBidi"/>
          <w:lang w:val="en-AU"/>
        </w:rPr>
        <w:t>48.7</w:t>
      </w:r>
      <w:r w:rsidR="002839D0" w:rsidRPr="50B3A700">
        <w:rPr>
          <w:rFonts w:asciiTheme="majorHAnsi" w:hAnsiTheme="majorHAnsi" w:cstheme="majorBidi"/>
          <w:lang w:val="en-AU"/>
        </w:rPr>
        <w:t>%</w:t>
      </w:r>
      <w:r w:rsidRPr="50B3A700">
        <w:rPr>
          <w:rFonts w:asciiTheme="majorHAnsi" w:hAnsiTheme="majorHAnsi" w:cstheme="majorBidi"/>
          <w:lang w:val="en-AU"/>
        </w:rPr>
        <w:t>, indicating that PRISMA’s interventions have led to sustainable and scalable outcomes.</w:t>
      </w:r>
    </w:p>
    <w:p w14:paraId="29A29A13" w14:textId="77777777" w:rsidR="006D53F9" w:rsidRPr="00C64064" w:rsidRDefault="006D53F9" w:rsidP="001E5099">
      <w:pPr>
        <w:jc w:val="both"/>
        <w:rPr>
          <w:rFonts w:asciiTheme="majorHAnsi" w:hAnsiTheme="majorHAnsi" w:cstheme="majorHAnsi"/>
          <w:lang w:val="en-AU"/>
        </w:rPr>
      </w:pPr>
    </w:p>
    <w:p w14:paraId="4AFF9136" w14:textId="28289BF8" w:rsidR="003106D1" w:rsidRDefault="003106D1" w:rsidP="003106D1">
      <w:pPr>
        <w:spacing w:line="276" w:lineRule="auto"/>
        <w:ind w:right="560"/>
        <w:rPr>
          <w:rFonts w:cs="Arial"/>
          <w:b/>
          <w:bCs/>
          <w:color w:val="02616F" w:themeColor="accent1" w:themeShade="80"/>
        </w:rPr>
      </w:pPr>
      <w:r w:rsidRPr="0066607C">
        <w:rPr>
          <w:rFonts w:cs="Arial"/>
          <w:b/>
          <w:bCs/>
          <w:color w:val="02616F" w:themeColor="accent1" w:themeShade="80"/>
        </w:rPr>
        <w:t>Income</w:t>
      </w:r>
    </w:p>
    <w:p w14:paraId="0B812664" w14:textId="475623AA" w:rsidR="00516999" w:rsidRDefault="00516999" w:rsidP="00516999">
      <w:pPr>
        <w:pStyle w:val="Body"/>
      </w:pPr>
      <w:r>
        <w:rPr>
          <w:noProof/>
        </w:rPr>
        <w:drawing>
          <wp:inline distT="0" distB="0" distL="0" distR="0" wp14:anchorId="3C4A7794" wp14:editId="7A288EB5">
            <wp:extent cx="5990313" cy="1713230"/>
            <wp:effectExtent l="0" t="0" r="0" b="1270"/>
            <wp:docPr id="304694721" name="Picture 62" descr="Infographic: Net attributable income IDR253 billion or AUD25.3 million on semester 1 2024.&#10;While IDR9.27 trillion or AUD927 million&#10;Cummulative up to Jun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694721" name="Picture 62" descr="Infographic: Net attributable income IDR253 billion or AUD25.3 million on semester 1 2024.&#10;While IDR9.27 trillion or AUD927 million&#10;Cummulative up to June 2024."/>
                    <pic:cNvPicPr>
                      <a:picLocks noChangeAspect="1" noChangeArrowheads="1"/>
                    </pic:cNvPicPr>
                  </pic:nvPicPr>
                  <pic:blipFill>
                    <a:blip r:embed="rId25"/>
                    <a:stretch>
                      <a:fillRect/>
                    </a:stretch>
                  </pic:blipFill>
                  <pic:spPr bwMode="auto">
                    <a:xfrm>
                      <a:off x="0" y="0"/>
                      <a:ext cx="5990313" cy="1713230"/>
                    </a:xfrm>
                    <a:prstGeom prst="rect">
                      <a:avLst/>
                    </a:prstGeom>
                    <a:noFill/>
                    <a:ln>
                      <a:noFill/>
                    </a:ln>
                  </pic:spPr>
                </pic:pic>
              </a:graphicData>
            </a:graphic>
          </wp:inline>
        </w:drawing>
      </w:r>
    </w:p>
    <w:p w14:paraId="7D7D02EF" w14:textId="77777777" w:rsidR="009A293D" w:rsidRPr="00E32EA5" w:rsidRDefault="009A293D" w:rsidP="009A293D">
      <w:pPr>
        <w:spacing w:line="276" w:lineRule="auto"/>
        <w:ind w:left="709" w:right="-7"/>
        <w:rPr>
          <w:rFonts w:cs="Arial"/>
          <w:i/>
          <w:iCs/>
          <w:color w:val="595959" w:themeColor="text1" w:themeTint="A6"/>
        </w:rPr>
      </w:pPr>
      <w:r w:rsidRPr="00E32EA5">
        <w:rPr>
          <w:rFonts w:cs="Arial"/>
          <w:i/>
          <w:iCs/>
          <w:color w:val="595959" w:themeColor="text1" w:themeTint="A6"/>
        </w:rPr>
        <w:t>A high net attributable income increase continues to demonstrate the effectiveness of PRISMA's interventions.</w:t>
      </w:r>
    </w:p>
    <w:p w14:paraId="15DB7F2A" w14:textId="77777777" w:rsidR="007144EF" w:rsidRPr="0066607C" w:rsidRDefault="007144EF" w:rsidP="003106D1">
      <w:pPr>
        <w:spacing w:line="276" w:lineRule="auto"/>
        <w:ind w:right="560"/>
        <w:rPr>
          <w:rFonts w:cs="Arial"/>
          <w:b/>
          <w:bCs/>
          <w:color w:val="02616F" w:themeColor="accent1" w:themeShade="80"/>
        </w:rPr>
      </w:pPr>
    </w:p>
    <w:p w14:paraId="642395CF" w14:textId="6A52A5D8" w:rsidR="001E5099" w:rsidRPr="00C64064" w:rsidRDefault="001E5099" w:rsidP="001E5099">
      <w:pPr>
        <w:jc w:val="both"/>
        <w:rPr>
          <w:rFonts w:asciiTheme="majorHAnsi" w:hAnsiTheme="majorHAnsi" w:cstheme="majorHAnsi"/>
          <w:lang w:val="en-AU"/>
        </w:rPr>
      </w:pPr>
      <w:r w:rsidRPr="00C64064">
        <w:rPr>
          <w:rFonts w:asciiTheme="majorHAnsi" w:hAnsiTheme="majorHAnsi" w:cstheme="majorHAnsi"/>
          <w:lang w:val="en-AU"/>
        </w:rPr>
        <w:t xml:space="preserve">This semester's average net attributable income change percentage was </w:t>
      </w:r>
      <w:r w:rsidR="00EE20B2">
        <w:rPr>
          <w:rFonts w:asciiTheme="majorHAnsi" w:hAnsiTheme="majorHAnsi" w:cstheme="majorHAnsi"/>
          <w:lang w:val="en-AU"/>
        </w:rPr>
        <w:t>33.3</w:t>
      </w:r>
      <w:r w:rsidR="002839D0" w:rsidRPr="00C64064">
        <w:rPr>
          <w:rFonts w:asciiTheme="majorHAnsi" w:hAnsiTheme="majorHAnsi" w:cstheme="majorHAnsi"/>
          <w:lang w:val="en-AU"/>
        </w:rPr>
        <w:t>%</w:t>
      </w:r>
      <w:r w:rsidRPr="00C64064">
        <w:rPr>
          <w:rFonts w:asciiTheme="majorHAnsi" w:hAnsiTheme="majorHAnsi" w:cstheme="majorHAnsi"/>
          <w:lang w:val="en-AU"/>
        </w:rPr>
        <w:t>, contributing to a cumulative percentage of net attributable income of 123</w:t>
      </w:r>
      <w:r w:rsidR="002839D0" w:rsidRPr="00C64064">
        <w:rPr>
          <w:rFonts w:asciiTheme="majorHAnsi" w:hAnsiTheme="majorHAnsi" w:cstheme="majorHAnsi"/>
          <w:lang w:val="en-AU"/>
        </w:rPr>
        <w:t>%</w:t>
      </w:r>
      <w:r w:rsidRPr="00C64064">
        <w:rPr>
          <w:rFonts w:asciiTheme="majorHAnsi" w:hAnsiTheme="majorHAnsi" w:cstheme="majorHAnsi"/>
          <w:lang w:val="en-AU"/>
        </w:rPr>
        <w:t>, a change from 149</w:t>
      </w:r>
      <w:r w:rsidR="002839D0" w:rsidRPr="00C64064">
        <w:rPr>
          <w:rFonts w:asciiTheme="majorHAnsi" w:hAnsiTheme="majorHAnsi" w:cstheme="majorHAnsi"/>
          <w:lang w:val="en-AU"/>
        </w:rPr>
        <w:t>%</w:t>
      </w:r>
      <w:r w:rsidRPr="00C64064">
        <w:rPr>
          <w:rFonts w:asciiTheme="majorHAnsi" w:hAnsiTheme="majorHAnsi" w:cstheme="majorHAnsi"/>
          <w:lang w:val="en-AU"/>
        </w:rPr>
        <w:t xml:space="preserve"> in the previous semester. As outreach grows, a slight decrease in net attributable income change percentage is expected as the innovations reach more households further along the spectrum of innovation diffusion, as these households tend to have less capital and skill than early adopters of innovations.</w:t>
      </w:r>
    </w:p>
    <w:p w14:paraId="443716BE" w14:textId="7FB14DDF" w:rsidR="001E5099" w:rsidRPr="00C64064" w:rsidRDefault="001E5099" w:rsidP="001E5099">
      <w:pPr>
        <w:jc w:val="both"/>
        <w:rPr>
          <w:rFonts w:asciiTheme="majorHAnsi" w:hAnsiTheme="majorHAnsi" w:cstheme="majorHAnsi"/>
          <w:lang w:val="en-AU"/>
        </w:rPr>
      </w:pPr>
      <w:r w:rsidRPr="00C64064">
        <w:rPr>
          <w:rFonts w:asciiTheme="majorHAnsi" w:hAnsiTheme="majorHAnsi" w:cstheme="majorHAnsi"/>
          <w:lang w:val="en-AU"/>
        </w:rPr>
        <w:t>Meanwhile, this semester</w:t>
      </w:r>
      <w:r w:rsidR="004B6469" w:rsidRPr="00C64064">
        <w:rPr>
          <w:rFonts w:asciiTheme="majorHAnsi" w:hAnsiTheme="majorHAnsi" w:cstheme="majorHAnsi"/>
          <w:lang w:val="en-AU"/>
        </w:rPr>
        <w:t>’s</w:t>
      </w:r>
      <w:r w:rsidRPr="00C64064">
        <w:rPr>
          <w:rFonts w:asciiTheme="majorHAnsi" w:hAnsiTheme="majorHAnsi" w:cstheme="majorHAnsi"/>
          <w:lang w:val="en-AU"/>
        </w:rPr>
        <w:t xml:space="preserve"> net attributable income increased by 4.65</w:t>
      </w:r>
      <w:r w:rsidR="002839D0" w:rsidRPr="00C64064">
        <w:rPr>
          <w:rFonts w:asciiTheme="majorHAnsi" w:hAnsiTheme="majorHAnsi" w:cstheme="majorHAnsi"/>
          <w:lang w:val="en-AU"/>
        </w:rPr>
        <w:t>%</w:t>
      </w:r>
      <w:r w:rsidRPr="00C64064">
        <w:rPr>
          <w:rFonts w:asciiTheme="majorHAnsi" w:hAnsiTheme="majorHAnsi" w:cstheme="majorHAnsi"/>
          <w:lang w:val="en-AU"/>
        </w:rPr>
        <w:t xml:space="preserve"> per household, from IDR3.49 million the previous semester to IDR3.65 million per household. Th</w:t>
      </w:r>
      <w:r w:rsidR="004B6469" w:rsidRPr="00C64064">
        <w:rPr>
          <w:rFonts w:asciiTheme="majorHAnsi" w:hAnsiTheme="majorHAnsi" w:cstheme="majorHAnsi"/>
          <w:lang w:val="en-AU"/>
        </w:rPr>
        <w:t>is semester’s</w:t>
      </w:r>
      <w:r w:rsidRPr="00C64064">
        <w:rPr>
          <w:rFonts w:asciiTheme="majorHAnsi" w:hAnsiTheme="majorHAnsi" w:cstheme="majorHAnsi"/>
          <w:lang w:val="en-AU"/>
        </w:rPr>
        <w:t xml:space="preserve"> total net attributable income change from all PRISMA beneficiary farming households amounted to IDR253 billion, bringing the cumulative net attributable income change to IDR</w:t>
      </w:r>
      <w:r w:rsidR="00EC4A53">
        <w:rPr>
          <w:rFonts w:asciiTheme="majorHAnsi" w:hAnsiTheme="majorHAnsi" w:cstheme="majorHAnsi"/>
          <w:lang w:val="en-AU"/>
        </w:rPr>
        <w:t>9.27</w:t>
      </w:r>
      <w:r w:rsidRPr="00C64064">
        <w:rPr>
          <w:rFonts w:asciiTheme="majorHAnsi" w:hAnsiTheme="majorHAnsi" w:cstheme="majorHAnsi"/>
          <w:lang w:val="en-AU"/>
        </w:rPr>
        <w:t xml:space="preserve"> trillion or approximately AUD927 million. These figures demonstrate the continuous positive impact and progress generated by PRISMA’s interventions.</w:t>
      </w:r>
    </w:p>
    <w:p w14:paraId="21BBA928" w14:textId="557AF39D" w:rsidR="00526026" w:rsidRDefault="00C71643" w:rsidP="00526026">
      <w:pPr>
        <w:rPr>
          <w:rFonts w:asciiTheme="majorHAnsi" w:eastAsia="Times New Roman" w:hAnsiTheme="majorHAnsi" w:cstheme="majorHAnsi"/>
        </w:rPr>
      </w:pPr>
      <w:bookmarkStart w:id="27" w:name="_Toc172274351"/>
      <w:r w:rsidRPr="00C64064">
        <w:rPr>
          <w:rFonts w:cstheme="majorHAnsi"/>
          <w:noProof/>
        </w:rPr>
        <w:lastRenderedPageBreak/>
        <w:drawing>
          <wp:inline distT="0" distB="0" distL="0" distR="0" wp14:anchorId="50030C64" wp14:editId="5B7ADCD5">
            <wp:extent cx="6119184" cy="8655685"/>
            <wp:effectExtent l="0" t="0" r="0" b="0"/>
            <wp:docPr id="2055349851" name="Graphic 42" descr="PRISMA Achievement page 1:&#10;Total smallholder farming households (HHs) with increased income &#10;(2014 – 2024 yearly growth): 1,487,364 in 2024.&#10;Smallholder farming households (hh)increase income January - June 2024: &#10;Target 97,463 HH, Realisation: 26,993 HH.&#10;Progress to 1 million HHs by 2023, 148.2 per cent&#10;(exceeded the targ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49851" name="Graphic 42" descr="PRISMA Achievement page 1:&#10;Total smallholder farming households (HHs) with increased income &#10;(2014 – 2024 yearly growth): 1,487,364 in 2024.&#10;Smallholder farming households (hh)increase income January - June 2024: &#10;Target 97,463 HH, Realisation: 26,993 HH.&#10;Progress to 1 million HHs by 2023, 148.2 per cent&#10;(exceeded the target).&#10;"/>
                    <pic:cNvPicPr/>
                  </pic:nvPicPr>
                  <pic:blipFill>
                    <a:blip r:embed="rId26"/>
                    <a:stretch>
                      <a:fillRect/>
                    </a:stretch>
                  </pic:blipFill>
                  <pic:spPr>
                    <a:xfrm>
                      <a:off x="0" y="0"/>
                      <a:ext cx="6119184" cy="8655685"/>
                    </a:xfrm>
                    <a:prstGeom prst="rect">
                      <a:avLst/>
                    </a:prstGeom>
                  </pic:spPr>
                </pic:pic>
              </a:graphicData>
            </a:graphic>
          </wp:inline>
        </w:drawing>
      </w:r>
      <w:bookmarkEnd w:id="27"/>
    </w:p>
    <w:p w14:paraId="6753DE8A" w14:textId="78B55292" w:rsidR="00C71643" w:rsidRDefault="00C71643" w:rsidP="00526026">
      <w:pPr>
        <w:rPr>
          <w:rFonts w:asciiTheme="majorHAnsi" w:eastAsia="Times New Roman" w:hAnsiTheme="majorHAnsi" w:cstheme="majorHAnsi"/>
        </w:rPr>
      </w:pPr>
      <w:r w:rsidRPr="00C64064">
        <w:rPr>
          <w:rFonts w:cstheme="majorHAnsi"/>
          <w:noProof/>
        </w:rPr>
        <w:lastRenderedPageBreak/>
        <w:drawing>
          <wp:inline distT="0" distB="0" distL="0" distR="0" wp14:anchorId="19D1F5F2" wp14:editId="54DB83D0">
            <wp:extent cx="6119184" cy="8655684"/>
            <wp:effectExtent l="0" t="0" r="0" b="0"/>
            <wp:docPr id="1190958276" name="Graphic 43" descr="PRISMA Achievement page 2:&#10;Net attributable income change (NAIC) 123% on Semester 2 2024.&#10;IDR4.97 million&#10;(AUD497)&#10;in additional income per smallholder farming households during semester 1 of 2024 (Jan to Jun 2024)&#10;&#10;IDR9.27 trillion&#10;(AUD927 million)&#10;in additional income for smallholder farming households up to Jun 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958276" name="Graphic 43" descr="PRISMA Achievement page 2:&#10;Net attributable income change (NAIC) 123% on Semester 2 2024.&#10;IDR4.97 million&#10;(AUD497)&#10;in additional income per smallholder farming households during semester 1 of 2024 (Jan to Jun 2024)&#10;&#10;IDR9.27 trillion&#10;(AUD927 million)&#10;in additional income for smallholder farming households up to Jun 2024&#10;"/>
                    <pic:cNvPicPr/>
                  </pic:nvPicPr>
                  <pic:blipFill>
                    <a:blip r:embed="rId27"/>
                    <a:stretch>
                      <a:fillRect/>
                    </a:stretch>
                  </pic:blipFill>
                  <pic:spPr>
                    <a:xfrm>
                      <a:off x="0" y="0"/>
                      <a:ext cx="6119184" cy="8655684"/>
                    </a:xfrm>
                    <a:prstGeom prst="rect">
                      <a:avLst/>
                    </a:prstGeom>
                  </pic:spPr>
                </pic:pic>
              </a:graphicData>
            </a:graphic>
          </wp:inline>
        </w:drawing>
      </w:r>
    </w:p>
    <w:p w14:paraId="332EF467" w14:textId="333E1E68" w:rsidR="00C71643" w:rsidRPr="00C64064" w:rsidRDefault="00C71643" w:rsidP="00526026">
      <w:pPr>
        <w:rPr>
          <w:rFonts w:asciiTheme="majorHAnsi" w:eastAsia="Times New Roman" w:hAnsiTheme="majorHAnsi" w:cstheme="majorHAnsi"/>
        </w:rPr>
      </w:pPr>
      <w:bookmarkStart w:id="28" w:name="_Toc172274353"/>
      <w:r w:rsidRPr="00C64064">
        <w:rPr>
          <w:rFonts w:cstheme="majorHAnsi"/>
          <w:noProof/>
        </w:rPr>
        <w:lastRenderedPageBreak/>
        <w:drawing>
          <wp:inline distT="0" distB="0" distL="0" distR="0" wp14:anchorId="0C183B75" wp14:editId="4AE77B02">
            <wp:extent cx="6119184" cy="8655685"/>
            <wp:effectExtent l="0" t="0" r="0" b="0"/>
            <wp:docPr id="1583569417" name="Graphic 44" descr="PRISMA Acheivement page 3:&#10;273 Total number of partners&#10;(up to Jun 2024). There is no new partner.&#10;Total SMEs up to Dec 2024: 15,107&#10;Total value of additional turnover for SMEs up to Jun 2024: IDR2.46 trillion&#10;(AUD246 mi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569417" name="Graphic 44" descr="PRISMA Acheivement page 3:&#10;273 Total number of partners&#10;(up to Jun 2024). There is no new partner.&#10;Total SMEs up to Dec 2024: 15,107&#10;Total value of additional turnover for SMEs up to Jun 2024: IDR2.46 trillion&#10;(AUD246 million)"/>
                    <pic:cNvPicPr/>
                  </pic:nvPicPr>
                  <pic:blipFill>
                    <a:blip r:embed="rId28"/>
                    <a:stretch>
                      <a:fillRect/>
                    </a:stretch>
                  </pic:blipFill>
                  <pic:spPr>
                    <a:xfrm>
                      <a:off x="0" y="0"/>
                      <a:ext cx="6119184" cy="8655685"/>
                    </a:xfrm>
                    <a:prstGeom prst="rect">
                      <a:avLst/>
                    </a:prstGeom>
                  </pic:spPr>
                </pic:pic>
              </a:graphicData>
            </a:graphic>
          </wp:inline>
        </w:drawing>
      </w:r>
      <w:bookmarkEnd w:id="28"/>
    </w:p>
    <w:p w14:paraId="66EC60E4" w14:textId="19E69112" w:rsidR="00FD0B11" w:rsidRDefault="0046557C" w:rsidP="00443A48">
      <w:pPr>
        <w:pStyle w:val="Head2"/>
      </w:pPr>
      <w:bookmarkStart w:id="29" w:name="_Toc180155149"/>
      <w:r>
        <w:lastRenderedPageBreak/>
        <w:t>Focus on</w:t>
      </w:r>
      <w:r w:rsidR="00BC5BAC">
        <w:t xml:space="preserve"> sustainability</w:t>
      </w:r>
      <w:bookmarkEnd w:id="29"/>
    </w:p>
    <w:p w14:paraId="0BA220CF" w14:textId="2AA0782C" w:rsidR="00BC5BAC" w:rsidRPr="00EC1311" w:rsidRDefault="40158571" w:rsidP="00EC1311">
      <w:pPr>
        <w:rPr>
          <w:rStyle w:val="normaltextrun"/>
        </w:rPr>
      </w:pPr>
      <w:r>
        <w:t>PRISMA</w:t>
      </w:r>
      <w:r w:rsidR="007D14A3">
        <w:t xml:space="preserve">’s focus </w:t>
      </w:r>
      <w:r w:rsidR="00B3647A">
        <w:t>on</w:t>
      </w:r>
      <w:r>
        <w:t xml:space="preserve"> its final year </w:t>
      </w:r>
      <w:r w:rsidR="00B3647A">
        <w:t xml:space="preserve">is </w:t>
      </w:r>
      <w:r>
        <w:t>to influence the market with its know-how and expertise. The program for the final year split sustainability targets into sector-level activities (market resilience) and policy- and academic-institution-focused activities (high-priority policy initiatives).</w:t>
      </w:r>
      <w:r w:rsidR="7DC411E6">
        <w:t xml:space="preserve"> Interventions stopped</w:t>
      </w:r>
      <w:r w:rsidR="46653AF8">
        <w:t>,</w:t>
      </w:r>
      <w:r w:rsidR="7DC411E6">
        <w:t xml:space="preserve"> and </w:t>
      </w:r>
      <w:r w:rsidR="46653AF8">
        <w:t xml:space="preserve">knowledge from cross-cutting areas and sectors was shared with the market. </w:t>
      </w:r>
    </w:p>
    <w:p w14:paraId="0A863C05" w14:textId="461A89C6" w:rsidR="00215AA5" w:rsidRPr="00C64064" w:rsidRDefault="00D10D46" w:rsidP="00D10D46">
      <w:pPr>
        <w:pStyle w:val="paragraph"/>
        <w:spacing w:before="0" w:beforeAutospacing="0" w:after="0" w:afterAutospacing="0" w:line="360" w:lineRule="auto"/>
        <w:textAlignment w:val="baseline"/>
        <w:rPr>
          <w:rFonts w:asciiTheme="majorHAnsi" w:eastAsia="Arial" w:hAnsiTheme="majorHAnsi" w:cstheme="majorHAnsi"/>
          <w:sz w:val="22"/>
          <w:szCs w:val="22"/>
          <w:lang w:val="en-US" w:eastAsia="en-US"/>
        </w:rPr>
      </w:pPr>
      <w:r w:rsidRPr="00C64064">
        <w:rPr>
          <w:rFonts w:asciiTheme="majorHAnsi" w:eastAsia="Arial" w:hAnsiTheme="majorHAnsi" w:cstheme="majorHAnsi"/>
          <w:noProof/>
          <w:sz w:val="22"/>
          <w:szCs w:val="22"/>
          <w:lang w:val="en-US" w:eastAsia="en-US"/>
        </w:rPr>
        <w:drawing>
          <wp:inline distT="0" distB="0" distL="0" distR="0" wp14:anchorId="7CE093C1" wp14:editId="5DA3B4C8">
            <wp:extent cx="6391393" cy="5960236"/>
            <wp:effectExtent l="0" t="0" r="0" b="2540"/>
            <wp:docPr id="249" name="Picture 2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a:extLst>
                        <a:ext uri="{C183D7F6-B498-43B3-948B-1728B52AA6E4}">
                          <adec:decorative xmlns:adec="http://schemas.microsoft.com/office/drawing/2017/decorative" val="1"/>
                        </a:ext>
                      </a:extLst>
                    </pic:cNvPr>
                    <pic:cNvPicPr/>
                  </pic:nvPicPr>
                  <pic:blipFill>
                    <a:blip r:embed="rId29"/>
                    <a:srcRect t="36" b="36"/>
                    <a:stretch>
                      <a:fillRect/>
                    </a:stretch>
                  </pic:blipFill>
                  <pic:spPr bwMode="auto">
                    <a:xfrm>
                      <a:off x="0" y="0"/>
                      <a:ext cx="6391393" cy="5960236"/>
                    </a:xfrm>
                    <a:prstGeom prst="rect">
                      <a:avLst/>
                    </a:prstGeom>
                    <a:ln>
                      <a:noFill/>
                    </a:ln>
                    <a:extLst>
                      <a:ext uri="{53640926-AAD7-44D8-BBD7-CCE9431645EC}">
                        <a14:shadowObscured xmlns:a14="http://schemas.microsoft.com/office/drawing/2010/main"/>
                      </a:ext>
                    </a:extLst>
                  </pic:spPr>
                </pic:pic>
              </a:graphicData>
            </a:graphic>
          </wp:inline>
        </w:drawing>
      </w:r>
    </w:p>
    <w:p w14:paraId="031AA47F" w14:textId="213B941C" w:rsidR="001D488F" w:rsidRPr="00C64064" w:rsidRDefault="000919C1" w:rsidP="001D488F">
      <w:pPr>
        <w:spacing w:before="200" w:after="200" w:line="264" w:lineRule="auto"/>
        <w:rPr>
          <w:rFonts w:asciiTheme="majorHAnsi" w:hAnsiTheme="majorHAnsi" w:cstheme="majorHAnsi"/>
          <w:b/>
          <w:bCs/>
        </w:rPr>
      </w:pPr>
      <w:r w:rsidRPr="00C64064">
        <w:rPr>
          <w:rFonts w:asciiTheme="majorHAnsi" w:hAnsiTheme="majorHAnsi" w:cstheme="majorHAnsi"/>
          <w:noProof/>
        </w:rPr>
        <mc:AlternateContent>
          <mc:Choice Requires="wpg">
            <w:drawing>
              <wp:inline distT="0" distB="0" distL="0" distR="0" wp14:anchorId="7CAE9117" wp14:editId="68821946">
                <wp:extent cx="6385682" cy="1766581"/>
                <wp:effectExtent l="0" t="0" r="2540" b="0"/>
                <wp:docPr id="1610551894" name="Group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85682" cy="1766581"/>
                          <a:chOff x="307211" y="-216184"/>
                          <a:chExt cx="4752237" cy="1766926"/>
                        </a:xfrm>
                      </wpg:grpSpPr>
                      <wps:wsp>
                        <wps:cNvPr id="1525397080" name="Text Box 1525397080">
                          <a:extLst>
                            <a:ext uri="{C183D7F6-B498-43B3-948B-1728B52AA6E4}">
                              <adec:decorative xmlns:adec="http://schemas.microsoft.com/office/drawing/2017/decorative" val="1"/>
                            </a:ext>
                          </a:extLst>
                        </wps:cNvPr>
                        <wps:cNvSpPr txBox="1"/>
                        <wps:spPr>
                          <a:xfrm>
                            <a:off x="1475700" y="-216184"/>
                            <a:ext cx="3583748" cy="1766926"/>
                          </a:xfrm>
                          <a:prstGeom prst="rect">
                            <a:avLst/>
                          </a:prstGeom>
                          <a:solidFill>
                            <a:srgbClr val="252C66"/>
                          </a:solidFill>
                          <a:ln w="6350">
                            <a:noFill/>
                          </a:ln>
                        </wps:spPr>
                        <wps:txbx>
                          <w:txbxContent>
                            <w:p w14:paraId="02261B41" w14:textId="77777777" w:rsidR="000919C1" w:rsidRPr="00E72EF3" w:rsidRDefault="000919C1" w:rsidP="000919C1">
                              <w:pPr>
                                <w:pStyle w:val="Header"/>
                                <w:tabs>
                                  <w:tab w:val="clear" w:pos="4513"/>
                                  <w:tab w:val="clear" w:pos="9026"/>
                                  <w:tab w:val="center" w:pos="1760"/>
                                  <w:tab w:val="right" w:pos="3520"/>
                                </w:tabs>
                                <w:spacing w:after="78"/>
                                <w:textAlignment w:val="baseline"/>
                                <w:rPr>
                                  <w:rStyle w:val="Hyperlink"/>
                                  <w:rFonts w:cs="Arial"/>
                                  <w:i/>
                                  <w:iCs/>
                                  <w:color w:val="FFFFFF" w:themeColor="background1"/>
                                  <w:sz w:val="21"/>
                                  <w:szCs w:val="21"/>
                                  <w:lang w:val="en-US"/>
                                </w:rPr>
                              </w:pPr>
                              <w:r w:rsidRPr="00E72EF3">
                                <w:rPr>
                                  <w:rFonts w:cs="Arial"/>
                                  <w:i/>
                                  <w:iCs/>
                                  <w:noProof/>
                                  <w:color w:val="FFFFFF" w:themeColor="background1"/>
                                  <w:sz w:val="21"/>
                                  <w:szCs w:val="21"/>
                                  <w:lang w:val="en-US"/>
                                </w:rPr>
                                <w:drawing>
                                  <wp:inline distT="0" distB="0" distL="0" distR="0" wp14:anchorId="4A488E87" wp14:editId="5C90BD8A">
                                    <wp:extent cx="228600" cy="228600"/>
                                    <wp:effectExtent l="0" t="0" r="0" b="0"/>
                                    <wp:docPr id="1473390028" name="Graphic 14733900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70575"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228600" cy="228600"/>
                                            </a:xfrm>
                                            <a:prstGeom prst="rect">
                                              <a:avLst/>
                                            </a:prstGeom>
                                          </pic:spPr>
                                        </pic:pic>
                                      </a:graphicData>
                                    </a:graphic>
                                  </wp:inline>
                                </w:drawing>
                              </w:r>
                            </w:p>
                            <w:p w14:paraId="0AF04291" w14:textId="77777777" w:rsidR="000919C1" w:rsidRPr="00E72EF3" w:rsidRDefault="000919C1" w:rsidP="000919C1">
                              <w:pPr>
                                <w:pStyle w:val="Header"/>
                                <w:tabs>
                                  <w:tab w:val="clear" w:pos="4513"/>
                                  <w:tab w:val="clear" w:pos="9026"/>
                                  <w:tab w:val="center" w:pos="1760"/>
                                  <w:tab w:val="right" w:pos="3520"/>
                                </w:tabs>
                                <w:spacing w:after="93"/>
                                <w:textAlignment w:val="baseline"/>
                                <w:rPr>
                                  <w:rStyle w:val="BalloonTextChar"/>
                                  <w:rFonts w:ascii="Arial" w:hAnsi="Arial" w:cs="Arial"/>
                                  <w:color w:val="FFFFFF" w:themeColor="background1"/>
                                  <w:sz w:val="22"/>
                                  <w:szCs w:val="22"/>
                                </w:rPr>
                              </w:pPr>
                              <w:r w:rsidRPr="00A602AD">
                                <w:t>PRISMA is an insightful, tangible, impactful, and sustainable program. Its legacy in the field is real and sustainable</w:t>
                              </w:r>
                              <w:r>
                                <w:rPr>
                                  <w:i/>
                                  <w:iCs/>
                                </w:rPr>
                                <w:t>.</w:t>
                              </w:r>
                            </w:p>
                            <w:p w14:paraId="3E3676C2" w14:textId="2013C20F" w:rsidR="000919C1" w:rsidRPr="00E72EF3" w:rsidRDefault="000919C1" w:rsidP="000919C1">
                              <w:pPr>
                                <w:pStyle w:val="Header"/>
                                <w:tabs>
                                  <w:tab w:val="clear" w:pos="4513"/>
                                  <w:tab w:val="clear" w:pos="9026"/>
                                  <w:tab w:val="center" w:pos="1760"/>
                                  <w:tab w:val="right" w:pos="3520"/>
                                </w:tabs>
                                <w:spacing w:after="78"/>
                                <w:textAlignment w:val="baseline"/>
                                <w:rPr>
                                  <w:rFonts w:cs="Arial"/>
                                  <w:color w:val="FFFFFF" w:themeColor="background1"/>
                                  <w:szCs w:val="20"/>
                                </w:rPr>
                              </w:pPr>
                              <w:r>
                                <w:rPr>
                                  <w:rFonts w:cs="Arial"/>
                                  <w:b/>
                                  <w:bCs/>
                                  <w:color w:val="FFFFFF" w:themeColor="background1"/>
                                  <w:szCs w:val="20"/>
                                </w:rPr>
                                <w:t>Uthamy Sary, MSc</w:t>
                              </w:r>
                              <w:r w:rsidRPr="00E72EF3">
                                <w:rPr>
                                  <w:rFonts w:cs="Arial"/>
                                  <w:b/>
                                  <w:bCs/>
                                  <w:color w:val="FFFFFF" w:themeColor="background1"/>
                                  <w:szCs w:val="20"/>
                                </w:rPr>
                                <w:t xml:space="preserve">, </w:t>
                              </w:r>
                              <w:r>
                                <w:rPr>
                                  <w:rFonts w:cs="Arial"/>
                                  <w:color w:val="FFFFFF" w:themeColor="background1"/>
                                  <w:szCs w:val="20"/>
                                </w:rPr>
                                <w:t>Coordinator of the Bilateral Funding Directorate, Bappenas</w:t>
                              </w:r>
                              <w:r w:rsidR="00064302">
                                <w:rPr>
                                  <w:rFonts w:cs="Arial"/>
                                  <w:color w:val="FFFFFF" w:themeColor="background1"/>
                                  <w:szCs w:val="20"/>
                                </w:rPr>
                                <w:t xml:space="preserve"> reflecting on </w:t>
                              </w:r>
                              <w:r w:rsidR="00CE1584">
                                <w:rPr>
                                  <w:rFonts w:cs="Arial"/>
                                  <w:color w:val="FFFFFF" w:themeColor="background1"/>
                                  <w:szCs w:val="20"/>
                                </w:rPr>
                                <w:t xml:space="preserve">PRISMA’s impact during a field visit in July. </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pic:pic xmlns:pic="http://schemas.openxmlformats.org/drawingml/2006/picture">
                        <pic:nvPicPr>
                          <pic:cNvPr id="1135779031" name="Picture 12" descr="A group of people sitting on a vehicle.&#10;Uthamy Sary, MSc, Coordinator of the Bilateral Funding Directorate, Bappenas reflecting on PRISMA’s impact during a field visit in July. "/>
                          <pic:cNvPicPr>
                            <a:picLocks noChangeAspect="1"/>
                          </pic:cNvPicPr>
                        </pic:nvPicPr>
                        <pic:blipFill rotWithShape="1">
                          <a:blip r:embed="rId32" cstate="print">
                            <a:extLst>
                              <a:ext uri="{28A0092B-C50C-407E-A947-70E740481C1C}">
                                <a14:useLocalDpi xmlns:a14="http://schemas.microsoft.com/office/drawing/2010/main"/>
                              </a:ext>
                            </a:extLst>
                          </a:blip>
                          <a:srcRect l="19694" t="12779" r="4990" b="11300"/>
                          <a:stretch/>
                        </pic:blipFill>
                        <pic:spPr bwMode="auto">
                          <a:xfrm rot="5400000">
                            <a:off x="8199" y="82839"/>
                            <a:ext cx="1766509" cy="1168486"/>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7CAE9117" id="Group 14" o:spid="_x0000_s1034" alt="&quot;&quot;" style="width:502.8pt;height:139.1pt;mso-position-horizontal-relative:char;mso-position-vertical-relative:line" coordorigin="3072,-2161" coordsize="47522,176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">
                <v:shape id="Text Box 1525397080" o:spid="_x0000_s1035" type="#_x0000_t202" alt="&quot;&quot;" style="position:absolute;left:14757;top:-2161;width:35837;height:17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" fillcolor="#252c66" stroked="f" strokeweight=".5pt">
                  <v:textbox inset="5mm,5mm,5mm,5mm">
                    <w:txbxContent>
                      <w:p w14:paraId="02261B41" w14:textId="77777777" w:rsidR="000919C1" w:rsidRPr="00E72EF3" w:rsidRDefault="000919C1" w:rsidP="000919C1">
                        <w:pPr>
                          <w:pStyle w:val="Header"/>
                          <w:tabs>
                            <w:tab w:val="clear" w:pos="4513"/>
                            <w:tab w:val="clear" w:pos="9026"/>
                            <w:tab w:val="center" w:pos="1760"/>
                            <w:tab w:val="right" w:pos="3520"/>
                          </w:tabs>
                          <w:spacing w:after="78"/>
                          <w:textAlignment w:val="baseline"/>
                          <w:rPr>
                            <w:rStyle w:val="Hyperlink"/>
                            <w:rFonts w:cs="Arial"/>
                            <w:i/>
                            <w:iCs/>
                            <w:color w:val="FFFFFF" w:themeColor="background1"/>
                            <w:sz w:val="21"/>
                            <w:szCs w:val="21"/>
                            <w:lang w:val="en-US"/>
                          </w:rPr>
                        </w:pPr>
                        <w:r w:rsidRPr="00E72EF3">
                          <w:rPr>
                            <w:rFonts w:cs="Arial"/>
                            <w:i/>
                            <w:iCs/>
                            <w:noProof/>
                            <w:color w:val="FFFFFF" w:themeColor="background1"/>
                            <w:sz w:val="21"/>
                            <w:szCs w:val="21"/>
                            <w:lang w:val="en-US"/>
                          </w:rPr>
                          <w:drawing>
                            <wp:inline distT="0" distB="0" distL="0" distR="0" wp14:anchorId="4A488E87" wp14:editId="5C90BD8A">
                              <wp:extent cx="228600" cy="228600"/>
                              <wp:effectExtent l="0" t="0" r="0" b="0"/>
                              <wp:docPr id="1473390028" name="Graphic 14733900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70575"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228600" cy="228600"/>
                                      </a:xfrm>
                                      <a:prstGeom prst="rect">
                                        <a:avLst/>
                                      </a:prstGeom>
                                    </pic:spPr>
                                  </pic:pic>
                                </a:graphicData>
                              </a:graphic>
                            </wp:inline>
                          </w:drawing>
                        </w:r>
                      </w:p>
                      <w:p w14:paraId="0AF04291" w14:textId="77777777" w:rsidR="000919C1" w:rsidRPr="00E72EF3" w:rsidRDefault="000919C1" w:rsidP="000919C1">
                        <w:pPr>
                          <w:pStyle w:val="Header"/>
                          <w:tabs>
                            <w:tab w:val="clear" w:pos="4513"/>
                            <w:tab w:val="clear" w:pos="9026"/>
                            <w:tab w:val="center" w:pos="1760"/>
                            <w:tab w:val="right" w:pos="3520"/>
                          </w:tabs>
                          <w:spacing w:after="93"/>
                          <w:textAlignment w:val="baseline"/>
                          <w:rPr>
                            <w:rStyle w:val="BalloonTextChar"/>
                            <w:rFonts w:ascii="Arial" w:hAnsi="Arial" w:cs="Arial"/>
                            <w:color w:val="FFFFFF" w:themeColor="background1"/>
                            <w:sz w:val="22"/>
                            <w:szCs w:val="22"/>
                          </w:rPr>
                        </w:pPr>
                        <w:r w:rsidRPr="00A602AD">
                          <w:t>PRISMA is an insightful, tangible, impactful, and sustainable program. Its legacy in the field is real and sustainable</w:t>
                        </w:r>
                        <w:r>
                          <w:rPr>
                            <w:i/>
                            <w:iCs/>
                          </w:rPr>
                          <w:t>.</w:t>
                        </w:r>
                      </w:p>
                      <w:p w14:paraId="3E3676C2" w14:textId="2013C20F" w:rsidR="000919C1" w:rsidRPr="00E72EF3" w:rsidRDefault="000919C1" w:rsidP="000919C1">
                        <w:pPr>
                          <w:pStyle w:val="Header"/>
                          <w:tabs>
                            <w:tab w:val="clear" w:pos="4513"/>
                            <w:tab w:val="clear" w:pos="9026"/>
                            <w:tab w:val="center" w:pos="1760"/>
                            <w:tab w:val="right" w:pos="3520"/>
                          </w:tabs>
                          <w:spacing w:after="78"/>
                          <w:textAlignment w:val="baseline"/>
                          <w:rPr>
                            <w:rFonts w:cs="Arial"/>
                            <w:color w:val="FFFFFF" w:themeColor="background1"/>
                            <w:szCs w:val="20"/>
                          </w:rPr>
                        </w:pPr>
                        <w:r>
                          <w:rPr>
                            <w:rFonts w:cs="Arial"/>
                            <w:b/>
                            <w:bCs/>
                            <w:color w:val="FFFFFF" w:themeColor="background1"/>
                            <w:szCs w:val="20"/>
                          </w:rPr>
                          <w:t>Uthamy Sary, MSc</w:t>
                        </w:r>
                        <w:r w:rsidRPr="00E72EF3">
                          <w:rPr>
                            <w:rFonts w:cs="Arial"/>
                            <w:b/>
                            <w:bCs/>
                            <w:color w:val="FFFFFF" w:themeColor="background1"/>
                            <w:szCs w:val="20"/>
                          </w:rPr>
                          <w:t xml:space="preserve">, </w:t>
                        </w:r>
                        <w:r>
                          <w:rPr>
                            <w:rFonts w:cs="Arial"/>
                            <w:color w:val="FFFFFF" w:themeColor="background1"/>
                            <w:szCs w:val="20"/>
                          </w:rPr>
                          <w:t>Coordinator of the Bilateral Funding Directorate, Bappenas</w:t>
                        </w:r>
                        <w:r w:rsidR="00064302">
                          <w:rPr>
                            <w:rFonts w:cs="Arial"/>
                            <w:color w:val="FFFFFF" w:themeColor="background1"/>
                            <w:szCs w:val="20"/>
                          </w:rPr>
                          <w:t xml:space="preserve"> reflecting on </w:t>
                        </w:r>
                        <w:r w:rsidR="00CE1584">
                          <w:rPr>
                            <w:rFonts w:cs="Arial"/>
                            <w:color w:val="FFFFFF" w:themeColor="background1"/>
                            <w:szCs w:val="20"/>
                          </w:rPr>
                          <w:t xml:space="preserve">PRISMA’s impact during a field visit in July.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36" type="#_x0000_t75" alt="A group of people sitting on a vehicle.&#10;Uthamy Sary, MSc, Coordinator of the Bilateral Funding Directorate, Bappenas reflecting on PRISMA’s impact during a field visit in July. " style="position:absolute;left:82;top:829;width:17664;height:1168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">
                  <v:imagedata r:id="rId33" o:title="A group of people sitting on a vehicle.&#10;Uthamy Sary, MSc, Coordinator of the Bilateral Funding Directorate, Bappenas reflecting on PRISMA’s impact during a field visit in July" croptop="8375f" cropbottom="7406f" cropleft="12907f" cropright="3270f"/>
                </v:shape>
                <w10:anchorlock/>
              </v:group>
            </w:pict>
          </mc:Fallback>
        </mc:AlternateContent>
      </w:r>
    </w:p>
    <w:p w14:paraId="0F6DA7B8" w14:textId="77777777" w:rsidR="00C71643" w:rsidRDefault="00C71643" w:rsidP="00C77C8C">
      <w:pPr>
        <w:rPr>
          <w:rFonts w:asciiTheme="majorHAnsi" w:eastAsiaTheme="majorEastAsia" w:hAnsiTheme="majorHAnsi" w:cstheme="majorHAnsi"/>
          <w:b/>
          <w:bCs/>
          <w:color w:val="002060"/>
          <w:sz w:val="26"/>
          <w:szCs w:val="26"/>
        </w:rPr>
      </w:pPr>
    </w:p>
    <w:p w14:paraId="286F91CC" w14:textId="6779CF74" w:rsidR="00240ADC" w:rsidRPr="00C64064" w:rsidRDefault="31D93D84" w:rsidP="5583D54B">
      <w:pPr>
        <w:rPr>
          <w:rFonts w:asciiTheme="majorHAnsi" w:eastAsiaTheme="majorEastAsia" w:hAnsiTheme="majorHAnsi" w:cstheme="majorBidi"/>
          <w:b/>
          <w:bCs/>
          <w:color w:val="002060"/>
          <w:sz w:val="26"/>
          <w:szCs w:val="26"/>
        </w:rPr>
      </w:pPr>
      <w:r w:rsidRPr="5583D54B">
        <w:rPr>
          <w:rFonts w:asciiTheme="majorHAnsi" w:eastAsiaTheme="majorEastAsia" w:hAnsiTheme="majorHAnsi" w:cstheme="majorBidi"/>
          <w:b/>
          <w:bCs/>
          <w:color w:val="002060"/>
          <w:sz w:val="26"/>
          <w:szCs w:val="26"/>
        </w:rPr>
        <w:t>Climate</w:t>
      </w:r>
      <w:r w:rsidR="298FD8BE" w:rsidRPr="5583D54B">
        <w:rPr>
          <w:rFonts w:asciiTheme="majorHAnsi" w:eastAsiaTheme="majorEastAsia" w:hAnsiTheme="majorHAnsi" w:cstheme="majorBidi"/>
          <w:b/>
          <w:bCs/>
          <w:color w:val="002060"/>
          <w:sz w:val="26"/>
          <w:szCs w:val="26"/>
        </w:rPr>
        <w:t>-Smart Agriculture</w:t>
      </w:r>
      <w:r w:rsidRPr="5583D54B">
        <w:rPr>
          <w:rFonts w:asciiTheme="majorHAnsi" w:eastAsiaTheme="majorEastAsia" w:hAnsiTheme="majorHAnsi" w:cstheme="majorBidi"/>
          <w:b/>
          <w:bCs/>
          <w:color w:val="002060"/>
          <w:sz w:val="26"/>
          <w:szCs w:val="26"/>
        </w:rPr>
        <w:t xml:space="preserve">, </w:t>
      </w:r>
      <w:r w:rsidR="51DD97A0" w:rsidRPr="5583D54B">
        <w:rPr>
          <w:rFonts w:asciiTheme="majorHAnsi" w:eastAsiaTheme="majorEastAsia" w:hAnsiTheme="majorHAnsi" w:cstheme="majorBidi"/>
          <w:b/>
          <w:bCs/>
          <w:color w:val="002060"/>
          <w:sz w:val="26"/>
          <w:szCs w:val="26"/>
        </w:rPr>
        <w:t xml:space="preserve">Policy, </w:t>
      </w:r>
      <w:r w:rsidRPr="5583D54B">
        <w:rPr>
          <w:rFonts w:asciiTheme="majorHAnsi" w:eastAsiaTheme="majorEastAsia" w:hAnsiTheme="majorHAnsi" w:cstheme="majorBidi"/>
          <w:b/>
          <w:bCs/>
          <w:color w:val="002060"/>
          <w:sz w:val="26"/>
          <w:szCs w:val="26"/>
        </w:rPr>
        <w:t>GEDSI,</w:t>
      </w:r>
      <w:r w:rsidR="51DD97A0" w:rsidRPr="5583D54B">
        <w:rPr>
          <w:rFonts w:asciiTheme="majorHAnsi" w:eastAsiaTheme="majorEastAsia" w:hAnsiTheme="majorHAnsi" w:cstheme="majorBidi"/>
          <w:b/>
          <w:bCs/>
          <w:color w:val="002060"/>
          <w:sz w:val="26"/>
          <w:szCs w:val="26"/>
        </w:rPr>
        <w:t xml:space="preserve"> Communications</w:t>
      </w:r>
    </w:p>
    <w:p w14:paraId="7D2EFADF" w14:textId="1D5A230F" w:rsidR="000F554B" w:rsidRDefault="000F554B" w:rsidP="00B03C3A">
      <w:pPr>
        <w:pStyle w:val="Head3"/>
      </w:pPr>
      <w:bookmarkStart w:id="30" w:name="_Toc173318293"/>
      <w:bookmarkStart w:id="31" w:name="_Toc179192285"/>
      <w:bookmarkStart w:id="32" w:name="_Toc180155150"/>
      <w:r>
        <w:t>The</w:t>
      </w:r>
      <w:r w:rsidR="004A7FBD">
        <w:t xml:space="preserve"> progress</w:t>
      </w:r>
      <w:r>
        <w:t xml:space="preserve"> data is derived from impact assessments of interventions in semester 2, 2023, and previous interventions that continued into semester 1, 2024. </w:t>
      </w:r>
      <w:r w:rsidR="00B568F9">
        <w:t>Most</w:t>
      </w:r>
      <w:r>
        <w:t xml:space="preserve"> of PRISMA’s interventions ceased in December 2023 to concentrate on market resilience</w:t>
      </w:r>
      <w:r w:rsidR="000F462A">
        <w:t xml:space="preserve"> and </w:t>
      </w:r>
      <w:r w:rsidR="00CB5152">
        <w:t>ensure the sustainability of climate, GEDSI, and policy outcomes supported by</w:t>
      </w:r>
      <w:r w:rsidR="00FB79A2">
        <w:t xml:space="preserve"> strategic communications.</w:t>
      </w:r>
      <w:bookmarkEnd w:id="30"/>
      <w:bookmarkEnd w:id="31"/>
      <w:bookmarkEnd w:id="32"/>
    </w:p>
    <w:p w14:paraId="3CAE7616" w14:textId="566E295B" w:rsidR="000B7E5B" w:rsidRPr="00C64064" w:rsidRDefault="000B7E5B" w:rsidP="00C77C8C">
      <w:pPr>
        <w:rPr>
          <w:rFonts w:asciiTheme="majorHAnsi" w:hAnsiTheme="majorHAnsi" w:cstheme="majorHAnsi"/>
          <w:b/>
          <w:sz w:val="24"/>
          <w:szCs w:val="24"/>
        </w:rPr>
      </w:pPr>
      <w:r w:rsidRPr="00C64064">
        <w:rPr>
          <w:rFonts w:asciiTheme="majorHAnsi" w:hAnsiTheme="majorHAnsi" w:cstheme="majorHAnsi"/>
          <w:b/>
          <w:sz w:val="24"/>
          <w:szCs w:val="24"/>
        </w:rPr>
        <w:t>Climate</w:t>
      </w:r>
      <w:r w:rsidR="00D21641">
        <w:rPr>
          <w:rFonts w:asciiTheme="majorHAnsi" w:hAnsiTheme="majorHAnsi" w:cstheme="majorHAnsi"/>
          <w:b/>
          <w:sz w:val="24"/>
          <w:szCs w:val="24"/>
        </w:rPr>
        <w:t>-smart agriculture</w:t>
      </w:r>
    </w:p>
    <w:p w14:paraId="15B74A66" w14:textId="410BD706" w:rsidR="009E446F" w:rsidRDefault="00F142CD" w:rsidP="009E446F">
      <w:pPr>
        <w:spacing w:before="100" w:after="100"/>
        <w:rPr>
          <w:rFonts w:asciiTheme="majorHAnsi" w:hAnsiTheme="majorHAnsi" w:cstheme="majorHAnsi"/>
        </w:rPr>
      </w:pPr>
      <w:r w:rsidRPr="004F61E6">
        <w:rPr>
          <w:rFonts w:asciiTheme="majorHAnsi" w:hAnsiTheme="majorHAnsi" w:cstheme="majorHAnsi"/>
        </w:rPr>
        <w:t xml:space="preserve">PRISMA's interventions support private investment in climate-smart technologies, practices, and business models. These interventions have </w:t>
      </w:r>
      <w:r w:rsidR="00884FCF">
        <w:rPr>
          <w:rFonts w:asciiTheme="majorHAnsi" w:hAnsiTheme="majorHAnsi" w:cstheme="majorHAnsi"/>
        </w:rPr>
        <w:t>reduced</w:t>
      </w:r>
      <w:r w:rsidRPr="009E446F">
        <w:rPr>
          <w:rFonts w:asciiTheme="majorHAnsi" w:hAnsiTheme="majorHAnsi" w:cstheme="majorHAnsi"/>
        </w:rPr>
        <w:t xml:space="preserve"> emissions and enabled adaptation.</w:t>
      </w:r>
      <w:r w:rsidRPr="004F61E6">
        <w:rPr>
          <w:rFonts w:asciiTheme="majorHAnsi" w:hAnsiTheme="majorHAnsi" w:cstheme="majorHAnsi"/>
        </w:rPr>
        <w:t xml:space="preserve"> PRISMA has supported </w:t>
      </w:r>
      <w:r w:rsidR="009E446F">
        <w:rPr>
          <w:rFonts w:asciiTheme="majorHAnsi" w:hAnsiTheme="majorHAnsi" w:cstheme="majorHAnsi"/>
        </w:rPr>
        <w:t xml:space="preserve">climate initiatives through its market resilience activities, including </w:t>
      </w:r>
      <w:r w:rsidRPr="004F61E6">
        <w:rPr>
          <w:rFonts w:asciiTheme="majorHAnsi" w:hAnsiTheme="majorHAnsi" w:cstheme="majorHAnsi"/>
        </w:rPr>
        <w:t xml:space="preserve">the launch of a </w:t>
      </w:r>
      <w:r w:rsidR="006C503C">
        <w:rPr>
          <w:rFonts w:asciiTheme="majorHAnsi" w:hAnsiTheme="majorHAnsi" w:cstheme="majorHAnsi"/>
        </w:rPr>
        <w:t xml:space="preserve">pioneering </w:t>
      </w:r>
      <w:r w:rsidRPr="004F61E6">
        <w:rPr>
          <w:rFonts w:asciiTheme="majorHAnsi" w:hAnsiTheme="majorHAnsi" w:cstheme="majorHAnsi"/>
        </w:rPr>
        <w:t xml:space="preserve">climate-smart seed from its partner and rice seed producer, PT Botani. For more information, please refer to Chapter 3 and ANNEX 1 for </w:t>
      </w:r>
      <w:r w:rsidR="009E446F">
        <w:rPr>
          <w:rFonts w:asciiTheme="majorHAnsi" w:hAnsiTheme="majorHAnsi" w:cstheme="majorHAnsi"/>
        </w:rPr>
        <w:t xml:space="preserve">progress against the </w:t>
      </w:r>
      <w:r w:rsidR="00321DBB">
        <w:rPr>
          <w:rFonts w:asciiTheme="majorHAnsi" w:hAnsiTheme="majorHAnsi" w:cstheme="majorHAnsi"/>
        </w:rPr>
        <w:t>Progress</w:t>
      </w:r>
      <w:r w:rsidRPr="004F61E6">
        <w:rPr>
          <w:rFonts w:asciiTheme="majorHAnsi" w:hAnsiTheme="majorHAnsi" w:cstheme="majorHAnsi"/>
        </w:rPr>
        <w:t>.</w:t>
      </w:r>
      <w:r w:rsidR="006C503C">
        <w:rPr>
          <w:rFonts w:asciiTheme="majorHAnsi" w:hAnsiTheme="majorHAnsi" w:cstheme="majorHAnsi"/>
        </w:rPr>
        <w:t xml:space="preserve"> </w:t>
      </w:r>
      <w:r w:rsidR="006C503C" w:rsidRPr="004F61E6">
        <w:rPr>
          <w:rFonts w:asciiTheme="majorHAnsi" w:hAnsiTheme="majorHAnsi" w:cstheme="majorHAnsi"/>
        </w:rPr>
        <w:t>PRISMA gathered and shared its key learnings in climate-smart agriculture through three case studies</w:t>
      </w:r>
      <w:r w:rsidR="00884AFE">
        <w:rPr>
          <w:rFonts w:asciiTheme="majorHAnsi" w:hAnsiTheme="majorHAnsi" w:cstheme="majorHAnsi"/>
        </w:rPr>
        <w:t xml:space="preserve"> and</w:t>
      </w:r>
      <w:r w:rsidR="006C503C" w:rsidRPr="004F61E6">
        <w:rPr>
          <w:rFonts w:asciiTheme="majorHAnsi" w:hAnsiTheme="majorHAnsi" w:cstheme="majorHAnsi"/>
        </w:rPr>
        <w:t xml:space="preserve"> co-supported a national event for the Ministry of Agriculture and Bappenas in collaboration with the World Bank. </w:t>
      </w:r>
    </w:p>
    <w:p w14:paraId="477EBA8E" w14:textId="77777777" w:rsidR="00C53CA1" w:rsidRPr="009E446F" w:rsidRDefault="00C53CA1" w:rsidP="009E446F">
      <w:pPr>
        <w:spacing w:before="100" w:after="100"/>
        <w:rPr>
          <w:rFonts w:asciiTheme="majorHAnsi" w:hAnsiTheme="majorHAnsi" w:cstheme="majorHAnsi"/>
        </w:rPr>
      </w:pPr>
    </w:p>
    <w:tbl>
      <w:tblPr>
        <w:tblStyle w:val="PlainTable2"/>
        <w:tblW w:w="0" w:type="auto"/>
        <w:tblLook w:val="04A0" w:firstRow="1" w:lastRow="0" w:firstColumn="1" w:lastColumn="0" w:noHBand="0" w:noVBand="1"/>
      </w:tblPr>
      <w:tblGrid>
        <w:gridCol w:w="954"/>
        <w:gridCol w:w="8684"/>
      </w:tblGrid>
      <w:tr w:rsidR="00772A96" w:rsidRPr="00C64064" w14:paraId="61DFB76A" w14:textId="77777777" w:rsidTr="00772A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 w:type="dxa"/>
          </w:tcPr>
          <w:p w14:paraId="27D74431" w14:textId="316D0380" w:rsidR="00772A96" w:rsidRPr="00C64064" w:rsidRDefault="00772A96" w:rsidP="00EE453C">
            <w:pPr>
              <w:spacing w:before="100" w:after="100"/>
              <w:ind w:left="188"/>
              <w:rPr>
                <w:rFonts w:asciiTheme="majorHAnsi" w:hAnsiTheme="majorHAnsi" w:cstheme="majorHAnsi"/>
                <w:sz w:val="32"/>
                <w:szCs w:val="32"/>
              </w:rPr>
            </w:pPr>
            <w:r>
              <w:rPr>
                <w:noProof/>
              </w:rPr>
              <w:drawing>
                <wp:inline distT="0" distB="0" distL="0" distR="0" wp14:anchorId="6BAB201E" wp14:editId="62108E10">
                  <wp:extent cx="317500" cy="317500"/>
                  <wp:effectExtent l="0" t="0" r="6350" b="6350"/>
                  <wp:docPr id="1873238425" name="Graphic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238425" name="Graphic 36">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317500" cy="317500"/>
                          </a:xfrm>
                          <a:prstGeom prst="rect">
                            <a:avLst/>
                          </a:prstGeom>
                        </pic:spPr>
                      </pic:pic>
                    </a:graphicData>
                  </a:graphic>
                </wp:inline>
              </w:drawing>
            </w:r>
          </w:p>
        </w:tc>
        <w:tc>
          <w:tcPr>
            <w:tcW w:w="8684" w:type="dxa"/>
          </w:tcPr>
          <w:p w14:paraId="085FE4F8" w14:textId="77777777" w:rsidR="00772A96" w:rsidRPr="00C64064" w:rsidRDefault="00772A96" w:rsidP="00EE453C">
            <w:pPr>
              <w:spacing w:before="100" w:after="100"/>
              <w:ind w:left="188"/>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Cs w:val="20"/>
              </w:rPr>
            </w:pPr>
            <w:r w:rsidRPr="00C64064">
              <w:rPr>
                <w:rFonts w:asciiTheme="majorHAnsi" w:hAnsiTheme="majorHAnsi" w:cstheme="majorHAnsi"/>
                <w:szCs w:val="20"/>
              </w:rPr>
              <w:t>137,132</w:t>
            </w:r>
            <w:r w:rsidRPr="00C64064">
              <w:rPr>
                <w:rFonts w:asciiTheme="majorHAnsi" w:hAnsiTheme="majorHAnsi" w:cstheme="majorHAnsi"/>
                <w:b w:val="0"/>
                <w:bCs w:val="0"/>
                <w:szCs w:val="20"/>
              </w:rPr>
              <w:br/>
              <w:t xml:space="preserve">tonnes of carbon dioxide emissions reduced  </w:t>
            </w:r>
          </w:p>
        </w:tc>
      </w:tr>
      <w:tr w:rsidR="00772A96" w:rsidRPr="00C64064" w14:paraId="36DC3345" w14:textId="77777777" w:rsidTr="00772A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 w:type="dxa"/>
          </w:tcPr>
          <w:p w14:paraId="5E8C359F" w14:textId="6B05EFF3" w:rsidR="00772A96" w:rsidRPr="00C64064" w:rsidRDefault="00772A96" w:rsidP="00EE453C">
            <w:pPr>
              <w:spacing w:before="100" w:after="100"/>
              <w:ind w:left="188"/>
              <w:rPr>
                <w:rFonts w:asciiTheme="majorHAnsi" w:hAnsiTheme="majorHAnsi" w:cstheme="majorHAnsi"/>
                <w:b w:val="0"/>
                <w:bCs w:val="0"/>
                <w:sz w:val="32"/>
                <w:szCs w:val="32"/>
              </w:rPr>
            </w:pPr>
            <w:r>
              <w:rPr>
                <w:noProof/>
              </w:rPr>
              <w:drawing>
                <wp:inline distT="0" distB="0" distL="0" distR="0" wp14:anchorId="46FD5451" wp14:editId="104C0FB3">
                  <wp:extent cx="349250" cy="338667"/>
                  <wp:effectExtent l="0" t="0" r="0" b="4445"/>
                  <wp:docPr id="385767131" name="Graphic 37" descr="Uthamy Sary, MSc, Coordinator of the Bilateral Funding Directorate, Bappenas reflecting on PRISMA’s impact during a field visit in Ju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767131" name="Graphic 37" descr="Uthamy Sary, MSc, Coordinator of the Bilateral Funding Directorate, Bappenas reflecting on PRISMA’s impact during a field visit in July. "/>
                          <pic:cNvPicPr/>
                        </pic:nvPicPr>
                        <pic:blipFill>
                          <a:blip r:embed="rId36">
                            <a:extLst>
                              <a:ext uri="{96DAC541-7B7A-43D3-8B79-37D633B846F1}">
                                <asvg:svgBlip xmlns:asvg="http://schemas.microsoft.com/office/drawing/2016/SVG/main" r:embed="rId37"/>
                              </a:ext>
                            </a:extLst>
                          </a:blip>
                          <a:stretch>
                            <a:fillRect/>
                          </a:stretch>
                        </pic:blipFill>
                        <pic:spPr>
                          <a:xfrm>
                            <a:off x="0" y="0"/>
                            <a:ext cx="356150" cy="345358"/>
                          </a:xfrm>
                          <a:prstGeom prst="rect">
                            <a:avLst/>
                          </a:prstGeom>
                        </pic:spPr>
                      </pic:pic>
                    </a:graphicData>
                  </a:graphic>
                </wp:inline>
              </w:drawing>
            </w:r>
          </w:p>
        </w:tc>
        <w:tc>
          <w:tcPr>
            <w:tcW w:w="8684" w:type="dxa"/>
          </w:tcPr>
          <w:p w14:paraId="43F205FA" w14:textId="77777777" w:rsidR="00772A96" w:rsidRPr="00C64064" w:rsidRDefault="00772A96" w:rsidP="00EE453C">
            <w:pPr>
              <w:spacing w:before="100" w:after="100"/>
              <w:ind w:left="188"/>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C64064">
              <w:rPr>
                <w:rFonts w:asciiTheme="majorHAnsi" w:hAnsiTheme="majorHAnsi" w:cstheme="majorHAnsi"/>
                <w:b/>
                <w:bCs/>
              </w:rPr>
              <w:t>2,027,180</w:t>
            </w:r>
            <w:r w:rsidRPr="00C64064">
              <w:rPr>
                <w:rFonts w:asciiTheme="majorHAnsi" w:hAnsiTheme="majorHAnsi" w:cstheme="majorHAnsi"/>
              </w:rPr>
              <w:t xml:space="preserve"> </w:t>
            </w:r>
            <w:r w:rsidRPr="00C64064">
              <w:rPr>
                <w:rFonts w:asciiTheme="majorHAnsi" w:hAnsiTheme="majorHAnsi" w:cstheme="majorHAnsi"/>
              </w:rPr>
              <w:br/>
              <w:t xml:space="preserve">smallholder farmers contributed to emission reductions </w:t>
            </w:r>
          </w:p>
        </w:tc>
      </w:tr>
      <w:tr w:rsidR="00772A96" w:rsidRPr="00C64064" w14:paraId="72DC7C62" w14:textId="77777777" w:rsidTr="00772A96">
        <w:tc>
          <w:tcPr>
            <w:cnfStyle w:val="001000000000" w:firstRow="0" w:lastRow="0" w:firstColumn="1" w:lastColumn="0" w:oddVBand="0" w:evenVBand="0" w:oddHBand="0" w:evenHBand="0" w:firstRowFirstColumn="0" w:firstRowLastColumn="0" w:lastRowFirstColumn="0" w:lastRowLastColumn="0"/>
            <w:tcW w:w="954" w:type="dxa"/>
          </w:tcPr>
          <w:p w14:paraId="38A7A3AD" w14:textId="69DAB747" w:rsidR="00772A96" w:rsidRPr="00C64064" w:rsidRDefault="00772A96" w:rsidP="00EE453C">
            <w:pPr>
              <w:spacing w:before="100" w:after="100"/>
              <w:ind w:left="188"/>
              <w:rPr>
                <w:rFonts w:asciiTheme="majorHAnsi" w:hAnsiTheme="majorHAnsi" w:cstheme="majorHAnsi"/>
                <w:noProof/>
                <w:szCs w:val="20"/>
              </w:rPr>
            </w:pPr>
            <w:r>
              <w:rPr>
                <w:noProof/>
              </w:rPr>
              <w:drawing>
                <wp:inline distT="0" distB="0" distL="0" distR="0" wp14:anchorId="17E3480B" wp14:editId="42145871">
                  <wp:extent cx="294323" cy="342900"/>
                  <wp:effectExtent l="0" t="0" r="0" b="0"/>
                  <wp:docPr id="1595879311" name="Graphic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879311" name="Graphic 38">
                            <a:extLst>
                              <a:ext uri="{C183D7F6-B498-43B3-948B-1728B52AA6E4}">
                                <adec:decorative xmlns:adec="http://schemas.microsoft.com/office/drawing/2017/decorative" val="1"/>
                              </a:ext>
                            </a:extLst>
                          </pic:cNvPr>
                          <pic:cNvPicPr/>
                        </pic:nvPicPr>
                        <pic:blipFill>
                          <a:blip r:embed="rId38">
                            <a:extLst>
                              <a:ext uri="{96DAC541-7B7A-43D3-8B79-37D633B846F1}">
                                <asvg:svgBlip xmlns:asvg="http://schemas.microsoft.com/office/drawing/2016/SVG/main" r:embed="rId39"/>
                              </a:ext>
                            </a:extLst>
                          </a:blip>
                          <a:stretch>
                            <a:fillRect/>
                          </a:stretch>
                        </pic:blipFill>
                        <pic:spPr>
                          <a:xfrm>
                            <a:off x="0" y="0"/>
                            <a:ext cx="296876" cy="345874"/>
                          </a:xfrm>
                          <a:prstGeom prst="rect">
                            <a:avLst/>
                          </a:prstGeom>
                        </pic:spPr>
                      </pic:pic>
                    </a:graphicData>
                  </a:graphic>
                </wp:inline>
              </w:drawing>
            </w:r>
          </w:p>
        </w:tc>
        <w:tc>
          <w:tcPr>
            <w:tcW w:w="8684" w:type="dxa"/>
          </w:tcPr>
          <w:p w14:paraId="123EF3E0" w14:textId="77777777" w:rsidR="00772A96" w:rsidRDefault="00772A96" w:rsidP="00EE453C">
            <w:pPr>
              <w:spacing w:before="100" w:after="100"/>
              <w:ind w:left="188"/>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rPr>
            </w:pPr>
            <w:r>
              <w:rPr>
                <w:rFonts w:asciiTheme="majorHAnsi" w:hAnsiTheme="majorHAnsi" w:cstheme="majorHAnsi"/>
                <w:b/>
                <w:bCs/>
              </w:rPr>
              <w:t>3 case studies</w:t>
            </w:r>
          </w:p>
          <w:p w14:paraId="141E8B8E" w14:textId="4B415459" w:rsidR="00772A96" w:rsidRPr="00B22A19" w:rsidRDefault="00772A96" w:rsidP="00EE453C">
            <w:pPr>
              <w:spacing w:before="100" w:after="100"/>
              <w:ind w:left="188"/>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On c</w:t>
            </w:r>
            <w:r w:rsidRPr="00B22A19">
              <w:rPr>
                <w:rFonts w:asciiTheme="majorHAnsi" w:hAnsiTheme="majorHAnsi" w:cstheme="majorHAnsi"/>
              </w:rPr>
              <w:t>limate</w:t>
            </w:r>
            <w:r w:rsidR="00872633">
              <w:rPr>
                <w:rFonts w:asciiTheme="majorHAnsi" w:hAnsiTheme="majorHAnsi" w:cstheme="majorHAnsi"/>
              </w:rPr>
              <w:t>-</w:t>
            </w:r>
            <w:r w:rsidRPr="00B22A19">
              <w:rPr>
                <w:rFonts w:asciiTheme="majorHAnsi" w:hAnsiTheme="majorHAnsi" w:cstheme="majorHAnsi"/>
              </w:rPr>
              <w:t xml:space="preserve">smart agriculture </w:t>
            </w:r>
          </w:p>
        </w:tc>
      </w:tr>
      <w:tr w:rsidR="00772A96" w:rsidRPr="00C64064" w14:paraId="2130E418" w14:textId="77777777" w:rsidTr="00772A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 w:type="dxa"/>
          </w:tcPr>
          <w:p w14:paraId="0F9CA57B" w14:textId="306A4E40" w:rsidR="00772A96" w:rsidRPr="00C64064" w:rsidRDefault="00772A96" w:rsidP="00EE453C">
            <w:pPr>
              <w:spacing w:before="100" w:after="100"/>
              <w:ind w:left="188"/>
              <w:rPr>
                <w:rFonts w:asciiTheme="majorHAnsi" w:hAnsiTheme="majorHAnsi" w:cstheme="majorHAnsi"/>
                <w:noProof/>
                <w:szCs w:val="20"/>
              </w:rPr>
            </w:pPr>
            <w:r>
              <w:rPr>
                <w:noProof/>
              </w:rPr>
              <w:drawing>
                <wp:inline distT="0" distB="0" distL="0" distR="0" wp14:anchorId="573AC436" wp14:editId="2191D08D">
                  <wp:extent cx="338490" cy="368300"/>
                  <wp:effectExtent l="0" t="0" r="4445" b="0"/>
                  <wp:docPr id="1166789635"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789635" name="Graphic 39">
                            <a:extLst>
                              <a:ext uri="{C183D7F6-B498-43B3-948B-1728B52AA6E4}">
                                <adec:decorative xmlns:adec="http://schemas.microsoft.com/office/drawing/2017/decorative" val="1"/>
                              </a:ext>
                            </a:extLst>
                          </pic:cNvPr>
                          <pic:cNvPicPr/>
                        </pic:nvPicPr>
                        <pic:blipFill>
                          <a:blip r:embed="rId40">
                            <a:extLst>
                              <a:ext uri="{96DAC541-7B7A-43D3-8B79-37D633B846F1}">
                                <asvg:svgBlip xmlns:asvg="http://schemas.microsoft.com/office/drawing/2016/SVG/main" r:embed="rId41"/>
                              </a:ext>
                            </a:extLst>
                          </a:blip>
                          <a:stretch>
                            <a:fillRect/>
                          </a:stretch>
                        </pic:blipFill>
                        <pic:spPr>
                          <a:xfrm>
                            <a:off x="0" y="0"/>
                            <a:ext cx="341256" cy="371310"/>
                          </a:xfrm>
                          <a:prstGeom prst="rect">
                            <a:avLst/>
                          </a:prstGeom>
                        </pic:spPr>
                      </pic:pic>
                    </a:graphicData>
                  </a:graphic>
                </wp:inline>
              </w:drawing>
            </w:r>
          </w:p>
        </w:tc>
        <w:tc>
          <w:tcPr>
            <w:tcW w:w="8684" w:type="dxa"/>
          </w:tcPr>
          <w:p w14:paraId="07850620" w14:textId="77777777" w:rsidR="00772A96" w:rsidRDefault="00772A96" w:rsidP="00EE453C">
            <w:pPr>
              <w:spacing w:before="100" w:after="100"/>
              <w:ind w:left="188"/>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rPr>
            </w:pPr>
            <w:r>
              <w:rPr>
                <w:rFonts w:asciiTheme="majorHAnsi" w:hAnsiTheme="majorHAnsi" w:cstheme="majorHAnsi"/>
                <w:b/>
                <w:bCs/>
              </w:rPr>
              <w:t>2 events</w:t>
            </w:r>
          </w:p>
          <w:p w14:paraId="1548B412" w14:textId="77777777" w:rsidR="00772A96" w:rsidRPr="00734EA3" w:rsidRDefault="00772A96" w:rsidP="00EE453C">
            <w:pPr>
              <w:spacing w:before="100" w:after="100"/>
              <w:ind w:left="188"/>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 xml:space="preserve">1 </w:t>
            </w:r>
            <w:r w:rsidRPr="00734EA3">
              <w:rPr>
                <w:rFonts w:asciiTheme="majorHAnsi" w:hAnsiTheme="majorHAnsi" w:cstheme="majorHAnsi"/>
              </w:rPr>
              <w:t>National event</w:t>
            </w:r>
            <w:r>
              <w:rPr>
                <w:rFonts w:asciiTheme="majorHAnsi" w:hAnsiTheme="majorHAnsi" w:cstheme="majorHAnsi"/>
              </w:rPr>
              <w:t xml:space="preserve"> and 1 climate smart seed launch</w:t>
            </w:r>
            <w:r w:rsidRPr="00734EA3">
              <w:rPr>
                <w:rFonts w:asciiTheme="majorHAnsi" w:hAnsiTheme="majorHAnsi" w:cstheme="majorHAnsi"/>
              </w:rPr>
              <w:t xml:space="preserve"> </w:t>
            </w:r>
          </w:p>
        </w:tc>
      </w:tr>
    </w:tbl>
    <w:p w14:paraId="3EB24F98" w14:textId="77777777" w:rsidR="00BA042A" w:rsidRPr="00C64064" w:rsidRDefault="00BA042A" w:rsidP="00C77C8C">
      <w:pPr>
        <w:rPr>
          <w:rFonts w:asciiTheme="majorHAnsi" w:hAnsiTheme="majorHAnsi" w:cstheme="majorHAnsi"/>
          <w:b/>
          <w:sz w:val="24"/>
          <w:szCs w:val="24"/>
        </w:rPr>
      </w:pPr>
    </w:p>
    <w:p w14:paraId="576B482D" w14:textId="58E9AB7B" w:rsidR="00F14CD8" w:rsidRDefault="00F14CD8" w:rsidP="5583D54B">
      <w:pPr>
        <w:spacing w:line="276" w:lineRule="auto"/>
        <w:rPr>
          <w:rFonts w:asciiTheme="majorHAnsi" w:hAnsiTheme="majorHAnsi" w:cstheme="majorBidi"/>
        </w:rPr>
      </w:pPr>
      <w:r w:rsidRPr="00C64064">
        <w:rPr>
          <w:rFonts w:asciiTheme="majorHAnsi" w:hAnsiTheme="majorHAnsi" w:cstheme="majorHAnsi"/>
          <w:noProof/>
        </w:rPr>
        <w:drawing>
          <wp:inline distT="0" distB="0" distL="0" distR="0" wp14:anchorId="6C0BE167" wp14:editId="2458F5FE">
            <wp:extent cx="342979" cy="342979"/>
            <wp:effectExtent l="0" t="0" r="0" b="0"/>
            <wp:docPr id="1735672388" name="Picture 17356723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672388" name="Picture 1735672388">
                      <a:extLst>
                        <a:ext uri="{C183D7F6-B498-43B3-948B-1728B52AA6E4}">
                          <adec:decorative xmlns:adec="http://schemas.microsoft.com/office/drawing/2017/decorative" val="1"/>
                        </a:ext>
                      </a:extLst>
                    </pic:cNvPr>
                    <pic:cNvPicPr/>
                  </pic:nvPicPr>
                  <pic:blipFill>
                    <a:blip r:embed="rId42" cstate="email">
                      <a:extLst>
                        <a:ext uri="{28A0092B-C50C-407E-A947-70E740481C1C}">
                          <a14:useLocalDpi xmlns:a14="http://schemas.microsoft.com/office/drawing/2010/main"/>
                        </a:ext>
                      </a:extLst>
                    </a:blip>
                    <a:stretch>
                      <a:fillRect/>
                    </a:stretch>
                  </pic:blipFill>
                  <pic:spPr>
                    <a:xfrm>
                      <a:off x="0" y="0"/>
                      <a:ext cx="342979" cy="342979"/>
                    </a:xfrm>
                    <a:prstGeom prst="rect">
                      <a:avLst/>
                    </a:prstGeom>
                  </pic:spPr>
                </pic:pic>
              </a:graphicData>
            </a:graphic>
          </wp:inline>
        </w:drawing>
      </w:r>
      <w:r w:rsidR="00D90647" w:rsidRPr="5583D54B">
        <w:rPr>
          <w:rFonts w:asciiTheme="majorHAnsi" w:hAnsiTheme="majorHAnsi" w:cstheme="majorBidi"/>
          <w:b/>
          <w:bCs/>
          <w:color w:val="02616F" w:themeColor="accent1" w:themeShade="80"/>
        </w:rPr>
        <w:t>A feed supplement with</w:t>
      </w:r>
      <w:r w:rsidR="00732A12" w:rsidRPr="5583D54B">
        <w:rPr>
          <w:rFonts w:asciiTheme="majorHAnsi" w:hAnsiTheme="majorHAnsi" w:cstheme="majorBidi"/>
          <w:b/>
          <w:bCs/>
          <w:color w:val="02616F" w:themeColor="accent1" w:themeShade="80"/>
        </w:rPr>
        <w:t xml:space="preserve"> potential </w:t>
      </w:r>
      <w:r w:rsidRPr="00C64064">
        <w:rPr>
          <w:rFonts w:asciiTheme="majorHAnsi" w:hAnsiTheme="majorHAnsi" w:cstheme="majorHAnsi"/>
        </w:rPr>
        <w:br/>
      </w:r>
      <w:r w:rsidR="00FB3561" w:rsidRPr="5583D54B">
        <w:rPr>
          <w:rFonts w:asciiTheme="majorHAnsi" w:hAnsiTheme="majorHAnsi" w:cstheme="majorBidi"/>
        </w:rPr>
        <w:t xml:space="preserve">Smallholder </w:t>
      </w:r>
      <w:r w:rsidR="00F34543" w:rsidRPr="5583D54B">
        <w:rPr>
          <w:rFonts w:asciiTheme="majorHAnsi" w:hAnsiTheme="majorHAnsi" w:cstheme="majorBidi"/>
        </w:rPr>
        <w:t xml:space="preserve">beef and dairy farmers have had a </w:t>
      </w:r>
      <w:r w:rsidR="00837F41" w:rsidRPr="5583D54B">
        <w:rPr>
          <w:rFonts w:asciiTheme="majorHAnsi" w:hAnsiTheme="majorHAnsi" w:cstheme="majorBidi"/>
        </w:rPr>
        <w:t>tumultuous</w:t>
      </w:r>
      <w:r w:rsidR="00F34543" w:rsidRPr="5583D54B">
        <w:rPr>
          <w:rFonts w:asciiTheme="majorHAnsi" w:hAnsiTheme="majorHAnsi" w:cstheme="majorBidi"/>
        </w:rPr>
        <w:t xml:space="preserve"> few years, battling </w:t>
      </w:r>
      <w:r w:rsidR="00EC31D6" w:rsidRPr="5583D54B">
        <w:rPr>
          <w:rFonts w:asciiTheme="majorHAnsi" w:hAnsiTheme="majorHAnsi" w:cstheme="majorBidi"/>
        </w:rPr>
        <w:t>foot and mouth</w:t>
      </w:r>
      <w:r w:rsidR="00F34543" w:rsidRPr="5583D54B">
        <w:rPr>
          <w:rFonts w:asciiTheme="majorHAnsi" w:hAnsiTheme="majorHAnsi" w:cstheme="majorBidi"/>
        </w:rPr>
        <w:t xml:space="preserve"> and lumpy skin disease. </w:t>
      </w:r>
      <w:r w:rsidR="00837F41" w:rsidRPr="5583D54B">
        <w:rPr>
          <w:rFonts w:asciiTheme="majorHAnsi" w:hAnsiTheme="majorHAnsi" w:cstheme="majorBidi"/>
        </w:rPr>
        <w:t xml:space="preserve">Hard-fought wins in productivity have been lost in the battle with </w:t>
      </w:r>
      <w:r w:rsidR="00EC31D6" w:rsidRPr="5583D54B">
        <w:rPr>
          <w:rFonts w:asciiTheme="majorHAnsi" w:hAnsiTheme="majorHAnsi" w:cstheme="majorBidi"/>
        </w:rPr>
        <w:t xml:space="preserve">these </w:t>
      </w:r>
      <w:r w:rsidR="00837F41" w:rsidRPr="5583D54B">
        <w:rPr>
          <w:rFonts w:asciiTheme="majorHAnsi" w:hAnsiTheme="majorHAnsi" w:cstheme="majorBidi"/>
        </w:rPr>
        <w:t xml:space="preserve">animal diseases. </w:t>
      </w:r>
      <w:r w:rsidR="006146AA" w:rsidRPr="5583D54B">
        <w:rPr>
          <w:rFonts w:asciiTheme="majorHAnsi" w:hAnsiTheme="majorHAnsi" w:cstheme="majorBidi"/>
        </w:rPr>
        <w:t xml:space="preserve">PRISMA </w:t>
      </w:r>
      <w:r w:rsidR="001459A0" w:rsidRPr="5583D54B">
        <w:rPr>
          <w:rFonts w:asciiTheme="majorHAnsi" w:hAnsiTheme="majorHAnsi" w:cstheme="majorBidi"/>
        </w:rPr>
        <w:t>r</w:t>
      </w:r>
      <w:r w:rsidR="000E1526" w:rsidRPr="5583D54B">
        <w:rPr>
          <w:rFonts w:asciiTheme="majorHAnsi" w:hAnsiTheme="majorHAnsi" w:cstheme="majorBidi"/>
        </w:rPr>
        <w:t>ecognis</w:t>
      </w:r>
      <w:r w:rsidR="001459A0" w:rsidRPr="5583D54B">
        <w:rPr>
          <w:rFonts w:asciiTheme="majorHAnsi" w:hAnsiTheme="majorHAnsi" w:cstheme="majorBidi"/>
        </w:rPr>
        <w:t>e</w:t>
      </w:r>
      <w:r w:rsidR="00B9079C" w:rsidRPr="5583D54B">
        <w:rPr>
          <w:rFonts w:asciiTheme="majorHAnsi" w:hAnsiTheme="majorHAnsi" w:cstheme="majorBidi"/>
        </w:rPr>
        <w:t>d</w:t>
      </w:r>
      <w:r w:rsidR="000E1526" w:rsidRPr="5583D54B">
        <w:rPr>
          <w:rFonts w:asciiTheme="majorHAnsi" w:hAnsiTheme="majorHAnsi" w:cstheme="majorBidi"/>
        </w:rPr>
        <w:t xml:space="preserve"> the potential</w:t>
      </w:r>
      <w:r w:rsidR="00732A12" w:rsidRPr="5583D54B">
        <w:rPr>
          <w:rFonts w:asciiTheme="majorHAnsi" w:hAnsiTheme="majorHAnsi" w:cstheme="majorBidi"/>
        </w:rPr>
        <w:t xml:space="preserve"> of Australian technology company AgCoTech’s</w:t>
      </w:r>
      <w:r w:rsidR="006146AA" w:rsidRPr="5583D54B">
        <w:rPr>
          <w:rFonts w:asciiTheme="majorHAnsi" w:hAnsiTheme="majorHAnsi" w:cstheme="majorBidi"/>
        </w:rPr>
        <w:t xml:space="preserve"> </w:t>
      </w:r>
      <w:r w:rsidR="00732A12" w:rsidRPr="5583D54B">
        <w:rPr>
          <w:rFonts w:asciiTheme="majorHAnsi" w:hAnsiTheme="majorHAnsi" w:cstheme="majorBidi"/>
        </w:rPr>
        <w:t xml:space="preserve">feed </w:t>
      </w:r>
      <w:r w:rsidR="00EC31D6" w:rsidRPr="5583D54B">
        <w:rPr>
          <w:rFonts w:asciiTheme="majorHAnsi" w:hAnsiTheme="majorHAnsi" w:cstheme="majorBidi"/>
        </w:rPr>
        <w:t>innovation</w:t>
      </w:r>
      <w:r w:rsidR="009F165C" w:rsidRPr="5583D54B">
        <w:rPr>
          <w:rFonts w:asciiTheme="majorHAnsi" w:hAnsiTheme="majorHAnsi" w:cstheme="majorBidi"/>
        </w:rPr>
        <w:t>,</w:t>
      </w:r>
      <w:r w:rsidR="00E11ABC" w:rsidRPr="5583D54B">
        <w:rPr>
          <w:rFonts w:asciiTheme="majorHAnsi" w:hAnsiTheme="majorHAnsi" w:cstheme="majorBidi"/>
        </w:rPr>
        <w:t xml:space="preserve"> the emission control blocks</w:t>
      </w:r>
      <w:r w:rsidR="00732A12" w:rsidRPr="5583D54B">
        <w:rPr>
          <w:rFonts w:asciiTheme="majorHAnsi" w:hAnsiTheme="majorHAnsi" w:cstheme="majorBidi"/>
        </w:rPr>
        <w:t xml:space="preserve"> and backed further trials this semester. </w:t>
      </w:r>
      <w:r w:rsidR="00E11ABC" w:rsidRPr="5583D54B">
        <w:rPr>
          <w:rFonts w:asciiTheme="majorHAnsi" w:hAnsiTheme="majorHAnsi" w:cstheme="majorBidi"/>
        </w:rPr>
        <w:t>The trials demonstra</w:t>
      </w:r>
      <w:r w:rsidR="00B9079C" w:rsidRPr="5583D54B">
        <w:rPr>
          <w:rFonts w:asciiTheme="majorHAnsi" w:hAnsiTheme="majorHAnsi" w:cstheme="majorBidi"/>
        </w:rPr>
        <w:t>ted</w:t>
      </w:r>
      <w:r w:rsidR="00E11ABC" w:rsidRPr="5583D54B">
        <w:rPr>
          <w:rFonts w:asciiTheme="majorHAnsi" w:hAnsiTheme="majorHAnsi" w:cstheme="majorBidi"/>
        </w:rPr>
        <w:t xml:space="preserve"> how the</w:t>
      </w:r>
      <w:r w:rsidRPr="5583D54B">
        <w:rPr>
          <w:rFonts w:asciiTheme="majorHAnsi" w:hAnsiTheme="majorHAnsi" w:cstheme="majorBidi"/>
        </w:rPr>
        <w:t xml:space="preserve"> innovative feed supplement can reduce greenhouse gas emissions by up to 18%</w:t>
      </w:r>
      <w:r w:rsidR="00816D43" w:rsidRPr="5583D54B">
        <w:rPr>
          <w:rFonts w:asciiTheme="majorHAnsi" w:hAnsiTheme="majorHAnsi" w:cstheme="majorBidi"/>
        </w:rPr>
        <w:t xml:space="preserve"> and</w:t>
      </w:r>
      <w:r w:rsidRPr="5583D54B">
        <w:rPr>
          <w:rFonts w:asciiTheme="majorHAnsi" w:hAnsiTheme="majorHAnsi" w:cstheme="majorBidi"/>
        </w:rPr>
        <w:t xml:space="preserve"> boost product</w:t>
      </w:r>
      <w:r w:rsidR="00816D43" w:rsidRPr="5583D54B">
        <w:rPr>
          <w:rFonts w:asciiTheme="majorHAnsi" w:hAnsiTheme="majorHAnsi" w:cstheme="majorBidi"/>
        </w:rPr>
        <w:t>ivi</w:t>
      </w:r>
      <w:r w:rsidRPr="5583D54B">
        <w:rPr>
          <w:rFonts w:asciiTheme="majorHAnsi" w:hAnsiTheme="majorHAnsi" w:cstheme="majorBidi"/>
        </w:rPr>
        <w:t>ty and incom</w:t>
      </w:r>
      <w:r w:rsidR="00816D43" w:rsidRPr="5583D54B">
        <w:rPr>
          <w:rFonts w:asciiTheme="majorHAnsi" w:hAnsiTheme="majorHAnsi" w:cstheme="majorBidi"/>
        </w:rPr>
        <w:t>e</w:t>
      </w:r>
      <w:r w:rsidR="00E11ABC" w:rsidRPr="5583D54B">
        <w:rPr>
          <w:rFonts w:asciiTheme="majorHAnsi" w:hAnsiTheme="majorHAnsi" w:cstheme="majorBidi"/>
        </w:rPr>
        <w:t xml:space="preserve"> for smallholder farmers</w:t>
      </w:r>
      <w:r w:rsidR="00816D43" w:rsidRPr="5583D54B">
        <w:rPr>
          <w:rFonts w:asciiTheme="majorHAnsi" w:hAnsiTheme="majorHAnsi" w:cstheme="majorBidi"/>
        </w:rPr>
        <w:t>.</w:t>
      </w:r>
      <w:r w:rsidR="00E11ABC" w:rsidRPr="5583D54B">
        <w:rPr>
          <w:rFonts w:asciiTheme="majorHAnsi" w:hAnsiTheme="majorHAnsi" w:cstheme="majorBidi"/>
        </w:rPr>
        <w:t xml:space="preserve"> AgCoTech will use the data from the trials to further develop the business model in Indonesia. </w:t>
      </w:r>
    </w:p>
    <w:p w14:paraId="26285D43" w14:textId="731C1E18" w:rsidR="00F87FA8" w:rsidRPr="00C64064" w:rsidRDefault="004C4234" w:rsidP="5583D54B">
      <w:pPr>
        <w:spacing w:line="276" w:lineRule="auto"/>
        <w:rPr>
          <w:rFonts w:asciiTheme="majorHAnsi" w:hAnsiTheme="majorHAnsi" w:cstheme="majorBidi"/>
        </w:rPr>
      </w:pPr>
      <w:r w:rsidRPr="00C64064">
        <w:rPr>
          <w:rFonts w:asciiTheme="majorHAnsi" w:hAnsiTheme="majorHAnsi" w:cstheme="majorHAnsi"/>
          <w:noProof/>
        </w:rPr>
        <w:lastRenderedPageBreak/>
        <mc:AlternateContent>
          <mc:Choice Requires="wps">
            <w:drawing>
              <wp:anchor distT="0" distB="0" distL="114300" distR="114300" simplePos="0" relativeHeight="251641344" behindDoc="0" locked="0" layoutInCell="1" allowOverlap="1" wp14:anchorId="49BCDA56" wp14:editId="600EF30E">
                <wp:simplePos x="0" y="0"/>
                <wp:positionH relativeFrom="margin">
                  <wp:posOffset>-14193</wp:posOffset>
                </wp:positionH>
                <wp:positionV relativeFrom="paragraph">
                  <wp:posOffset>3202305</wp:posOffset>
                </wp:positionV>
                <wp:extent cx="6119495" cy="1371600"/>
                <wp:effectExtent l="0" t="0" r="0" b="0"/>
                <wp:wrapNone/>
                <wp:docPr id="1672299828" name="Text Box 16722998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119495" cy="1371600"/>
                        </a:xfrm>
                        <a:prstGeom prst="rect">
                          <a:avLst/>
                        </a:prstGeom>
                        <a:solidFill>
                          <a:srgbClr val="252C66"/>
                        </a:solidFill>
                        <a:ln w="6350">
                          <a:noFill/>
                        </a:ln>
                      </wps:spPr>
                      <wps:txbx>
                        <w:txbxContent>
                          <w:p w14:paraId="2D3F9AAB" w14:textId="77777777" w:rsidR="00F14CD8" w:rsidRPr="001B5A11" w:rsidRDefault="00F14CD8" w:rsidP="00F14CD8">
                            <w:pPr>
                              <w:pStyle w:val="Header"/>
                              <w:spacing w:after="200"/>
                              <w:textAlignment w:val="baseline"/>
                              <w:rPr>
                                <w:rStyle w:val="Hyperlink"/>
                                <w:rFonts w:cs="Arial"/>
                                <w:i/>
                                <w:iCs/>
                                <w:color w:val="FFFFFF" w:themeColor="background1"/>
                                <w:lang w:val="en-US"/>
                              </w:rPr>
                            </w:pPr>
                            <w:r w:rsidRPr="001B5A11">
                              <w:rPr>
                                <w:rFonts w:cs="Arial"/>
                                <w:i/>
                                <w:iCs/>
                                <w:noProof/>
                                <w:color w:val="FFFFFF" w:themeColor="background1"/>
                                <w:lang w:val="en-US"/>
                              </w:rPr>
                              <w:drawing>
                                <wp:inline distT="0" distB="0" distL="0" distR="0" wp14:anchorId="7690133C" wp14:editId="103EE1DB">
                                  <wp:extent cx="228600" cy="228600"/>
                                  <wp:effectExtent l="0" t="0" r="0" b="0"/>
                                  <wp:docPr id="225590775" name="Graphic 2255907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566197"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228600" cy="228600"/>
                                          </a:xfrm>
                                          <a:prstGeom prst="rect">
                                            <a:avLst/>
                                          </a:prstGeom>
                                        </pic:spPr>
                                      </pic:pic>
                                    </a:graphicData>
                                  </a:graphic>
                                </wp:inline>
                              </w:drawing>
                            </w:r>
                          </w:p>
                          <w:p w14:paraId="0CE3AF26" w14:textId="1B0F1670" w:rsidR="00F14CD8" w:rsidRPr="00B70256" w:rsidRDefault="0010268D" w:rsidP="00F14CD8">
                            <w:pPr>
                              <w:pStyle w:val="Header"/>
                              <w:spacing w:after="200"/>
                              <w:textAlignment w:val="baseline"/>
                              <w:rPr>
                                <w:rFonts w:cs="Arial"/>
                                <w:b/>
                                <w:bCs/>
                                <w:color w:val="FFFFFF" w:themeColor="background1"/>
                                <w:szCs w:val="20"/>
                                <w:lang w:val="en-US"/>
                              </w:rPr>
                            </w:pPr>
                            <w:r w:rsidRPr="0010268D">
                              <w:rPr>
                                <w:rFonts w:eastAsia="Times New Roman" w:cs="Arial"/>
                                <w:color w:val="FFFFFF" w:themeColor="background1"/>
                                <w:sz w:val="24"/>
                                <w:szCs w:val="24"/>
                                <w:lang w:val="en-US" w:eastAsia="en-ID"/>
                              </w:rPr>
                              <w:t>One of our cows was slow to recover from a Foot and Mouth Disease (FMD) infection from last year. After using the blocks, she’s much healthier.</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CDA56" id="Text Box 1672299828" o:spid="_x0000_s1037" type="#_x0000_t202" alt="&quot;&quot;" style="position:absolute;margin-left:-1.1pt;margin-top:252.15pt;width:481.85pt;height:108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" fillcolor="#252c66" stroked="f" strokeweight=".5pt">
                <v:textbox inset="5mm,5mm,5mm,5mm">
                  <w:txbxContent>
                    <w:p w14:paraId="2D3F9AAB" w14:textId="77777777" w:rsidR="00F14CD8" w:rsidRPr="001B5A11" w:rsidRDefault="00F14CD8" w:rsidP="00F14CD8">
                      <w:pPr>
                        <w:pStyle w:val="Header"/>
                        <w:spacing w:after="200"/>
                        <w:textAlignment w:val="baseline"/>
                        <w:rPr>
                          <w:rStyle w:val="Hyperlink"/>
                          <w:rFonts w:cs="Arial"/>
                          <w:i/>
                          <w:iCs/>
                          <w:color w:val="FFFFFF" w:themeColor="background1"/>
                          <w:lang w:val="en-US"/>
                        </w:rPr>
                      </w:pPr>
                      <w:r w:rsidRPr="001B5A11">
                        <w:rPr>
                          <w:rFonts w:cs="Arial"/>
                          <w:i/>
                          <w:iCs/>
                          <w:noProof/>
                          <w:color w:val="FFFFFF" w:themeColor="background1"/>
                          <w:lang w:val="en-US"/>
                        </w:rPr>
                        <w:drawing>
                          <wp:inline distT="0" distB="0" distL="0" distR="0" wp14:anchorId="7690133C" wp14:editId="103EE1DB">
                            <wp:extent cx="228600" cy="228600"/>
                            <wp:effectExtent l="0" t="0" r="0" b="0"/>
                            <wp:docPr id="225590775" name="Graphic 2255907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566197"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228600" cy="228600"/>
                                    </a:xfrm>
                                    <a:prstGeom prst="rect">
                                      <a:avLst/>
                                    </a:prstGeom>
                                  </pic:spPr>
                                </pic:pic>
                              </a:graphicData>
                            </a:graphic>
                          </wp:inline>
                        </w:drawing>
                      </w:r>
                    </w:p>
                    <w:p w14:paraId="0CE3AF26" w14:textId="1B0F1670" w:rsidR="00F14CD8" w:rsidRPr="00B70256" w:rsidRDefault="0010268D" w:rsidP="00F14CD8">
                      <w:pPr>
                        <w:pStyle w:val="Header"/>
                        <w:spacing w:after="200"/>
                        <w:textAlignment w:val="baseline"/>
                        <w:rPr>
                          <w:rFonts w:cs="Arial"/>
                          <w:b/>
                          <w:bCs/>
                          <w:color w:val="FFFFFF" w:themeColor="background1"/>
                          <w:szCs w:val="20"/>
                          <w:lang w:val="en-US"/>
                        </w:rPr>
                      </w:pPr>
                      <w:r w:rsidRPr="0010268D">
                        <w:rPr>
                          <w:rFonts w:eastAsia="Times New Roman" w:cs="Arial"/>
                          <w:color w:val="FFFFFF" w:themeColor="background1"/>
                          <w:sz w:val="24"/>
                          <w:szCs w:val="24"/>
                          <w:lang w:val="en-US" w:eastAsia="en-ID"/>
                        </w:rPr>
                        <w:t>One of our cows was slow to recover from a Foot and Mouth Disease (FMD) infection from last year. After using the blocks, she’s much healthier.</w:t>
                      </w:r>
                    </w:p>
                  </w:txbxContent>
                </v:textbox>
                <w10:wrap anchorx="margin"/>
              </v:shape>
            </w:pict>
          </mc:Fallback>
        </mc:AlternateContent>
      </w:r>
      <w:r w:rsidR="00F87FA8">
        <w:rPr>
          <w:rFonts w:asciiTheme="majorHAnsi" w:hAnsiTheme="majorHAnsi" w:cstheme="majorBidi"/>
          <w:noProof/>
        </w:rPr>
        <w:drawing>
          <wp:inline distT="0" distB="0" distL="0" distR="0" wp14:anchorId="06631C16" wp14:editId="5111274B">
            <wp:extent cx="6107430" cy="3459480"/>
            <wp:effectExtent l="0" t="0" r="7620" b="7620"/>
            <wp:docPr id="1890795706" name="Picture 51" descr="Dairy cow far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795706" name="Picture 51" descr="Dairy cow farme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07430" cy="3459480"/>
                    </a:xfrm>
                    <a:prstGeom prst="rect">
                      <a:avLst/>
                    </a:prstGeom>
                    <a:noFill/>
                    <a:ln>
                      <a:noFill/>
                    </a:ln>
                  </pic:spPr>
                </pic:pic>
              </a:graphicData>
            </a:graphic>
          </wp:inline>
        </w:drawing>
      </w:r>
    </w:p>
    <w:p w14:paraId="7646E759" w14:textId="7BEB8DCB" w:rsidR="000040A4" w:rsidRPr="00C64064" w:rsidRDefault="000040A4" w:rsidP="00C77C8C">
      <w:pPr>
        <w:rPr>
          <w:rFonts w:asciiTheme="majorHAnsi" w:hAnsiTheme="majorHAnsi" w:cstheme="majorHAnsi"/>
          <w:b/>
          <w:sz w:val="24"/>
          <w:szCs w:val="24"/>
        </w:rPr>
      </w:pPr>
    </w:p>
    <w:p w14:paraId="704A75CE" w14:textId="77777777" w:rsidR="0014794B" w:rsidRDefault="0014794B" w:rsidP="00C77C8C">
      <w:pPr>
        <w:rPr>
          <w:rFonts w:asciiTheme="majorHAnsi" w:hAnsiTheme="majorHAnsi" w:cstheme="majorHAnsi"/>
          <w:b/>
          <w:sz w:val="24"/>
          <w:szCs w:val="24"/>
        </w:rPr>
      </w:pPr>
    </w:p>
    <w:p w14:paraId="68961F9B" w14:textId="77777777" w:rsidR="004C4234" w:rsidRDefault="004C4234" w:rsidP="00C77C8C">
      <w:pPr>
        <w:rPr>
          <w:rFonts w:asciiTheme="majorHAnsi" w:hAnsiTheme="majorHAnsi" w:cstheme="majorHAnsi"/>
          <w:b/>
          <w:sz w:val="24"/>
          <w:szCs w:val="24"/>
        </w:rPr>
      </w:pPr>
    </w:p>
    <w:p w14:paraId="4E64FA82" w14:textId="77777777" w:rsidR="004C4234" w:rsidRDefault="004C4234" w:rsidP="00C77C8C">
      <w:pPr>
        <w:rPr>
          <w:rFonts w:asciiTheme="majorHAnsi" w:hAnsiTheme="majorHAnsi" w:cstheme="majorHAnsi"/>
          <w:b/>
          <w:sz w:val="24"/>
          <w:szCs w:val="24"/>
        </w:rPr>
      </w:pPr>
    </w:p>
    <w:p w14:paraId="6993C590" w14:textId="54CCC316" w:rsidR="00C77C8C" w:rsidRPr="00C64064" w:rsidRDefault="00C77C8C" w:rsidP="00C77C8C">
      <w:pPr>
        <w:rPr>
          <w:rFonts w:asciiTheme="majorHAnsi" w:hAnsiTheme="majorHAnsi" w:cstheme="majorHAnsi"/>
          <w:b/>
          <w:bCs/>
        </w:rPr>
      </w:pPr>
      <w:r w:rsidRPr="00C64064">
        <w:rPr>
          <w:rFonts w:asciiTheme="majorHAnsi" w:hAnsiTheme="majorHAnsi" w:cstheme="majorHAnsi"/>
          <w:b/>
          <w:sz w:val="24"/>
          <w:szCs w:val="24"/>
        </w:rPr>
        <w:t>Policy engagement</w:t>
      </w:r>
    </w:p>
    <w:p w14:paraId="74742207" w14:textId="3B46489D" w:rsidR="00E3241F" w:rsidRPr="00C64064" w:rsidRDefault="272603A2" w:rsidP="5583D54B">
      <w:pPr>
        <w:spacing w:before="120"/>
        <w:jc w:val="both"/>
        <w:rPr>
          <w:rFonts w:asciiTheme="majorHAnsi" w:hAnsiTheme="majorHAnsi" w:cstheme="majorBidi"/>
          <w:lang w:val="en-AU"/>
        </w:rPr>
      </w:pPr>
      <w:r w:rsidRPr="5583D54B">
        <w:rPr>
          <w:rFonts w:asciiTheme="majorHAnsi" w:hAnsiTheme="majorHAnsi" w:cstheme="majorBidi"/>
        </w:rPr>
        <w:t>PRISMA supports policy initiatives to inform and influence key decision-makers and</w:t>
      </w:r>
      <w:r w:rsidR="7FDEF21A" w:rsidRPr="5583D54B">
        <w:rPr>
          <w:rFonts w:asciiTheme="majorHAnsi" w:hAnsiTheme="majorHAnsi" w:cstheme="majorBidi"/>
        </w:rPr>
        <w:t xml:space="preserve"> </w:t>
      </w:r>
      <w:r w:rsidRPr="5583D54B">
        <w:rPr>
          <w:rFonts w:asciiTheme="majorHAnsi" w:hAnsiTheme="majorHAnsi" w:cstheme="majorBidi"/>
        </w:rPr>
        <w:t xml:space="preserve">stakeholders using evidence from PRISMA’s interventions. </w:t>
      </w:r>
      <w:r w:rsidR="17DEBD30" w:rsidRPr="5583D54B">
        <w:rPr>
          <w:rFonts w:asciiTheme="majorHAnsi" w:hAnsiTheme="majorHAnsi" w:cstheme="majorBidi"/>
          <w:lang w:val="en-AU"/>
        </w:rPr>
        <w:t>PRISMA focused on 8 high priority policy initiatives (HPPI) this semester to ensure better sustainability.</w:t>
      </w:r>
      <w:r w:rsidR="00E3241F" w:rsidRPr="5583D54B">
        <w:rPr>
          <w:rStyle w:val="EndnoteReference"/>
          <w:rFonts w:asciiTheme="majorHAnsi" w:hAnsiTheme="majorHAnsi" w:cstheme="majorBidi"/>
          <w:lang w:val="en-AU"/>
        </w:rPr>
        <w:endnoteReference w:id="2"/>
      </w:r>
      <w:r w:rsidR="17DEBD30" w:rsidRPr="5583D54B">
        <w:rPr>
          <w:rFonts w:asciiTheme="majorHAnsi" w:hAnsiTheme="majorHAnsi" w:cstheme="majorBidi"/>
          <w:lang w:val="en-AU"/>
        </w:rPr>
        <w:t xml:space="preserve"> These initiatives cover sector-specific policies (beef, dairy, maize, and pig), national and regional government policy planning processes, and embedding the MSD approach in government institutions and universities’ academic programs. </w:t>
      </w:r>
    </w:p>
    <w:p w14:paraId="650F10C2" w14:textId="2E532E7A" w:rsidR="00C77C8C" w:rsidRPr="00C64064" w:rsidRDefault="00C77C8C" w:rsidP="00C77C8C">
      <w:pPr>
        <w:spacing w:line="276" w:lineRule="auto"/>
        <w:ind w:right="560"/>
        <w:rPr>
          <w:rFonts w:asciiTheme="majorHAnsi" w:hAnsiTheme="majorHAnsi" w:cstheme="majorHAnsi"/>
        </w:rPr>
      </w:pPr>
    </w:p>
    <w:tbl>
      <w:tblPr>
        <w:tblStyle w:val="PlainTable2"/>
        <w:tblW w:w="0" w:type="auto"/>
        <w:tblLook w:val="04A0" w:firstRow="1" w:lastRow="0" w:firstColumn="1" w:lastColumn="0" w:noHBand="0" w:noVBand="1"/>
      </w:tblPr>
      <w:tblGrid>
        <w:gridCol w:w="851"/>
        <w:gridCol w:w="8767"/>
      </w:tblGrid>
      <w:tr w:rsidR="00CB0E20" w:rsidRPr="00C64064" w14:paraId="2F014F0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0E02CE74" w14:textId="7DD6A647" w:rsidR="00C77C8C" w:rsidRPr="00C64064" w:rsidRDefault="00C77C8C">
            <w:pPr>
              <w:spacing w:before="100" w:after="100"/>
              <w:ind w:left="188"/>
              <w:rPr>
                <w:rFonts w:asciiTheme="majorHAnsi" w:hAnsiTheme="majorHAnsi" w:cstheme="majorHAnsi"/>
                <w:sz w:val="32"/>
                <w:szCs w:val="32"/>
              </w:rPr>
            </w:pPr>
            <w:r w:rsidRPr="00C64064">
              <w:rPr>
                <w:rFonts w:asciiTheme="majorHAnsi" w:hAnsiTheme="majorHAnsi" w:cstheme="majorHAnsi"/>
                <w:noProof/>
                <w:szCs w:val="20"/>
              </w:rPr>
              <w:drawing>
                <wp:anchor distT="0" distB="0" distL="114300" distR="114300" simplePos="0" relativeHeight="251564544" behindDoc="0" locked="0" layoutInCell="1" allowOverlap="1" wp14:anchorId="3C7CC988" wp14:editId="1A4C4A10">
                  <wp:simplePos x="0" y="0"/>
                  <wp:positionH relativeFrom="column">
                    <wp:posOffset>100542</wp:posOffset>
                  </wp:positionH>
                  <wp:positionV relativeFrom="paragraph">
                    <wp:posOffset>113030</wp:posOffset>
                  </wp:positionV>
                  <wp:extent cx="270000" cy="270000"/>
                  <wp:effectExtent l="0" t="0" r="0" b="0"/>
                  <wp:wrapNone/>
                  <wp:docPr id="981994402" name="Graphic 9819944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46279" name="Graphic 5">
                            <a:extLst>
                              <a:ext uri="{C183D7F6-B498-43B3-948B-1728B52AA6E4}">
                                <adec:decorative xmlns:adec="http://schemas.microsoft.com/office/drawing/2017/decorative" val="1"/>
                              </a:ext>
                            </a:extLst>
                          </pic:cNvPr>
                          <pic:cNvPicPr/>
                        </pic:nvPicPr>
                        <pic:blipFill>
                          <a:blip r:embed="rId44">
                            <a:extLst>
                              <a:ext uri="{96DAC541-7B7A-43D3-8B79-37D633B846F1}">
                                <asvg:svgBlip xmlns:asvg="http://schemas.microsoft.com/office/drawing/2016/SVG/main" r:embed="rId45"/>
                              </a:ext>
                            </a:extLst>
                          </a:blip>
                          <a:stretch>
                            <a:fillRect/>
                          </a:stretch>
                        </pic:blipFill>
                        <pic:spPr>
                          <a:xfrm>
                            <a:off x="0" y="0"/>
                            <a:ext cx="270000" cy="270000"/>
                          </a:xfrm>
                          <a:prstGeom prst="rect">
                            <a:avLst/>
                          </a:prstGeom>
                        </pic:spPr>
                      </pic:pic>
                    </a:graphicData>
                  </a:graphic>
                  <wp14:sizeRelH relativeFrom="page">
                    <wp14:pctWidth>0</wp14:pctWidth>
                  </wp14:sizeRelH>
                  <wp14:sizeRelV relativeFrom="page">
                    <wp14:pctHeight>0</wp14:pctHeight>
                  </wp14:sizeRelV>
                </wp:anchor>
              </w:drawing>
            </w:r>
          </w:p>
        </w:tc>
        <w:tc>
          <w:tcPr>
            <w:tcW w:w="8767" w:type="dxa"/>
          </w:tcPr>
          <w:p w14:paraId="1CB6E1CE" w14:textId="3401A7BF" w:rsidR="00C77C8C" w:rsidRPr="00C64064" w:rsidRDefault="00CB0E20">
            <w:pPr>
              <w:spacing w:before="100" w:after="100"/>
              <w:ind w:left="188"/>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Cs w:val="20"/>
              </w:rPr>
            </w:pPr>
            <w:r w:rsidRPr="00C64064">
              <w:rPr>
                <w:rFonts w:asciiTheme="majorHAnsi" w:hAnsiTheme="majorHAnsi" w:cstheme="majorHAnsi"/>
                <w:sz w:val="32"/>
                <w:szCs w:val="32"/>
              </w:rPr>
              <w:t>48</w:t>
            </w:r>
            <w:r w:rsidR="00C77C8C" w:rsidRPr="00C64064">
              <w:rPr>
                <w:rFonts w:asciiTheme="majorHAnsi" w:hAnsiTheme="majorHAnsi" w:cstheme="majorHAnsi"/>
                <w:b w:val="0"/>
                <w:bCs w:val="0"/>
                <w:szCs w:val="20"/>
              </w:rPr>
              <w:br/>
              <w:t xml:space="preserve">policy initiatives </w:t>
            </w:r>
            <w:r w:rsidR="009D0CB7">
              <w:rPr>
                <w:rFonts w:asciiTheme="majorHAnsi" w:hAnsiTheme="majorHAnsi" w:cstheme="majorHAnsi"/>
                <w:b w:val="0"/>
                <w:bCs w:val="0"/>
                <w:szCs w:val="20"/>
              </w:rPr>
              <w:t>in total with 8 high priority areas to support sustainability</w:t>
            </w:r>
            <w:r w:rsidR="00C77C8C" w:rsidRPr="00C64064">
              <w:rPr>
                <w:rFonts w:asciiTheme="majorHAnsi" w:hAnsiTheme="majorHAnsi" w:cstheme="majorHAnsi"/>
                <w:b w:val="0"/>
                <w:bCs w:val="0"/>
                <w:szCs w:val="20"/>
              </w:rPr>
              <w:t xml:space="preserve"> </w:t>
            </w:r>
          </w:p>
        </w:tc>
      </w:tr>
      <w:tr w:rsidR="00CB0E20" w:rsidRPr="00C64064" w14:paraId="58E9075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60410240" w14:textId="5466E672" w:rsidR="00C77C8C" w:rsidRPr="00C64064" w:rsidRDefault="00C77C8C">
            <w:pPr>
              <w:spacing w:before="100" w:after="100"/>
              <w:ind w:left="188"/>
              <w:rPr>
                <w:rFonts w:asciiTheme="majorHAnsi" w:hAnsiTheme="majorHAnsi" w:cstheme="majorHAnsi"/>
                <w:b w:val="0"/>
                <w:bCs w:val="0"/>
                <w:sz w:val="32"/>
                <w:szCs w:val="32"/>
              </w:rPr>
            </w:pPr>
            <w:r w:rsidRPr="00C64064">
              <w:rPr>
                <w:rFonts w:asciiTheme="majorHAnsi" w:hAnsiTheme="majorHAnsi" w:cstheme="majorHAnsi"/>
                <w:noProof/>
                <w:szCs w:val="20"/>
              </w:rPr>
              <w:drawing>
                <wp:anchor distT="0" distB="0" distL="114300" distR="114300" simplePos="0" relativeHeight="251569664" behindDoc="0" locked="0" layoutInCell="1" allowOverlap="1" wp14:anchorId="7BC2119D" wp14:editId="5F2AB104">
                  <wp:simplePos x="0" y="0"/>
                  <wp:positionH relativeFrom="column">
                    <wp:posOffset>95462</wp:posOffset>
                  </wp:positionH>
                  <wp:positionV relativeFrom="paragraph">
                    <wp:posOffset>101600</wp:posOffset>
                  </wp:positionV>
                  <wp:extent cx="270000" cy="270000"/>
                  <wp:effectExtent l="0" t="0" r="0" b="0"/>
                  <wp:wrapNone/>
                  <wp:docPr id="132711032" name="Graphic 1327110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719796" name="Graphic 5">
                            <a:extLst>
                              <a:ext uri="{C183D7F6-B498-43B3-948B-1728B52AA6E4}">
                                <adec:decorative xmlns:adec="http://schemas.microsoft.com/office/drawing/2017/decorative" val="1"/>
                              </a:ext>
                            </a:extLst>
                          </pic:cNvPr>
                          <pic:cNvPicPr/>
                        </pic:nvPicPr>
                        <pic:blipFill>
                          <a:blip r:embed="rId44">
                            <a:extLst>
                              <a:ext uri="{96DAC541-7B7A-43D3-8B79-37D633B846F1}">
                                <asvg:svgBlip xmlns:asvg="http://schemas.microsoft.com/office/drawing/2016/SVG/main" r:embed="rId45"/>
                              </a:ext>
                            </a:extLst>
                          </a:blip>
                          <a:stretch>
                            <a:fillRect/>
                          </a:stretch>
                        </pic:blipFill>
                        <pic:spPr>
                          <a:xfrm>
                            <a:off x="0" y="0"/>
                            <a:ext cx="270000" cy="270000"/>
                          </a:xfrm>
                          <a:prstGeom prst="rect">
                            <a:avLst/>
                          </a:prstGeom>
                        </pic:spPr>
                      </pic:pic>
                    </a:graphicData>
                  </a:graphic>
                  <wp14:sizeRelH relativeFrom="page">
                    <wp14:pctWidth>0</wp14:pctWidth>
                  </wp14:sizeRelH>
                  <wp14:sizeRelV relativeFrom="page">
                    <wp14:pctHeight>0</wp14:pctHeight>
                  </wp14:sizeRelV>
                </wp:anchor>
              </w:drawing>
            </w:r>
          </w:p>
        </w:tc>
        <w:tc>
          <w:tcPr>
            <w:tcW w:w="8767" w:type="dxa"/>
          </w:tcPr>
          <w:p w14:paraId="39003B20" w14:textId="014BA80E" w:rsidR="00C77C8C" w:rsidRPr="00C64064" w:rsidRDefault="00C77C8C">
            <w:pPr>
              <w:spacing w:before="100" w:after="100"/>
              <w:ind w:left="188"/>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C64064">
              <w:rPr>
                <w:rFonts w:asciiTheme="majorHAnsi" w:hAnsiTheme="majorHAnsi" w:cstheme="majorHAnsi"/>
                <w:b/>
                <w:bCs/>
                <w:sz w:val="32"/>
                <w:szCs w:val="32"/>
              </w:rPr>
              <w:t>1</w:t>
            </w:r>
            <w:r w:rsidR="00D05263">
              <w:rPr>
                <w:rFonts w:asciiTheme="majorHAnsi" w:hAnsiTheme="majorHAnsi" w:cstheme="majorHAnsi"/>
                <w:b/>
                <w:bCs/>
                <w:sz w:val="32"/>
                <w:szCs w:val="32"/>
              </w:rPr>
              <w:t>70</w:t>
            </w:r>
            <w:r w:rsidRPr="00C64064">
              <w:rPr>
                <w:rFonts w:asciiTheme="majorHAnsi" w:hAnsiTheme="majorHAnsi" w:cstheme="majorHAnsi"/>
              </w:rPr>
              <w:t xml:space="preserve"> </w:t>
            </w:r>
            <w:r w:rsidRPr="00C64064">
              <w:rPr>
                <w:rFonts w:asciiTheme="majorHAnsi" w:hAnsiTheme="majorHAnsi" w:cstheme="majorHAnsi"/>
              </w:rPr>
              <w:br/>
              <w:t>policy initiatives (cumulative)</w:t>
            </w:r>
          </w:p>
        </w:tc>
      </w:tr>
    </w:tbl>
    <w:p w14:paraId="7EBD4A05" w14:textId="38E69420" w:rsidR="000919C1" w:rsidRDefault="000919C1" w:rsidP="00C77C8C">
      <w:pPr>
        <w:rPr>
          <w:rFonts w:asciiTheme="majorHAnsi" w:hAnsiTheme="majorHAnsi" w:cstheme="majorHAnsi"/>
        </w:rPr>
      </w:pPr>
    </w:p>
    <w:p w14:paraId="7BA769A5" w14:textId="6F551A78" w:rsidR="00E3491B" w:rsidRDefault="00E3491B" w:rsidP="000919C1">
      <w:pPr>
        <w:spacing w:line="276" w:lineRule="auto"/>
        <w:ind w:right="-1"/>
        <w:rPr>
          <w:rFonts w:asciiTheme="majorHAnsi" w:hAnsiTheme="majorHAnsi" w:cstheme="majorHAnsi"/>
          <w:b/>
          <w:bCs/>
          <w:color w:val="02616F" w:themeColor="accent1" w:themeShade="80"/>
        </w:rPr>
      </w:pPr>
      <w:r w:rsidRPr="00C64064">
        <w:rPr>
          <w:rFonts w:asciiTheme="majorHAnsi" w:hAnsiTheme="majorHAnsi" w:cstheme="majorHAnsi"/>
          <w:noProof/>
        </w:rPr>
        <w:drawing>
          <wp:inline distT="0" distB="0" distL="0" distR="0" wp14:anchorId="36779ECE" wp14:editId="3C2B53B7">
            <wp:extent cx="342979" cy="342979"/>
            <wp:effectExtent l="0" t="0" r="0" b="0"/>
            <wp:docPr id="1182370797" name="Picture 1182370797" descr="Ripp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370797" name="Picture 1182370797" descr="Ripple with solid fill"/>
                    <pic:cNvPicPr/>
                  </pic:nvPicPr>
                  <pic:blipFill>
                    <a:blip r:embed="rId46">
                      <a:extLst>
                        <a:ext uri="{96DAC541-7B7A-43D3-8B79-37D633B846F1}">
                          <asvg:svgBlip xmlns:asvg="http://schemas.microsoft.com/office/drawing/2016/SVG/main" r:embed="rId47"/>
                        </a:ext>
                      </a:extLst>
                    </a:blip>
                    <a:stretch>
                      <a:fillRect/>
                    </a:stretch>
                  </pic:blipFill>
                  <pic:spPr>
                    <a:xfrm>
                      <a:off x="0" y="0"/>
                      <a:ext cx="342979" cy="342979"/>
                    </a:xfrm>
                    <a:prstGeom prst="rect">
                      <a:avLst/>
                    </a:prstGeom>
                  </pic:spPr>
                </pic:pic>
              </a:graphicData>
            </a:graphic>
          </wp:inline>
        </w:drawing>
      </w:r>
      <w:r w:rsidR="00407FB6">
        <w:rPr>
          <w:rFonts w:asciiTheme="majorHAnsi" w:hAnsiTheme="majorHAnsi" w:cstheme="majorHAnsi"/>
          <w:b/>
          <w:bCs/>
          <w:color w:val="02616F" w:themeColor="accent1" w:themeShade="80"/>
        </w:rPr>
        <w:t xml:space="preserve"> </w:t>
      </w:r>
      <w:r>
        <w:rPr>
          <w:rFonts w:asciiTheme="majorHAnsi" w:hAnsiTheme="majorHAnsi" w:cstheme="majorHAnsi"/>
          <w:b/>
          <w:bCs/>
          <w:color w:val="02616F" w:themeColor="accent1" w:themeShade="80"/>
        </w:rPr>
        <w:t>A</w:t>
      </w:r>
      <w:r w:rsidR="00D659FB">
        <w:rPr>
          <w:rFonts w:asciiTheme="majorHAnsi" w:hAnsiTheme="majorHAnsi" w:cstheme="majorHAnsi"/>
          <w:b/>
          <w:bCs/>
          <w:color w:val="02616F" w:themeColor="accent1" w:themeShade="80"/>
        </w:rPr>
        <w:t xml:space="preserve">n opportunity </w:t>
      </w:r>
      <w:r w:rsidR="00E3138E">
        <w:rPr>
          <w:rFonts w:asciiTheme="majorHAnsi" w:hAnsiTheme="majorHAnsi" w:cstheme="majorHAnsi"/>
          <w:b/>
          <w:bCs/>
          <w:color w:val="02616F" w:themeColor="accent1" w:themeShade="80"/>
        </w:rPr>
        <w:t xml:space="preserve">to shape </w:t>
      </w:r>
      <w:r w:rsidR="003C15CD">
        <w:rPr>
          <w:rFonts w:asciiTheme="majorHAnsi" w:hAnsiTheme="majorHAnsi" w:cstheme="majorHAnsi"/>
          <w:b/>
          <w:bCs/>
          <w:color w:val="02616F" w:themeColor="accent1" w:themeShade="80"/>
        </w:rPr>
        <w:t>policy</w:t>
      </w:r>
      <w:r w:rsidR="00E3138E">
        <w:rPr>
          <w:rFonts w:asciiTheme="majorHAnsi" w:hAnsiTheme="majorHAnsi" w:cstheme="majorHAnsi"/>
          <w:b/>
          <w:bCs/>
          <w:color w:val="02616F" w:themeColor="accent1" w:themeShade="80"/>
        </w:rPr>
        <w:t xml:space="preserve"> </w:t>
      </w:r>
      <w:r w:rsidR="0092414D">
        <w:rPr>
          <w:rFonts w:asciiTheme="majorHAnsi" w:hAnsiTheme="majorHAnsi" w:cstheme="majorHAnsi"/>
          <w:b/>
          <w:bCs/>
          <w:color w:val="02616F" w:themeColor="accent1" w:themeShade="80"/>
        </w:rPr>
        <w:t xml:space="preserve"> </w:t>
      </w:r>
    </w:p>
    <w:p w14:paraId="5C1E04C1" w14:textId="66439449" w:rsidR="00E3491B" w:rsidRPr="004D529F" w:rsidRDefault="004D529F" w:rsidP="004D529F">
      <w:pPr>
        <w:spacing w:afterLines="60" w:after="144"/>
        <w:rPr>
          <w:rFonts w:asciiTheme="majorHAnsi" w:eastAsia="Times New Roman" w:hAnsiTheme="majorHAnsi" w:cstheme="majorHAnsi"/>
          <w:color w:val="000000"/>
          <w:sz w:val="20"/>
          <w:szCs w:val="20"/>
        </w:rPr>
      </w:pPr>
      <w:r w:rsidRPr="00D07ABF">
        <w:rPr>
          <w:rFonts w:asciiTheme="majorHAnsi" w:hAnsiTheme="majorHAnsi" w:cstheme="majorHAnsi"/>
        </w:rPr>
        <w:t>The remarkable success story</w:t>
      </w:r>
      <w:r w:rsidR="009D0CB7">
        <w:rPr>
          <w:rFonts w:asciiTheme="majorHAnsi" w:hAnsiTheme="majorHAnsi" w:cstheme="majorHAnsi"/>
        </w:rPr>
        <w:t xml:space="preserve"> of </w:t>
      </w:r>
      <w:r w:rsidRPr="00D07ABF">
        <w:rPr>
          <w:rFonts w:asciiTheme="majorHAnsi" w:hAnsiTheme="majorHAnsi" w:cstheme="majorHAnsi"/>
        </w:rPr>
        <w:t>PRISMA has not only attracted Bappenas’s interest in the MSD approach but also instilled confidence that the approach can help the government more effectively achieve its development goals and objectives.</w:t>
      </w:r>
      <w:r w:rsidRPr="004D529F">
        <w:rPr>
          <w:rFonts w:asciiTheme="majorHAnsi" w:hAnsiTheme="majorHAnsi" w:cstheme="majorHAnsi"/>
        </w:rPr>
        <w:t xml:space="preserve"> </w:t>
      </w:r>
      <w:r w:rsidR="00D07ABF">
        <w:rPr>
          <w:rFonts w:asciiTheme="majorHAnsi" w:hAnsiTheme="majorHAnsi" w:cstheme="majorHAnsi"/>
        </w:rPr>
        <w:t xml:space="preserve">As a </w:t>
      </w:r>
      <w:r w:rsidR="00EC7B5B">
        <w:rPr>
          <w:rFonts w:asciiTheme="majorHAnsi" w:hAnsiTheme="majorHAnsi" w:cstheme="majorHAnsi"/>
        </w:rPr>
        <w:t xml:space="preserve">consequence, one of </w:t>
      </w:r>
      <w:r w:rsidR="009D0CB7">
        <w:rPr>
          <w:rFonts w:asciiTheme="majorHAnsi" w:hAnsiTheme="majorHAnsi" w:cstheme="majorHAnsi"/>
        </w:rPr>
        <w:t>PRISMA</w:t>
      </w:r>
      <w:r w:rsidR="007126D1">
        <w:rPr>
          <w:rFonts w:asciiTheme="majorHAnsi" w:hAnsiTheme="majorHAnsi" w:cstheme="majorHAnsi"/>
        </w:rPr>
        <w:t>’s 8 high</w:t>
      </w:r>
      <w:r w:rsidR="00EC7B5B">
        <w:rPr>
          <w:rFonts w:asciiTheme="majorHAnsi" w:hAnsiTheme="majorHAnsi" w:cstheme="majorHAnsi"/>
        </w:rPr>
        <w:t>-</w:t>
      </w:r>
      <w:r w:rsidR="007126D1">
        <w:rPr>
          <w:rFonts w:asciiTheme="majorHAnsi" w:hAnsiTheme="majorHAnsi" w:cstheme="majorHAnsi"/>
        </w:rPr>
        <w:t xml:space="preserve">priority policy initiatives </w:t>
      </w:r>
      <w:r w:rsidR="00E3491B" w:rsidRPr="00E3138E">
        <w:rPr>
          <w:rFonts w:asciiTheme="majorHAnsi" w:hAnsiTheme="majorHAnsi" w:cstheme="majorHAnsi"/>
        </w:rPr>
        <w:t xml:space="preserve">is supporting the government </w:t>
      </w:r>
      <w:r w:rsidR="00EC7B5B">
        <w:rPr>
          <w:rFonts w:asciiTheme="majorHAnsi" w:hAnsiTheme="majorHAnsi" w:cstheme="majorHAnsi"/>
        </w:rPr>
        <w:t>in adopting</w:t>
      </w:r>
      <w:r w:rsidR="003C15CD">
        <w:rPr>
          <w:rFonts w:asciiTheme="majorHAnsi" w:hAnsiTheme="majorHAnsi" w:cstheme="majorHAnsi"/>
        </w:rPr>
        <w:t xml:space="preserve"> MSD principles</w:t>
      </w:r>
      <w:r w:rsidR="00EC7B5B">
        <w:rPr>
          <w:rFonts w:asciiTheme="majorHAnsi" w:hAnsiTheme="majorHAnsi" w:cstheme="majorHAnsi"/>
        </w:rPr>
        <w:t>. To do this,</w:t>
      </w:r>
      <w:r w:rsidR="00E3491B" w:rsidRPr="00E3138E">
        <w:rPr>
          <w:rFonts w:asciiTheme="majorHAnsi" w:hAnsiTheme="majorHAnsi" w:cstheme="majorHAnsi"/>
        </w:rPr>
        <w:t xml:space="preserve"> PRISMA </w:t>
      </w:r>
      <w:r w:rsidR="003C15CD">
        <w:rPr>
          <w:rFonts w:asciiTheme="majorHAnsi" w:hAnsiTheme="majorHAnsi" w:cstheme="majorHAnsi"/>
        </w:rPr>
        <w:t>held a one</w:t>
      </w:r>
      <w:r w:rsidR="00EC7B5B">
        <w:rPr>
          <w:rFonts w:asciiTheme="majorHAnsi" w:hAnsiTheme="majorHAnsi" w:cstheme="majorHAnsi"/>
        </w:rPr>
        <w:t>-</w:t>
      </w:r>
      <w:r w:rsidR="003C15CD">
        <w:rPr>
          <w:rFonts w:asciiTheme="majorHAnsi" w:hAnsiTheme="majorHAnsi" w:cstheme="majorHAnsi"/>
        </w:rPr>
        <w:t xml:space="preserve">week training </w:t>
      </w:r>
      <w:r w:rsidR="00EC7B5B">
        <w:rPr>
          <w:rFonts w:asciiTheme="majorHAnsi" w:hAnsiTheme="majorHAnsi" w:cstheme="majorHAnsi"/>
        </w:rPr>
        <w:t>that translated</w:t>
      </w:r>
      <w:r w:rsidR="003C15CD">
        <w:rPr>
          <w:rFonts w:asciiTheme="majorHAnsi" w:hAnsiTheme="majorHAnsi" w:cstheme="majorHAnsi"/>
        </w:rPr>
        <w:t xml:space="preserve"> the concepts into practical and applicable guidance for </w:t>
      </w:r>
      <w:r>
        <w:rPr>
          <w:rFonts w:asciiTheme="majorHAnsi" w:hAnsiTheme="majorHAnsi" w:cstheme="majorHAnsi"/>
        </w:rPr>
        <w:lastRenderedPageBreak/>
        <w:t>government and university</w:t>
      </w:r>
      <w:r w:rsidR="003C15CD">
        <w:rPr>
          <w:rFonts w:asciiTheme="majorHAnsi" w:hAnsiTheme="majorHAnsi" w:cstheme="majorHAnsi"/>
        </w:rPr>
        <w:t xml:space="preserve"> participants. </w:t>
      </w:r>
      <w:r w:rsidR="00EC7B5B">
        <w:rPr>
          <w:rFonts w:asciiTheme="majorHAnsi" w:hAnsiTheme="majorHAnsi" w:cstheme="majorHAnsi"/>
        </w:rPr>
        <w:t xml:space="preserve">The training was well received, with strong testimonials from the participants on the insights gained (shared below and in Chapter 2).  </w:t>
      </w:r>
      <w:r w:rsidR="00E3491B" w:rsidRPr="00C64064">
        <w:rPr>
          <w:rFonts w:asciiTheme="majorHAnsi" w:hAnsiTheme="majorHAnsi" w:cstheme="majorHAnsi"/>
          <w:i/>
          <w:iCs/>
        </w:rPr>
        <w:br/>
      </w:r>
    </w:p>
    <w:p w14:paraId="06A95501" w14:textId="3597A2D8" w:rsidR="00E3491B" w:rsidRPr="00C64064" w:rsidRDefault="00E3491B" w:rsidP="00E3491B">
      <w:pPr>
        <w:pBdr>
          <w:bottom w:val="single" w:sz="4" w:space="1" w:color="auto"/>
        </w:pBdr>
        <w:spacing w:line="276" w:lineRule="auto"/>
        <w:ind w:right="-1"/>
        <w:rPr>
          <w:rFonts w:asciiTheme="majorHAnsi" w:hAnsiTheme="majorHAnsi" w:cstheme="majorHAnsi"/>
          <w:b/>
          <w:bCs/>
        </w:rPr>
      </w:pPr>
      <w:r w:rsidRPr="00C64064">
        <w:rPr>
          <w:rFonts w:asciiTheme="majorHAnsi" w:hAnsiTheme="majorHAnsi" w:cstheme="majorHAnsi"/>
          <w:b/>
          <w:bCs/>
          <w:noProof/>
        </w:rPr>
        <mc:AlternateContent>
          <mc:Choice Requires="wpg">
            <w:drawing>
              <wp:inline distT="0" distB="0" distL="0" distR="0" wp14:anchorId="292EC8A1" wp14:editId="04C418B4">
                <wp:extent cx="6115381" cy="1595755"/>
                <wp:effectExtent l="0" t="0" r="0" b="4445"/>
                <wp:docPr id="1140931554" name="Group 16" descr="Agung Saras Sri Raharjo, Center for Social Economics and Agricultural Policy, "/>
                <wp:cNvGraphicFramePr/>
                <a:graphic xmlns:a="http://schemas.openxmlformats.org/drawingml/2006/main">
                  <a:graphicData uri="http://schemas.microsoft.com/office/word/2010/wordprocessingGroup">
                    <wpg:wgp>
                      <wpg:cNvGrpSpPr/>
                      <wpg:grpSpPr>
                        <a:xfrm>
                          <a:off x="0" y="0"/>
                          <a:ext cx="6115381" cy="1595755"/>
                          <a:chOff x="0" y="0"/>
                          <a:chExt cx="6115381" cy="1595755"/>
                        </a:xfrm>
                      </wpg:grpSpPr>
                      <pic:pic xmlns:pic="http://schemas.openxmlformats.org/drawingml/2006/picture">
                        <pic:nvPicPr>
                          <pic:cNvPr id="1010141543" name="Picture 15" descr="Photo of the MSD training participant during a session."/>
                          <pic:cNvPicPr>
                            <a:picLocks noChangeAspect="1"/>
                          </pic:cNvPicPr>
                        </pic:nvPicPr>
                        <pic:blipFill>
                          <a:blip r:embed="rId48" cstate="email">
                            <a:extLst>
                              <a:ext uri="{28A0092B-C50C-407E-A947-70E740481C1C}">
                                <a14:useLocalDpi xmlns:a14="http://schemas.microsoft.com/office/drawing/2010/main"/>
                              </a:ext>
                            </a:extLst>
                          </a:blip>
                          <a:srcRect/>
                          <a:stretch/>
                        </pic:blipFill>
                        <pic:spPr bwMode="auto">
                          <a:xfrm>
                            <a:off x="0" y="0"/>
                            <a:ext cx="2461260" cy="1595755"/>
                          </a:xfrm>
                          <a:prstGeom prst="rect">
                            <a:avLst/>
                          </a:prstGeom>
                          <a:ln>
                            <a:noFill/>
                          </a:ln>
                          <a:extLst>
                            <a:ext uri="{53640926-AAD7-44D8-BBD7-CCE9431645EC}">
                              <a14:shadowObscured xmlns:a14="http://schemas.microsoft.com/office/drawing/2010/main"/>
                            </a:ext>
                          </a:extLst>
                        </pic:spPr>
                      </pic:pic>
                      <wps:wsp>
                        <wps:cNvPr id="2113476975" name="Text Box 2113476975">
                          <a:extLst>
                            <a:ext uri="{C183D7F6-B498-43B3-948B-1728B52AA6E4}">
                              <adec:decorative xmlns:adec="http://schemas.microsoft.com/office/drawing/2017/decorative" val="1"/>
                            </a:ext>
                          </a:extLst>
                        </wps:cNvPr>
                        <wps:cNvSpPr txBox="1"/>
                        <wps:spPr>
                          <a:xfrm>
                            <a:off x="2077221" y="0"/>
                            <a:ext cx="4038160" cy="1595605"/>
                          </a:xfrm>
                          <a:prstGeom prst="rect">
                            <a:avLst/>
                          </a:prstGeom>
                          <a:solidFill>
                            <a:srgbClr val="252C66"/>
                          </a:solidFill>
                          <a:ln w="6350">
                            <a:noFill/>
                          </a:ln>
                        </wps:spPr>
                        <wps:txbx>
                          <w:txbxContent>
                            <w:p w14:paraId="752CFC99" w14:textId="77777777" w:rsidR="00E3491B" w:rsidRPr="00E72EF3" w:rsidRDefault="00E3491B" w:rsidP="00E3491B">
                              <w:pPr>
                                <w:pStyle w:val="Header"/>
                                <w:tabs>
                                  <w:tab w:val="clear" w:pos="4513"/>
                                  <w:tab w:val="clear" w:pos="9026"/>
                                  <w:tab w:val="center" w:pos="1805"/>
                                  <w:tab w:val="right" w:pos="3610"/>
                                </w:tabs>
                                <w:spacing w:after="80"/>
                                <w:textAlignment w:val="baseline"/>
                                <w:rPr>
                                  <w:rStyle w:val="Hyperlink"/>
                                  <w:rFonts w:cs="Arial"/>
                                  <w:i/>
                                  <w:iCs/>
                                  <w:color w:val="FFFFFF" w:themeColor="background1"/>
                                  <w:sz w:val="21"/>
                                  <w:szCs w:val="21"/>
                                  <w:lang w:val="en-US"/>
                                </w:rPr>
                              </w:pPr>
                              <w:r w:rsidRPr="00E72EF3">
                                <w:rPr>
                                  <w:rFonts w:cs="Arial"/>
                                  <w:i/>
                                  <w:iCs/>
                                  <w:noProof/>
                                  <w:color w:val="FFFFFF" w:themeColor="background1"/>
                                  <w:sz w:val="21"/>
                                  <w:szCs w:val="21"/>
                                  <w:lang w:val="en-US"/>
                                </w:rPr>
                                <w:drawing>
                                  <wp:inline distT="0" distB="0" distL="0" distR="0" wp14:anchorId="44744914" wp14:editId="3C246AB2">
                                    <wp:extent cx="126853" cy="126853"/>
                                    <wp:effectExtent l="0" t="0" r="6985" b="6985"/>
                                    <wp:docPr id="941422921" name="Graphic 9414229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74014"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128823" cy="128823"/>
                                            </a:xfrm>
                                            <a:prstGeom prst="rect">
                                              <a:avLst/>
                                            </a:prstGeom>
                                          </pic:spPr>
                                        </pic:pic>
                                      </a:graphicData>
                                    </a:graphic>
                                  </wp:inline>
                                </w:drawing>
                              </w:r>
                            </w:p>
                            <w:p w14:paraId="5ACB932E" w14:textId="77777777" w:rsidR="003C15CD" w:rsidRPr="00E72EF3" w:rsidRDefault="003C15CD" w:rsidP="003C15CD">
                              <w:pPr>
                                <w:pStyle w:val="Header"/>
                                <w:tabs>
                                  <w:tab w:val="clear" w:pos="4513"/>
                                  <w:tab w:val="clear" w:pos="9026"/>
                                  <w:tab w:val="center" w:pos="1805"/>
                                  <w:tab w:val="right" w:pos="3610"/>
                                </w:tabs>
                                <w:spacing w:after="96"/>
                                <w:textAlignment w:val="baseline"/>
                                <w:rPr>
                                  <w:rFonts w:cs="Arial"/>
                                  <w:color w:val="FFFFFF" w:themeColor="background1"/>
                                </w:rPr>
                              </w:pPr>
                              <w:r>
                                <w:rPr>
                                  <w:rFonts w:cs="Arial"/>
                                  <w:color w:val="FFFFFF" w:themeColor="background1"/>
                                </w:rPr>
                                <w:t>T</w:t>
                              </w:r>
                              <w:r w:rsidRPr="004C55D3">
                                <w:rPr>
                                  <w:rFonts w:cs="Arial"/>
                                  <w:color w:val="FFFFFF" w:themeColor="background1"/>
                                </w:rPr>
                                <w:t>he market system development</w:t>
                              </w:r>
                              <w:r>
                                <w:rPr>
                                  <w:rFonts w:cs="Arial"/>
                                  <w:color w:val="FFFFFF" w:themeColor="background1"/>
                                </w:rPr>
                                <w:t xml:space="preserve"> (MSD)</w:t>
                              </w:r>
                              <w:r w:rsidRPr="004C55D3">
                                <w:rPr>
                                  <w:rFonts w:cs="Arial"/>
                                  <w:color w:val="FFFFFF" w:themeColor="background1"/>
                                </w:rPr>
                                <w:t xml:space="preserve"> approach </w:t>
                              </w:r>
                              <w:r>
                                <w:rPr>
                                  <w:rFonts w:cs="Arial"/>
                                  <w:color w:val="FFFFFF" w:themeColor="background1"/>
                                </w:rPr>
                                <w:t xml:space="preserve">that we learnt from the training can enrich </w:t>
                              </w:r>
                              <w:r w:rsidRPr="004C55D3">
                                <w:rPr>
                                  <w:rFonts w:cs="Arial"/>
                                  <w:color w:val="FFFFFF" w:themeColor="background1"/>
                                </w:rPr>
                                <w:t xml:space="preserve">the analysis of </w:t>
                              </w:r>
                              <w:r>
                                <w:rPr>
                                  <w:rFonts w:cs="Arial"/>
                                  <w:color w:val="FFFFFF" w:themeColor="background1"/>
                                </w:rPr>
                                <w:t xml:space="preserve">our </w:t>
                              </w:r>
                              <w:r w:rsidRPr="004C55D3">
                                <w:rPr>
                                  <w:rFonts w:cs="Arial"/>
                                  <w:color w:val="FFFFFF" w:themeColor="background1"/>
                                </w:rPr>
                                <w:t xml:space="preserve">main </w:t>
                              </w:r>
                              <w:r>
                                <w:rPr>
                                  <w:rFonts w:cs="Arial"/>
                                  <w:color w:val="FFFFFF" w:themeColor="background1"/>
                                </w:rPr>
                                <w:t xml:space="preserve">responsibilities </w:t>
                              </w:r>
                              <w:r w:rsidRPr="004C55D3">
                                <w:rPr>
                                  <w:rFonts w:cs="Arial"/>
                                  <w:color w:val="FFFFFF" w:themeColor="background1"/>
                                </w:rPr>
                                <w:t>and functions at the policy-making level</w:t>
                              </w:r>
                            </w:p>
                            <w:p w14:paraId="4EDA4193" w14:textId="77777777" w:rsidR="003C15CD" w:rsidRPr="00E72EF3" w:rsidRDefault="003C15CD" w:rsidP="003C15CD">
                              <w:pPr>
                                <w:pStyle w:val="Header"/>
                                <w:tabs>
                                  <w:tab w:val="clear" w:pos="4513"/>
                                  <w:tab w:val="clear" w:pos="9026"/>
                                  <w:tab w:val="center" w:pos="1805"/>
                                  <w:tab w:val="right" w:pos="3610"/>
                                </w:tabs>
                                <w:spacing w:after="80"/>
                                <w:textAlignment w:val="baseline"/>
                                <w:rPr>
                                  <w:rFonts w:cs="Arial"/>
                                  <w:color w:val="FFFFFF" w:themeColor="background1"/>
                                  <w:szCs w:val="20"/>
                                </w:rPr>
                              </w:pPr>
                              <w:r>
                                <w:rPr>
                                  <w:rFonts w:cs="Arial"/>
                                  <w:b/>
                                  <w:bCs/>
                                  <w:color w:val="FFFFFF" w:themeColor="background1"/>
                                  <w:szCs w:val="20"/>
                                </w:rPr>
                                <w:t>Agung Saras Sri Raharjo</w:t>
                              </w:r>
                              <w:r w:rsidRPr="00115014">
                                <w:rPr>
                                  <w:rFonts w:cs="Arial"/>
                                  <w:color w:val="FFFFFF" w:themeColor="background1"/>
                                  <w:szCs w:val="20"/>
                                </w:rPr>
                                <w:t xml:space="preserve">, </w:t>
                              </w:r>
                              <w:r>
                                <w:rPr>
                                  <w:rFonts w:cs="Arial"/>
                                  <w:color w:val="FFFFFF" w:themeColor="background1"/>
                                  <w:szCs w:val="20"/>
                                </w:rPr>
                                <w:t xml:space="preserve">Center for Social Economics and Agricultural Policy, </w:t>
                              </w:r>
                            </w:p>
                            <w:p w14:paraId="0303D0F7" w14:textId="1A200E26" w:rsidR="00E3491B" w:rsidRPr="00E72EF3" w:rsidRDefault="00E3491B" w:rsidP="003C15CD">
                              <w:pPr>
                                <w:pStyle w:val="Header"/>
                                <w:tabs>
                                  <w:tab w:val="clear" w:pos="4513"/>
                                  <w:tab w:val="clear" w:pos="9026"/>
                                  <w:tab w:val="center" w:pos="1805"/>
                                  <w:tab w:val="right" w:pos="3610"/>
                                </w:tabs>
                                <w:spacing w:after="96"/>
                                <w:textAlignment w:val="baseline"/>
                                <w:rPr>
                                  <w:rFonts w:cs="Arial"/>
                                  <w:color w:val="FFFFFF" w:themeColor="background1"/>
                                  <w:szCs w:val="20"/>
                                </w:rPr>
                              </w:pP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wpg:wgp>
                  </a:graphicData>
                </a:graphic>
              </wp:inline>
            </w:drawing>
          </mc:Choice>
          <mc:Fallback>
            <w:pict>
              <v:group w14:anchorId="292EC8A1" id="Group 16" o:spid="_x0000_s1038" alt="Agung Saras Sri Raharjo, Center for Social Economics and Agricultural Policy, " style="width:481.55pt;height:125.65pt;mso-position-horizontal-relative:char;mso-position-vertical-relative:line" coordsize="61153,159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">
                <v:shape id="Picture 15" o:spid="_x0000_s1039" type="#_x0000_t75" alt="Photo of the MSD training participant during a session." style="position:absolute;width:24612;height:15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">
                  <v:imagedata r:id="rId49" o:title="Photo of the MSD training participant during a session"/>
                </v:shape>
                <v:shape id="Text Box 2113476975" o:spid="_x0000_s1040" type="#_x0000_t202" alt="&quot;&quot;" style="position:absolute;left:20772;width:40381;height:15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" fillcolor="#252c66" stroked="f" strokeweight=".5pt">
                  <v:textbox inset="5mm,5mm,5mm,5mm">
                    <w:txbxContent>
                      <w:p w14:paraId="752CFC99" w14:textId="77777777" w:rsidR="00E3491B" w:rsidRPr="00E72EF3" w:rsidRDefault="00E3491B" w:rsidP="00E3491B">
                        <w:pPr>
                          <w:pStyle w:val="Header"/>
                          <w:tabs>
                            <w:tab w:val="clear" w:pos="4513"/>
                            <w:tab w:val="clear" w:pos="9026"/>
                            <w:tab w:val="center" w:pos="1805"/>
                            <w:tab w:val="right" w:pos="3610"/>
                          </w:tabs>
                          <w:spacing w:after="80"/>
                          <w:textAlignment w:val="baseline"/>
                          <w:rPr>
                            <w:rStyle w:val="Hyperlink"/>
                            <w:rFonts w:cs="Arial"/>
                            <w:i/>
                            <w:iCs/>
                            <w:color w:val="FFFFFF" w:themeColor="background1"/>
                            <w:sz w:val="21"/>
                            <w:szCs w:val="21"/>
                            <w:lang w:val="en-US"/>
                          </w:rPr>
                        </w:pPr>
                        <w:r w:rsidRPr="00E72EF3">
                          <w:rPr>
                            <w:rFonts w:cs="Arial"/>
                            <w:i/>
                            <w:iCs/>
                            <w:noProof/>
                            <w:color w:val="FFFFFF" w:themeColor="background1"/>
                            <w:sz w:val="21"/>
                            <w:szCs w:val="21"/>
                            <w:lang w:val="en-US"/>
                          </w:rPr>
                          <w:drawing>
                            <wp:inline distT="0" distB="0" distL="0" distR="0" wp14:anchorId="44744914" wp14:editId="3C246AB2">
                              <wp:extent cx="126853" cy="126853"/>
                              <wp:effectExtent l="0" t="0" r="6985" b="6985"/>
                              <wp:docPr id="941422921" name="Graphic 9414229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74014"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128823" cy="128823"/>
                                      </a:xfrm>
                                      <a:prstGeom prst="rect">
                                        <a:avLst/>
                                      </a:prstGeom>
                                    </pic:spPr>
                                  </pic:pic>
                                </a:graphicData>
                              </a:graphic>
                            </wp:inline>
                          </w:drawing>
                        </w:r>
                      </w:p>
                      <w:p w14:paraId="5ACB932E" w14:textId="77777777" w:rsidR="003C15CD" w:rsidRPr="00E72EF3" w:rsidRDefault="003C15CD" w:rsidP="003C15CD">
                        <w:pPr>
                          <w:pStyle w:val="Header"/>
                          <w:tabs>
                            <w:tab w:val="clear" w:pos="4513"/>
                            <w:tab w:val="clear" w:pos="9026"/>
                            <w:tab w:val="center" w:pos="1805"/>
                            <w:tab w:val="right" w:pos="3610"/>
                          </w:tabs>
                          <w:spacing w:after="96"/>
                          <w:textAlignment w:val="baseline"/>
                          <w:rPr>
                            <w:rFonts w:cs="Arial"/>
                            <w:color w:val="FFFFFF" w:themeColor="background1"/>
                          </w:rPr>
                        </w:pPr>
                        <w:r>
                          <w:rPr>
                            <w:rFonts w:cs="Arial"/>
                            <w:color w:val="FFFFFF" w:themeColor="background1"/>
                          </w:rPr>
                          <w:t>T</w:t>
                        </w:r>
                        <w:r w:rsidRPr="004C55D3">
                          <w:rPr>
                            <w:rFonts w:cs="Arial"/>
                            <w:color w:val="FFFFFF" w:themeColor="background1"/>
                          </w:rPr>
                          <w:t>he market system development</w:t>
                        </w:r>
                        <w:r>
                          <w:rPr>
                            <w:rFonts w:cs="Arial"/>
                            <w:color w:val="FFFFFF" w:themeColor="background1"/>
                          </w:rPr>
                          <w:t xml:space="preserve"> (MSD)</w:t>
                        </w:r>
                        <w:r w:rsidRPr="004C55D3">
                          <w:rPr>
                            <w:rFonts w:cs="Arial"/>
                            <w:color w:val="FFFFFF" w:themeColor="background1"/>
                          </w:rPr>
                          <w:t xml:space="preserve"> approach </w:t>
                        </w:r>
                        <w:r>
                          <w:rPr>
                            <w:rFonts w:cs="Arial"/>
                            <w:color w:val="FFFFFF" w:themeColor="background1"/>
                          </w:rPr>
                          <w:t xml:space="preserve">that we learnt from the training can enrich </w:t>
                        </w:r>
                        <w:r w:rsidRPr="004C55D3">
                          <w:rPr>
                            <w:rFonts w:cs="Arial"/>
                            <w:color w:val="FFFFFF" w:themeColor="background1"/>
                          </w:rPr>
                          <w:t xml:space="preserve">the analysis of </w:t>
                        </w:r>
                        <w:r>
                          <w:rPr>
                            <w:rFonts w:cs="Arial"/>
                            <w:color w:val="FFFFFF" w:themeColor="background1"/>
                          </w:rPr>
                          <w:t xml:space="preserve">our </w:t>
                        </w:r>
                        <w:r w:rsidRPr="004C55D3">
                          <w:rPr>
                            <w:rFonts w:cs="Arial"/>
                            <w:color w:val="FFFFFF" w:themeColor="background1"/>
                          </w:rPr>
                          <w:t xml:space="preserve">main </w:t>
                        </w:r>
                        <w:r>
                          <w:rPr>
                            <w:rFonts w:cs="Arial"/>
                            <w:color w:val="FFFFFF" w:themeColor="background1"/>
                          </w:rPr>
                          <w:t xml:space="preserve">responsibilities </w:t>
                        </w:r>
                        <w:r w:rsidRPr="004C55D3">
                          <w:rPr>
                            <w:rFonts w:cs="Arial"/>
                            <w:color w:val="FFFFFF" w:themeColor="background1"/>
                          </w:rPr>
                          <w:t>and functions at the policy-making level</w:t>
                        </w:r>
                      </w:p>
                      <w:p w14:paraId="4EDA4193" w14:textId="77777777" w:rsidR="003C15CD" w:rsidRPr="00E72EF3" w:rsidRDefault="003C15CD" w:rsidP="003C15CD">
                        <w:pPr>
                          <w:pStyle w:val="Header"/>
                          <w:tabs>
                            <w:tab w:val="clear" w:pos="4513"/>
                            <w:tab w:val="clear" w:pos="9026"/>
                            <w:tab w:val="center" w:pos="1805"/>
                            <w:tab w:val="right" w:pos="3610"/>
                          </w:tabs>
                          <w:spacing w:after="80"/>
                          <w:textAlignment w:val="baseline"/>
                          <w:rPr>
                            <w:rFonts w:cs="Arial"/>
                            <w:color w:val="FFFFFF" w:themeColor="background1"/>
                            <w:szCs w:val="20"/>
                          </w:rPr>
                        </w:pPr>
                        <w:r>
                          <w:rPr>
                            <w:rFonts w:cs="Arial"/>
                            <w:b/>
                            <w:bCs/>
                            <w:color w:val="FFFFFF" w:themeColor="background1"/>
                            <w:szCs w:val="20"/>
                          </w:rPr>
                          <w:t>Agung Saras Sri Raharjo</w:t>
                        </w:r>
                        <w:r w:rsidRPr="00115014">
                          <w:rPr>
                            <w:rFonts w:cs="Arial"/>
                            <w:color w:val="FFFFFF" w:themeColor="background1"/>
                            <w:szCs w:val="20"/>
                          </w:rPr>
                          <w:t xml:space="preserve">, </w:t>
                        </w:r>
                        <w:r>
                          <w:rPr>
                            <w:rFonts w:cs="Arial"/>
                            <w:color w:val="FFFFFF" w:themeColor="background1"/>
                            <w:szCs w:val="20"/>
                          </w:rPr>
                          <w:t xml:space="preserve">Center for Social Economics and Agricultural Policy, </w:t>
                        </w:r>
                      </w:p>
                      <w:p w14:paraId="0303D0F7" w14:textId="1A200E26" w:rsidR="00E3491B" w:rsidRPr="00E72EF3" w:rsidRDefault="00E3491B" w:rsidP="003C15CD">
                        <w:pPr>
                          <w:pStyle w:val="Header"/>
                          <w:tabs>
                            <w:tab w:val="clear" w:pos="4513"/>
                            <w:tab w:val="clear" w:pos="9026"/>
                            <w:tab w:val="center" w:pos="1805"/>
                            <w:tab w:val="right" w:pos="3610"/>
                          </w:tabs>
                          <w:spacing w:after="96"/>
                          <w:textAlignment w:val="baseline"/>
                          <w:rPr>
                            <w:rFonts w:cs="Arial"/>
                            <w:color w:val="FFFFFF" w:themeColor="background1"/>
                            <w:szCs w:val="20"/>
                          </w:rPr>
                        </w:pPr>
                      </w:p>
                    </w:txbxContent>
                  </v:textbox>
                </v:shape>
                <w10:anchorlock/>
              </v:group>
            </w:pict>
          </mc:Fallback>
        </mc:AlternateContent>
      </w:r>
    </w:p>
    <w:p w14:paraId="4CA36B46" w14:textId="77777777" w:rsidR="00CB5152" w:rsidRDefault="00CB5152" w:rsidP="00C77C8C">
      <w:pPr>
        <w:rPr>
          <w:rFonts w:asciiTheme="majorHAnsi" w:hAnsiTheme="majorHAnsi" w:cstheme="majorHAnsi"/>
          <w:b/>
          <w:sz w:val="24"/>
          <w:szCs w:val="24"/>
        </w:rPr>
      </w:pPr>
    </w:p>
    <w:p w14:paraId="6E981670" w14:textId="7C7FC487" w:rsidR="00C77C8C" w:rsidRPr="00C64064" w:rsidRDefault="00C77C8C" w:rsidP="00C77C8C">
      <w:pPr>
        <w:rPr>
          <w:rFonts w:asciiTheme="majorHAnsi" w:hAnsiTheme="majorHAnsi" w:cstheme="majorHAnsi"/>
          <w:b/>
          <w:sz w:val="24"/>
          <w:szCs w:val="24"/>
        </w:rPr>
      </w:pPr>
      <w:r w:rsidRPr="00C64064">
        <w:rPr>
          <w:rFonts w:asciiTheme="majorHAnsi" w:hAnsiTheme="majorHAnsi" w:cstheme="majorHAnsi"/>
          <w:b/>
          <w:sz w:val="24"/>
          <w:szCs w:val="24"/>
        </w:rPr>
        <w:t xml:space="preserve">Gender equality, disability and social inclusion </w:t>
      </w:r>
    </w:p>
    <w:p w14:paraId="5BA1C697" w14:textId="417A0752" w:rsidR="00C77C8C" w:rsidRPr="00C64064" w:rsidRDefault="00C77C8C" w:rsidP="00C77C8C">
      <w:pPr>
        <w:spacing w:line="276" w:lineRule="auto"/>
        <w:rPr>
          <w:rFonts w:asciiTheme="majorHAnsi" w:hAnsiTheme="majorHAnsi" w:cstheme="majorHAnsi"/>
          <w:noProof/>
        </w:rPr>
      </w:pPr>
      <w:r w:rsidRPr="00C64064">
        <w:rPr>
          <w:rFonts w:asciiTheme="majorHAnsi" w:hAnsiTheme="majorHAnsi" w:cstheme="majorHAnsi"/>
        </w:rPr>
        <w:t xml:space="preserve">PRISMA supports inclusive business models </w:t>
      </w:r>
      <w:r w:rsidR="00497F68">
        <w:rPr>
          <w:rFonts w:asciiTheme="majorHAnsi" w:hAnsiTheme="majorHAnsi" w:cstheme="majorHAnsi"/>
        </w:rPr>
        <w:t>that promote gender equality and increase the inclusion of people with disabilities, youth, and Indigenous peoples. This semester, PRISMA partners continued to positively impact</w:t>
      </w:r>
      <w:r w:rsidR="00B073A8">
        <w:rPr>
          <w:rFonts w:asciiTheme="majorHAnsi" w:hAnsiTheme="majorHAnsi" w:cstheme="majorHAnsi"/>
        </w:rPr>
        <w:t xml:space="preserve"> women, people with </w:t>
      </w:r>
      <w:r w:rsidR="00CD69C9">
        <w:rPr>
          <w:rFonts w:asciiTheme="majorHAnsi" w:hAnsiTheme="majorHAnsi" w:cstheme="majorHAnsi"/>
        </w:rPr>
        <w:t>disabilities, and Indigenous</w:t>
      </w:r>
      <w:r w:rsidR="00B073A8">
        <w:rPr>
          <w:rFonts w:asciiTheme="majorHAnsi" w:hAnsiTheme="majorHAnsi" w:cstheme="majorHAnsi"/>
        </w:rPr>
        <w:t xml:space="preserve"> people in Papua. PRISMA documented and</w:t>
      </w:r>
      <w:r w:rsidR="00497F68">
        <w:rPr>
          <w:rFonts w:asciiTheme="majorHAnsi" w:hAnsiTheme="majorHAnsi" w:cstheme="majorHAnsi"/>
        </w:rPr>
        <w:t xml:space="preserve"> shared its experience </w:t>
      </w:r>
      <w:r w:rsidR="00B073A8">
        <w:rPr>
          <w:rFonts w:asciiTheme="majorHAnsi" w:hAnsiTheme="majorHAnsi" w:cstheme="majorHAnsi"/>
        </w:rPr>
        <w:t>at events to influence further change.</w:t>
      </w:r>
    </w:p>
    <w:p w14:paraId="7B685313" w14:textId="77777777" w:rsidR="0012203E" w:rsidRPr="00C64064" w:rsidRDefault="0012203E" w:rsidP="00C77C8C">
      <w:pPr>
        <w:spacing w:line="276" w:lineRule="auto"/>
        <w:rPr>
          <w:rFonts w:asciiTheme="majorHAnsi" w:hAnsiTheme="majorHAnsi" w:cstheme="majorHAnsi"/>
        </w:rPr>
      </w:pPr>
    </w:p>
    <w:tbl>
      <w:tblPr>
        <w:tblStyle w:val="PlainTable2"/>
        <w:tblW w:w="0" w:type="auto"/>
        <w:tblLook w:val="04A0" w:firstRow="1" w:lastRow="0" w:firstColumn="1" w:lastColumn="0" w:noHBand="0" w:noVBand="1"/>
      </w:tblPr>
      <w:tblGrid>
        <w:gridCol w:w="851"/>
        <w:gridCol w:w="8767"/>
      </w:tblGrid>
      <w:tr w:rsidR="006176AF" w:rsidRPr="00C64064" w14:paraId="02B96723" w14:textId="77777777" w:rsidTr="5583D5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684C6B17" w14:textId="006428A4" w:rsidR="00C77C8C" w:rsidRPr="00C64064" w:rsidRDefault="00C77C8C">
            <w:pPr>
              <w:spacing w:before="100" w:after="100"/>
              <w:ind w:left="188"/>
              <w:rPr>
                <w:rFonts w:asciiTheme="majorHAnsi" w:hAnsiTheme="majorHAnsi" w:cstheme="majorHAnsi"/>
                <w:sz w:val="32"/>
                <w:szCs w:val="32"/>
              </w:rPr>
            </w:pPr>
            <w:r w:rsidRPr="00C64064">
              <w:rPr>
                <w:rFonts w:asciiTheme="majorHAnsi" w:hAnsiTheme="majorHAnsi" w:cstheme="majorHAnsi"/>
                <w:noProof/>
              </w:rPr>
              <w:drawing>
                <wp:anchor distT="0" distB="0" distL="114300" distR="114300" simplePos="0" relativeHeight="251574784" behindDoc="0" locked="0" layoutInCell="1" allowOverlap="1" wp14:anchorId="03D5BF66" wp14:editId="3A1C5078">
                  <wp:simplePos x="0" y="0"/>
                  <wp:positionH relativeFrom="column">
                    <wp:posOffset>88688</wp:posOffset>
                  </wp:positionH>
                  <wp:positionV relativeFrom="paragraph">
                    <wp:posOffset>168910</wp:posOffset>
                  </wp:positionV>
                  <wp:extent cx="278342" cy="278342"/>
                  <wp:effectExtent l="0" t="0" r="0" b="1270"/>
                  <wp:wrapNone/>
                  <wp:docPr id="120360869" name="Graphic 1203608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412386" name="Graphic 6">
                            <a:extLst>
                              <a:ext uri="{C183D7F6-B498-43B3-948B-1728B52AA6E4}">
                                <adec:decorative xmlns:adec="http://schemas.microsoft.com/office/drawing/2017/decorative" val="1"/>
                              </a:ext>
                            </a:extLst>
                          </pic:cNvPr>
                          <pic:cNvPicPr/>
                        </pic:nvPicPr>
                        <pic:blipFill>
                          <a:blip r:embed="rId50">
                            <a:extLst>
                              <a:ext uri="{96DAC541-7B7A-43D3-8B79-37D633B846F1}">
                                <asvg:svgBlip xmlns:asvg="http://schemas.microsoft.com/office/drawing/2016/SVG/main" r:embed="rId51"/>
                              </a:ext>
                            </a:extLst>
                          </a:blip>
                          <a:stretch>
                            <a:fillRect/>
                          </a:stretch>
                        </pic:blipFill>
                        <pic:spPr>
                          <a:xfrm>
                            <a:off x="0" y="0"/>
                            <a:ext cx="278342" cy="278342"/>
                          </a:xfrm>
                          <a:prstGeom prst="rect">
                            <a:avLst/>
                          </a:prstGeom>
                        </pic:spPr>
                      </pic:pic>
                    </a:graphicData>
                  </a:graphic>
                  <wp14:sizeRelH relativeFrom="page">
                    <wp14:pctWidth>0</wp14:pctWidth>
                  </wp14:sizeRelH>
                  <wp14:sizeRelV relativeFrom="page">
                    <wp14:pctHeight>0</wp14:pctHeight>
                  </wp14:sizeRelV>
                </wp:anchor>
              </w:drawing>
            </w:r>
          </w:p>
        </w:tc>
        <w:tc>
          <w:tcPr>
            <w:tcW w:w="8767" w:type="dxa"/>
          </w:tcPr>
          <w:p w14:paraId="56B54232" w14:textId="1A8FE676" w:rsidR="00C77C8C" w:rsidRPr="00C64064" w:rsidRDefault="10E43535" w:rsidP="5583D54B">
            <w:pPr>
              <w:spacing w:before="100" w:after="100"/>
              <w:ind w:left="188"/>
              <w:cnfStyle w:val="100000000000" w:firstRow="1" w:lastRow="0" w:firstColumn="0" w:lastColumn="0" w:oddVBand="0" w:evenVBand="0" w:oddHBand="0" w:evenHBand="0" w:firstRowFirstColumn="0" w:firstRowLastColumn="0" w:lastRowFirstColumn="0" w:lastRowLastColumn="0"/>
              <w:rPr>
                <w:rFonts w:asciiTheme="majorHAnsi" w:hAnsiTheme="majorHAnsi" w:cstheme="majorBidi"/>
                <w:b w:val="0"/>
                <w:bCs w:val="0"/>
              </w:rPr>
            </w:pPr>
            <w:r w:rsidRPr="5583D54B">
              <w:rPr>
                <w:rFonts w:asciiTheme="majorHAnsi" w:hAnsiTheme="majorHAnsi" w:cstheme="majorBidi"/>
                <w:sz w:val="32"/>
                <w:szCs w:val="32"/>
              </w:rPr>
              <w:t>31%</w:t>
            </w:r>
            <w:r w:rsidR="009E0E53">
              <w:br/>
            </w:r>
            <w:r w:rsidR="00C77C8C" w:rsidRPr="5583D54B">
              <w:rPr>
                <w:rFonts w:asciiTheme="majorHAnsi" w:hAnsiTheme="majorHAnsi" w:cstheme="majorBidi"/>
                <w:b w:val="0"/>
                <w:bCs w:val="0"/>
              </w:rPr>
              <w:t>of</w:t>
            </w:r>
            <w:r w:rsidR="00C77C8C" w:rsidRPr="15628A1B">
              <w:rPr>
                <w:rFonts w:asciiTheme="majorHAnsi" w:hAnsiTheme="majorHAnsi" w:cstheme="majorBidi"/>
                <w:b w:val="0"/>
                <w:bCs w:val="0"/>
              </w:rPr>
              <w:t xml:space="preserve"> </w:t>
            </w:r>
            <w:r w:rsidR="17F08422" w:rsidRPr="15628A1B">
              <w:rPr>
                <w:rFonts w:asciiTheme="majorHAnsi" w:hAnsiTheme="majorHAnsi" w:cstheme="majorBidi"/>
                <w:b w:val="0"/>
                <w:bCs w:val="0"/>
              </w:rPr>
              <w:t>2,</w:t>
            </w:r>
            <w:r w:rsidR="57707D58" w:rsidRPr="15628A1B">
              <w:rPr>
                <w:rFonts w:asciiTheme="majorHAnsi" w:hAnsiTheme="majorHAnsi" w:cstheme="majorBidi"/>
                <w:b w:val="0"/>
                <w:bCs w:val="0"/>
              </w:rPr>
              <w:t>257</w:t>
            </w:r>
            <w:r w:rsidR="00C77C8C" w:rsidRPr="5583D54B">
              <w:rPr>
                <w:rFonts w:asciiTheme="majorHAnsi" w:hAnsiTheme="majorHAnsi" w:cstheme="majorBidi"/>
                <w:b w:val="0"/>
                <w:bCs w:val="0"/>
              </w:rPr>
              <w:t xml:space="preserve"> women respondents experienced improved knowledge and skills in farming practices this semester</w:t>
            </w:r>
          </w:p>
        </w:tc>
      </w:tr>
      <w:tr w:rsidR="006176AF" w:rsidRPr="00C64064" w14:paraId="70C00DCD" w14:textId="77777777" w:rsidTr="5583D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DB65D91" w14:textId="4797D5E2" w:rsidR="00C77C8C" w:rsidRPr="00C64064" w:rsidRDefault="00C77C8C">
            <w:pPr>
              <w:spacing w:before="100" w:after="100"/>
              <w:ind w:left="188"/>
              <w:rPr>
                <w:rFonts w:asciiTheme="majorHAnsi" w:hAnsiTheme="majorHAnsi" w:cstheme="majorHAnsi"/>
                <w:b w:val="0"/>
                <w:bCs w:val="0"/>
                <w:sz w:val="32"/>
                <w:szCs w:val="32"/>
              </w:rPr>
            </w:pPr>
            <w:r w:rsidRPr="00C64064">
              <w:rPr>
                <w:rFonts w:asciiTheme="majorHAnsi" w:hAnsiTheme="majorHAnsi" w:cstheme="majorHAnsi"/>
                <w:noProof/>
              </w:rPr>
              <w:drawing>
                <wp:anchor distT="0" distB="0" distL="114300" distR="114300" simplePos="0" relativeHeight="251579904" behindDoc="0" locked="0" layoutInCell="1" allowOverlap="1" wp14:anchorId="6B47F012" wp14:editId="41D1D2A2">
                  <wp:simplePos x="0" y="0"/>
                  <wp:positionH relativeFrom="column">
                    <wp:posOffset>70273</wp:posOffset>
                  </wp:positionH>
                  <wp:positionV relativeFrom="paragraph">
                    <wp:posOffset>101600</wp:posOffset>
                  </wp:positionV>
                  <wp:extent cx="313267" cy="313267"/>
                  <wp:effectExtent l="0" t="0" r="4445" b="4445"/>
                  <wp:wrapNone/>
                  <wp:docPr id="2012697912" name="Graphic 20126979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203580" name="Graphic 7">
                            <a:extLst>
                              <a:ext uri="{C183D7F6-B498-43B3-948B-1728B52AA6E4}">
                                <adec:decorative xmlns:adec="http://schemas.microsoft.com/office/drawing/2017/decorative" val="1"/>
                              </a:ext>
                            </a:extLst>
                          </pic:cNvPr>
                          <pic:cNvPicPr/>
                        </pic:nvPicPr>
                        <pic:blipFill>
                          <a:blip r:embed="rId52">
                            <a:extLst>
                              <a:ext uri="{96DAC541-7B7A-43D3-8B79-37D633B846F1}">
                                <asvg:svgBlip xmlns:asvg="http://schemas.microsoft.com/office/drawing/2016/SVG/main" r:embed="rId53"/>
                              </a:ext>
                            </a:extLst>
                          </a:blip>
                          <a:stretch>
                            <a:fillRect/>
                          </a:stretch>
                        </pic:blipFill>
                        <pic:spPr>
                          <a:xfrm>
                            <a:off x="0" y="0"/>
                            <a:ext cx="313267" cy="313267"/>
                          </a:xfrm>
                          <a:prstGeom prst="rect">
                            <a:avLst/>
                          </a:prstGeom>
                        </pic:spPr>
                      </pic:pic>
                    </a:graphicData>
                  </a:graphic>
                  <wp14:sizeRelH relativeFrom="page">
                    <wp14:pctWidth>0</wp14:pctWidth>
                  </wp14:sizeRelH>
                  <wp14:sizeRelV relativeFrom="page">
                    <wp14:pctHeight>0</wp14:pctHeight>
                  </wp14:sizeRelV>
                </wp:anchor>
              </w:drawing>
            </w:r>
          </w:p>
        </w:tc>
        <w:tc>
          <w:tcPr>
            <w:tcW w:w="8767" w:type="dxa"/>
          </w:tcPr>
          <w:p w14:paraId="783051D3" w14:textId="2A9E283B" w:rsidR="00C77C8C" w:rsidRPr="00C64064" w:rsidRDefault="006176AF">
            <w:pPr>
              <w:spacing w:before="100" w:after="100"/>
              <w:ind w:left="188"/>
              <w:cnfStyle w:val="000000100000" w:firstRow="0" w:lastRow="0" w:firstColumn="0" w:lastColumn="0" w:oddVBand="0" w:evenVBand="0" w:oddHBand="1" w:evenHBand="0" w:firstRowFirstColumn="0" w:firstRowLastColumn="0" w:lastRowFirstColumn="0" w:lastRowLastColumn="0"/>
              <w:rPr>
                <w:rFonts w:asciiTheme="majorHAnsi" w:hAnsiTheme="majorHAnsi" w:cstheme="majorBidi"/>
              </w:rPr>
            </w:pPr>
            <w:r w:rsidRPr="15628A1B">
              <w:rPr>
                <w:rFonts w:asciiTheme="majorHAnsi" w:hAnsiTheme="majorHAnsi" w:cstheme="majorBidi"/>
                <w:b/>
                <w:sz w:val="32"/>
                <w:szCs w:val="32"/>
              </w:rPr>
              <w:t>59</w:t>
            </w:r>
            <w:r w:rsidR="00C77C8C" w:rsidRPr="15628A1B">
              <w:rPr>
                <w:rFonts w:asciiTheme="majorHAnsi" w:hAnsiTheme="majorHAnsi" w:cstheme="majorBidi"/>
                <w:b/>
                <w:sz w:val="32"/>
                <w:szCs w:val="32"/>
              </w:rPr>
              <w:t>%</w:t>
            </w:r>
            <w:r w:rsidR="00C77C8C" w:rsidRPr="15628A1B">
              <w:rPr>
                <w:rFonts w:asciiTheme="majorHAnsi" w:hAnsiTheme="majorHAnsi" w:cstheme="majorBidi"/>
              </w:rPr>
              <w:t xml:space="preserve"> </w:t>
            </w:r>
            <w:r w:rsidR="00C77C8C">
              <w:br/>
            </w:r>
            <w:r w:rsidR="00C77C8C" w:rsidRPr="15628A1B">
              <w:rPr>
                <w:rFonts w:asciiTheme="majorHAnsi" w:hAnsiTheme="majorHAnsi" w:cstheme="majorBidi"/>
              </w:rPr>
              <w:t xml:space="preserve">of </w:t>
            </w:r>
            <w:r w:rsidR="469EDD15" w:rsidRPr="15628A1B">
              <w:rPr>
                <w:rFonts w:asciiTheme="majorHAnsi" w:hAnsiTheme="majorHAnsi" w:cstheme="majorBidi"/>
              </w:rPr>
              <w:t xml:space="preserve">2,422 </w:t>
            </w:r>
            <w:r w:rsidR="00C77C8C" w:rsidRPr="15628A1B">
              <w:rPr>
                <w:rFonts w:asciiTheme="majorHAnsi" w:hAnsiTheme="majorHAnsi" w:cstheme="majorBidi"/>
              </w:rPr>
              <w:t>women respondents experienced economic advancement</w:t>
            </w:r>
          </w:p>
        </w:tc>
      </w:tr>
      <w:tr w:rsidR="006176AF" w:rsidRPr="00C64064" w14:paraId="60BAFDE9" w14:textId="77777777" w:rsidTr="5583D54B">
        <w:tc>
          <w:tcPr>
            <w:cnfStyle w:val="001000000000" w:firstRow="0" w:lastRow="0" w:firstColumn="1" w:lastColumn="0" w:oddVBand="0" w:evenVBand="0" w:oddHBand="0" w:evenHBand="0" w:firstRowFirstColumn="0" w:firstRowLastColumn="0" w:lastRowFirstColumn="0" w:lastRowLastColumn="0"/>
            <w:tcW w:w="851" w:type="dxa"/>
          </w:tcPr>
          <w:p w14:paraId="12DE5EF2" w14:textId="646CBDB1" w:rsidR="00C77C8C" w:rsidRPr="00C64064" w:rsidRDefault="00C77C8C">
            <w:pPr>
              <w:spacing w:before="100" w:after="100"/>
              <w:ind w:left="188"/>
              <w:rPr>
                <w:rFonts w:asciiTheme="majorHAnsi" w:hAnsiTheme="majorHAnsi" w:cstheme="majorHAnsi"/>
                <w:sz w:val="32"/>
                <w:szCs w:val="32"/>
              </w:rPr>
            </w:pPr>
            <w:r w:rsidRPr="00C64064">
              <w:rPr>
                <w:rFonts w:asciiTheme="majorHAnsi" w:hAnsiTheme="majorHAnsi" w:cstheme="majorHAnsi"/>
                <w:noProof/>
              </w:rPr>
              <w:drawing>
                <wp:anchor distT="0" distB="0" distL="114300" distR="114300" simplePos="0" relativeHeight="251585024" behindDoc="0" locked="0" layoutInCell="1" allowOverlap="1" wp14:anchorId="298A6081" wp14:editId="3CA4EB90">
                  <wp:simplePos x="0" y="0"/>
                  <wp:positionH relativeFrom="column">
                    <wp:posOffset>48048</wp:posOffset>
                  </wp:positionH>
                  <wp:positionV relativeFrom="paragraph">
                    <wp:posOffset>34290</wp:posOffset>
                  </wp:positionV>
                  <wp:extent cx="360000" cy="360000"/>
                  <wp:effectExtent l="0" t="0" r="0" b="0"/>
                  <wp:wrapNone/>
                  <wp:docPr id="152994709" name="Graphic 1529947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986534" name="Graphic 8">
                            <a:extLst>
                              <a:ext uri="{C183D7F6-B498-43B3-948B-1728B52AA6E4}">
                                <adec:decorative xmlns:adec="http://schemas.microsoft.com/office/drawing/2017/decorative" val="1"/>
                              </a:ext>
                            </a:extLst>
                          </pic:cNvPr>
                          <pic:cNvPicPr/>
                        </pic:nvPicPr>
                        <pic:blipFill>
                          <a:blip r:embed="rId54">
                            <a:extLst>
                              <a:ext uri="{96DAC541-7B7A-43D3-8B79-37D633B846F1}">
                                <asvg:svgBlip xmlns:asvg="http://schemas.microsoft.com/office/drawing/2016/SVG/main" r:embed="rId55"/>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tc>
        <w:tc>
          <w:tcPr>
            <w:tcW w:w="8767" w:type="dxa"/>
          </w:tcPr>
          <w:p w14:paraId="77ED2BEC" w14:textId="0A1070B8" w:rsidR="00C77C8C" w:rsidRPr="00C64064" w:rsidRDefault="00C62809">
            <w:pPr>
              <w:spacing w:before="100" w:after="100"/>
              <w:ind w:left="188"/>
              <w:cnfStyle w:val="000000000000" w:firstRow="0" w:lastRow="0" w:firstColumn="0" w:lastColumn="0" w:oddVBand="0" w:evenVBand="0" w:oddHBand="0" w:evenHBand="0" w:firstRowFirstColumn="0" w:firstRowLastColumn="0" w:lastRowFirstColumn="0" w:lastRowLastColumn="0"/>
              <w:rPr>
                <w:rFonts w:asciiTheme="majorHAnsi" w:hAnsiTheme="majorHAnsi" w:cstheme="majorBidi"/>
                <w:b/>
              </w:rPr>
            </w:pPr>
            <w:r w:rsidRPr="15628A1B">
              <w:rPr>
                <w:rFonts w:asciiTheme="majorHAnsi" w:hAnsiTheme="majorHAnsi" w:cstheme="majorBidi"/>
                <w:b/>
                <w:sz w:val="32"/>
                <w:szCs w:val="32"/>
              </w:rPr>
              <w:t>28</w:t>
            </w:r>
            <w:r w:rsidR="00C77C8C" w:rsidRPr="15628A1B">
              <w:rPr>
                <w:rFonts w:asciiTheme="majorHAnsi" w:hAnsiTheme="majorHAnsi" w:cstheme="majorBidi"/>
                <w:b/>
                <w:sz w:val="32"/>
                <w:szCs w:val="32"/>
              </w:rPr>
              <w:t>%</w:t>
            </w:r>
            <w:r w:rsidR="00C77C8C">
              <w:br/>
            </w:r>
            <w:r w:rsidR="00C77C8C" w:rsidRPr="15628A1B">
              <w:rPr>
                <w:rFonts w:asciiTheme="majorHAnsi" w:hAnsiTheme="majorHAnsi" w:cstheme="majorBidi"/>
              </w:rPr>
              <w:t xml:space="preserve">of </w:t>
            </w:r>
            <w:r w:rsidR="5BB33233" w:rsidRPr="15628A1B">
              <w:rPr>
                <w:rFonts w:asciiTheme="majorHAnsi" w:hAnsiTheme="majorHAnsi" w:cstheme="majorBidi"/>
              </w:rPr>
              <w:t>2,306</w:t>
            </w:r>
            <w:r w:rsidR="00C77C8C" w:rsidRPr="15628A1B">
              <w:rPr>
                <w:rFonts w:asciiTheme="majorHAnsi" w:hAnsiTheme="majorHAnsi" w:cstheme="majorBidi"/>
              </w:rPr>
              <w:t xml:space="preserve"> women respondents experienced increased decision-making in agriculture</w:t>
            </w:r>
          </w:p>
        </w:tc>
      </w:tr>
    </w:tbl>
    <w:p w14:paraId="2DBCB41E" w14:textId="77777777" w:rsidR="00C77C8C" w:rsidRPr="00C64064" w:rsidRDefault="00C77C8C" w:rsidP="00C77C8C">
      <w:pPr>
        <w:rPr>
          <w:rFonts w:asciiTheme="majorHAnsi" w:hAnsiTheme="majorHAnsi" w:cstheme="majorHAnsi"/>
          <w:color w:val="FF0000"/>
        </w:rPr>
      </w:pPr>
    </w:p>
    <w:p w14:paraId="5A3C13BD" w14:textId="2F9C60B9" w:rsidR="007F677F" w:rsidRPr="007F677F" w:rsidRDefault="00BA042A" w:rsidP="007F677F">
      <w:pPr>
        <w:keepNext/>
        <w:keepLines/>
        <w:spacing w:after="120" w:line="276" w:lineRule="auto"/>
        <w:ind w:left="11"/>
        <w:outlineLvl w:val="1"/>
        <w:rPr>
          <w:rFonts w:asciiTheme="majorHAnsi" w:hAnsiTheme="majorHAnsi" w:cstheme="majorBidi"/>
          <w:lang w:val="en-ID"/>
        </w:rPr>
      </w:pPr>
      <w:r w:rsidRPr="00C64064">
        <w:rPr>
          <w:rFonts w:asciiTheme="majorHAnsi" w:hAnsiTheme="majorHAnsi" w:cstheme="majorHAnsi"/>
          <w:b/>
          <w:bCs/>
          <w:noProof/>
          <w:color w:val="02616F" w:themeColor="accent1" w:themeShade="80"/>
        </w:rPr>
        <w:lastRenderedPageBreak/>
        <w:drawing>
          <wp:inline distT="0" distB="0" distL="0" distR="0" wp14:anchorId="37E81E37" wp14:editId="7006E513">
            <wp:extent cx="403200" cy="403200"/>
            <wp:effectExtent l="0" t="0" r="0" b="0"/>
            <wp:docPr id="6" name="Graphic 5" descr="Coins with solid fill">
              <a:extLst xmlns:a="http://schemas.openxmlformats.org/drawingml/2006/main">
                <a:ext uri="{FF2B5EF4-FFF2-40B4-BE49-F238E27FC236}">
                  <a16:creationId xmlns:a16="http://schemas.microsoft.com/office/drawing/2014/main" id="{5FC8AF03-747C-F2AC-D73C-805E67B0D4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5" descr="Coins with solid fill">
                      <a:extLst>
                        <a:ext uri="{FF2B5EF4-FFF2-40B4-BE49-F238E27FC236}">
                          <a16:creationId xmlns:a16="http://schemas.microsoft.com/office/drawing/2014/main" id="{5FC8AF03-747C-F2AC-D73C-805E67B0D4E1}"/>
                        </a:ext>
                      </a:extLst>
                    </pic:cNvPr>
                    <pic:cNvPicPr>
                      <a:picLocks noChangeAspect="1"/>
                    </pic:cNvPicPr>
                  </pic:nvPicPr>
                  <pic:blipFill>
                    <a:blip r:embed="rId56">
                      <a:extLst>
                        <a:ext uri="{96DAC541-7B7A-43D3-8B79-37D633B846F1}">
                          <asvg:svgBlip xmlns:asvg="http://schemas.microsoft.com/office/drawing/2016/SVG/main" r:embed="rId57"/>
                        </a:ext>
                      </a:extLst>
                    </a:blip>
                    <a:srcRect/>
                    <a:stretch/>
                  </pic:blipFill>
                  <pic:spPr>
                    <a:xfrm>
                      <a:off x="0" y="0"/>
                      <a:ext cx="408756" cy="408756"/>
                    </a:xfrm>
                    <a:prstGeom prst="rect">
                      <a:avLst/>
                    </a:prstGeom>
                  </pic:spPr>
                </pic:pic>
              </a:graphicData>
            </a:graphic>
          </wp:inline>
        </w:drawing>
      </w:r>
      <w:r w:rsidR="50E0D9E5" w:rsidRPr="5583D54B">
        <w:rPr>
          <w:rFonts w:asciiTheme="majorHAnsi" w:hAnsiTheme="majorHAnsi" w:cstheme="majorBidi"/>
          <w:b/>
          <w:bCs/>
          <w:color w:val="02616F" w:themeColor="accent1" w:themeShade="80"/>
        </w:rPr>
        <w:t xml:space="preserve"> Women farmers </w:t>
      </w:r>
      <w:r w:rsidR="27CA2E8C" w:rsidRPr="5583D54B">
        <w:rPr>
          <w:rFonts w:asciiTheme="majorHAnsi" w:hAnsiTheme="majorHAnsi" w:cstheme="majorBidi"/>
          <w:b/>
          <w:bCs/>
          <w:color w:val="02616F" w:themeColor="accent1" w:themeShade="80"/>
        </w:rPr>
        <w:t>share their story</w:t>
      </w:r>
      <w:r w:rsidR="007F677F">
        <w:rPr>
          <w:rFonts w:asciiTheme="majorHAnsi" w:hAnsiTheme="majorHAnsi" w:cstheme="majorBidi"/>
          <w:b/>
          <w:bCs/>
          <w:color w:val="02616F" w:themeColor="accent1" w:themeShade="80"/>
        </w:rPr>
        <w:br/>
      </w:r>
      <w:r w:rsidRPr="00C64064">
        <w:rPr>
          <w:rFonts w:asciiTheme="majorHAnsi" w:hAnsiTheme="majorHAnsi" w:cstheme="majorHAnsi"/>
        </w:rPr>
        <w:br/>
      </w:r>
      <w:r w:rsidR="007F677F" w:rsidRPr="007F677F">
        <w:rPr>
          <w:rFonts w:asciiTheme="majorHAnsi" w:hAnsiTheme="majorHAnsi" w:cstheme="majorBidi"/>
          <w:lang w:val="en-ID"/>
        </w:rPr>
        <w:t>Commemorating International Women’s Day, PRISMA hosted a business seminar</w:t>
      </w:r>
      <w:r w:rsidR="003D3BC3">
        <w:rPr>
          <w:rFonts w:asciiTheme="majorHAnsi" w:hAnsiTheme="majorHAnsi" w:cstheme="majorBidi"/>
          <w:lang w:val="en-ID"/>
        </w:rPr>
        <w:t xml:space="preserve"> </w:t>
      </w:r>
      <w:r w:rsidR="007F677F" w:rsidRPr="007F677F">
        <w:rPr>
          <w:rFonts w:asciiTheme="majorHAnsi" w:hAnsiTheme="majorHAnsi" w:cstheme="majorBidi"/>
          <w:lang w:val="en-ID"/>
        </w:rPr>
        <w:t>titled </w:t>
      </w:r>
      <w:r w:rsidR="007F677F" w:rsidRPr="007F677F">
        <w:rPr>
          <w:rFonts w:asciiTheme="majorHAnsi" w:hAnsiTheme="majorHAnsi" w:cstheme="majorBidi"/>
          <w:i/>
          <w:iCs/>
          <w:lang w:val="en-ID"/>
        </w:rPr>
        <w:t>“Empowering Women in Agriculture – Opportunities for Business”</w:t>
      </w:r>
      <w:r w:rsidR="007F677F" w:rsidRPr="007F677F">
        <w:rPr>
          <w:rFonts w:asciiTheme="majorHAnsi" w:hAnsiTheme="majorHAnsi" w:cstheme="majorBidi"/>
          <w:lang w:val="en-ID"/>
        </w:rPr>
        <w:t> in Jakarta on 7 March. The event attracted 87 participants from the private sector, development organizations, and women farmers. In collaboration with the Partnership for Indonesia’s Sustainable Agriculture (PISAgro), the seminar focused on the pivotal role of women in agriculture, both as customers and as staff.</w:t>
      </w:r>
    </w:p>
    <w:p w14:paraId="4DCE2DA6" w14:textId="77777777" w:rsidR="007F677F" w:rsidRPr="007F677F" w:rsidRDefault="007F677F" w:rsidP="007F677F">
      <w:pPr>
        <w:keepNext/>
        <w:keepLines/>
        <w:spacing w:after="120" w:line="276" w:lineRule="auto"/>
        <w:ind w:left="11"/>
        <w:outlineLvl w:val="1"/>
        <w:rPr>
          <w:rFonts w:asciiTheme="majorHAnsi" w:hAnsiTheme="majorHAnsi" w:cstheme="majorBidi"/>
          <w:lang w:val="en-ID"/>
        </w:rPr>
      </w:pPr>
      <w:r w:rsidRPr="007F677F">
        <w:rPr>
          <w:rFonts w:asciiTheme="majorHAnsi" w:hAnsiTheme="majorHAnsi" w:cstheme="majorBidi"/>
          <w:lang w:val="en-ID"/>
        </w:rPr>
        <w:t>Ibu Lasmi traveled from her fertile farm in the foothills of Mount Merbabu to Jakarta to share her story at the PRISMA-PISAgro event. As a vegetable farmer and leader of an all-women’s farmers' group, she was eager to highlight the importance of access to finance and training opportunities provided through PRISMA's partnership.</w:t>
      </w:r>
    </w:p>
    <w:p w14:paraId="79BA1A09" w14:textId="77777777" w:rsidR="007F677F" w:rsidRPr="007F677F" w:rsidRDefault="007F677F" w:rsidP="007F677F">
      <w:pPr>
        <w:keepNext/>
        <w:keepLines/>
        <w:spacing w:after="120" w:line="276" w:lineRule="auto"/>
        <w:ind w:left="11"/>
        <w:outlineLvl w:val="1"/>
        <w:rPr>
          <w:rFonts w:asciiTheme="majorHAnsi" w:hAnsiTheme="majorHAnsi" w:cstheme="majorBidi"/>
          <w:lang w:val="en-ID"/>
        </w:rPr>
      </w:pPr>
      <w:r w:rsidRPr="007F677F">
        <w:rPr>
          <w:rFonts w:asciiTheme="majorHAnsi" w:hAnsiTheme="majorHAnsi" w:cstheme="majorBidi"/>
          <w:lang w:val="en-ID"/>
        </w:rPr>
        <w:t>PRISMA worked with the finance company PNM to offer loans paired with training for women’s farmer groups. The training focused on enhancing business knowledge and fostering effective collaboration within the groups, with the goal of improving productivity. For PNM, this initiative also supports customer acquisition and retention. As a result of this partnership, Ibu Lasmi’s group has transitioned to growing higher-value, organic vegetables and significantly boosted their productivity.</w:t>
      </w:r>
    </w:p>
    <w:p w14:paraId="3AF16089" w14:textId="7385B836" w:rsidR="005974C5" w:rsidRDefault="0023174C" w:rsidP="007F677F">
      <w:pPr>
        <w:keepNext/>
        <w:keepLines/>
        <w:spacing w:after="120" w:line="276" w:lineRule="auto"/>
        <w:outlineLvl w:val="1"/>
        <w:rPr>
          <w:rFonts w:asciiTheme="majorHAnsi" w:hAnsiTheme="majorHAnsi" w:cstheme="majorHAnsi"/>
          <w:b/>
          <w:sz w:val="24"/>
          <w:szCs w:val="24"/>
        </w:rPr>
      </w:pPr>
      <w:r w:rsidRPr="00C64064">
        <w:rPr>
          <w:rFonts w:asciiTheme="majorHAnsi" w:hAnsiTheme="majorHAnsi" w:cstheme="majorHAnsi"/>
          <w:noProof/>
        </w:rPr>
        <mc:AlternateContent>
          <mc:Choice Requires="wps">
            <w:drawing>
              <wp:anchor distT="0" distB="0" distL="114300" distR="114300" simplePos="0" relativeHeight="251769344" behindDoc="0" locked="0" layoutInCell="1" allowOverlap="1" wp14:anchorId="2B4BD13F" wp14:editId="0C40E867">
                <wp:simplePos x="0" y="0"/>
                <wp:positionH relativeFrom="margin">
                  <wp:align>right</wp:align>
                </wp:positionH>
                <wp:positionV relativeFrom="paragraph">
                  <wp:posOffset>2222362</wp:posOffset>
                </wp:positionV>
                <wp:extent cx="6119495" cy="1731523"/>
                <wp:effectExtent l="0" t="0" r="0" b="2540"/>
                <wp:wrapNone/>
                <wp:docPr id="537766473" name="Text Box 5377664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119495" cy="1731523"/>
                        </a:xfrm>
                        <a:prstGeom prst="rect">
                          <a:avLst/>
                        </a:prstGeom>
                        <a:solidFill>
                          <a:srgbClr val="252C66"/>
                        </a:solidFill>
                        <a:ln w="6350">
                          <a:noFill/>
                        </a:ln>
                      </wps:spPr>
                      <wps:txbx>
                        <w:txbxContent>
                          <w:p w14:paraId="6BF44B79" w14:textId="77777777" w:rsidR="0023174C" w:rsidRPr="0023174C" w:rsidRDefault="0023174C" w:rsidP="0023174C">
                            <w:pPr>
                              <w:pStyle w:val="paragraph"/>
                              <w:spacing w:before="0" w:beforeAutospacing="0" w:after="200" w:afterAutospacing="0"/>
                              <w:textAlignment w:val="baseline"/>
                              <w:rPr>
                                <w:rStyle w:val="normaltextrun"/>
                                <w:rFonts w:ascii="Arial" w:hAnsi="Arial" w:cs="Arial"/>
                                <w:i/>
                                <w:iCs/>
                                <w:color w:val="FFFFFF" w:themeColor="background1"/>
                                <w:lang w:val="en-US"/>
                              </w:rPr>
                            </w:pPr>
                            <w:r w:rsidRPr="001B5A11">
                              <w:rPr>
                                <w:rFonts w:ascii="Arial" w:hAnsi="Arial" w:cs="Arial"/>
                                <w:i/>
                                <w:iCs/>
                                <w:noProof/>
                                <w:color w:val="FFFFFF" w:themeColor="background1"/>
                                <w:lang w:val="en-US"/>
                              </w:rPr>
                              <w:drawing>
                                <wp:inline distT="0" distB="0" distL="0" distR="0" wp14:anchorId="789338FC" wp14:editId="42FE1F59">
                                  <wp:extent cx="228600" cy="228600"/>
                                  <wp:effectExtent l="0" t="0" r="0" b="0"/>
                                  <wp:docPr id="1210647563" name="Graphic 12106475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566197"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228600" cy="228600"/>
                                          </a:xfrm>
                                          <a:prstGeom prst="rect">
                                            <a:avLst/>
                                          </a:prstGeom>
                                        </pic:spPr>
                                      </pic:pic>
                                    </a:graphicData>
                                  </a:graphic>
                                </wp:inline>
                              </w:drawing>
                            </w:r>
                          </w:p>
                          <w:p w14:paraId="369F1821" w14:textId="7B91148B" w:rsidR="006A0103" w:rsidRDefault="006A0103" w:rsidP="0023174C">
                            <w:pPr>
                              <w:pStyle w:val="paragraph"/>
                              <w:spacing w:after="200"/>
                              <w:textAlignment w:val="baseline"/>
                              <w:rPr>
                                <w:rFonts w:asciiTheme="minorHAnsi" w:eastAsiaTheme="minorEastAsia" w:hAnsiTheme="minorHAnsi" w:cs="Arial"/>
                                <w:color w:val="FFFFFF" w:themeColor="background1"/>
                                <w:sz w:val="22"/>
                                <w:szCs w:val="22"/>
                                <w:lang w:val="en-GB" w:eastAsia="en-GB"/>
                              </w:rPr>
                            </w:pPr>
                            <w:r w:rsidRPr="006A0103">
                              <w:rPr>
                                <w:rFonts w:asciiTheme="minorHAnsi" w:eastAsiaTheme="minorEastAsia" w:hAnsiTheme="minorHAnsi" w:cs="Arial"/>
                                <w:color w:val="FFFFFF" w:themeColor="background1"/>
                                <w:sz w:val="22"/>
                                <w:szCs w:val="22"/>
                                <w:lang w:val="en-GB" w:eastAsia="en-GB"/>
                              </w:rPr>
                              <w:t>“What I found helpful was the support from PNM to strengthen communication in the group and define the roles, our business knowledge and ways to improve our farming, like making our own organic fertilise</w:t>
                            </w:r>
                            <w:r w:rsidR="00D72C3B">
                              <w:rPr>
                                <w:rFonts w:asciiTheme="minorHAnsi" w:eastAsiaTheme="minorEastAsia" w:hAnsiTheme="minorHAnsi" w:cs="Arial"/>
                                <w:color w:val="FFFFFF" w:themeColor="background1"/>
                                <w:sz w:val="22"/>
                                <w:szCs w:val="22"/>
                                <w:lang w:val="en-GB" w:eastAsia="en-GB"/>
                              </w:rPr>
                              <w:t>r</w:t>
                            </w:r>
                            <w:r w:rsidR="00094519">
                              <w:rPr>
                                <w:rFonts w:asciiTheme="minorHAnsi" w:eastAsiaTheme="minorEastAsia" w:hAnsiTheme="minorHAnsi" w:cs="Arial"/>
                                <w:color w:val="FFFFFF" w:themeColor="background1"/>
                                <w:sz w:val="22"/>
                                <w:szCs w:val="22"/>
                                <w:lang w:val="en-GB" w:eastAsia="en-GB"/>
                              </w:rPr>
                              <w:t>.</w:t>
                            </w:r>
                            <w:r w:rsidRPr="006A0103">
                              <w:rPr>
                                <w:rFonts w:asciiTheme="minorHAnsi" w:eastAsiaTheme="minorEastAsia" w:hAnsiTheme="minorHAnsi" w:cs="Arial"/>
                                <w:color w:val="FFFFFF" w:themeColor="background1"/>
                                <w:sz w:val="22"/>
                                <w:szCs w:val="22"/>
                                <w:lang w:val="en-GB" w:eastAsia="en-GB"/>
                              </w:rPr>
                              <w:t>” explains Ibu Lasmi.  </w:t>
                            </w:r>
                          </w:p>
                          <w:p w14:paraId="0FAD4278" w14:textId="60D598F7" w:rsidR="0023174C" w:rsidRPr="00633C94" w:rsidRDefault="00633C94" w:rsidP="0023174C">
                            <w:pPr>
                              <w:pStyle w:val="paragraph"/>
                              <w:spacing w:after="200"/>
                              <w:textAlignment w:val="baseline"/>
                              <w:rPr>
                                <w:rFonts w:ascii="Arial" w:eastAsia="Arial" w:hAnsi="Arial" w:cs="Arial"/>
                                <w:color w:val="FFFFFF" w:themeColor="background1"/>
                                <w:sz w:val="20"/>
                                <w:szCs w:val="20"/>
                                <w:lang w:val="en-US" w:eastAsia="en-US"/>
                              </w:rPr>
                            </w:pPr>
                            <w:r>
                              <w:rPr>
                                <w:rFonts w:ascii="Arial" w:eastAsia="Arial" w:hAnsi="Arial" w:cs="Arial"/>
                                <w:color w:val="FFFFFF" w:themeColor="background1"/>
                                <w:sz w:val="20"/>
                                <w:szCs w:val="20"/>
                                <w:lang w:val="en-US" w:eastAsia="en-US"/>
                              </w:rPr>
                              <w:t xml:space="preserve">Photo: </w:t>
                            </w:r>
                            <w:r w:rsidR="0023174C" w:rsidRPr="0023174C">
                              <w:rPr>
                                <w:rFonts w:ascii="Arial" w:eastAsia="Arial" w:hAnsi="Arial" w:cs="Arial"/>
                                <w:color w:val="FFFFFF" w:themeColor="background1"/>
                                <w:sz w:val="20"/>
                                <w:szCs w:val="20"/>
                                <w:lang w:val="en-US" w:eastAsia="en-US"/>
                              </w:rPr>
                              <w:t xml:space="preserve">Lasmi, a farmer from Mekaar Abadi Women’s Farmer Group at an International Women’s Day business seminar in Jakarta, organized by PRISMA and PISAgro. </w:t>
                            </w:r>
                          </w:p>
                          <w:p w14:paraId="04DB9FEF" w14:textId="77777777" w:rsidR="0023174C" w:rsidRPr="001B5A11" w:rsidRDefault="0023174C" w:rsidP="0023174C">
                            <w:pPr>
                              <w:pStyle w:val="paragraph"/>
                              <w:spacing w:before="0" w:beforeAutospacing="0" w:after="200" w:afterAutospacing="0"/>
                              <w:textAlignment w:val="baseline"/>
                              <w:rPr>
                                <w:rFonts w:ascii="Arial" w:hAnsi="Arial" w:cs="Arial"/>
                                <w:color w:val="FFFFFF" w:themeColor="background1"/>
                                <w:sz w:val="20"/>
                                <w:szCs w:val="20"/>
                              </w:rPr>
                            </w:pP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BD13F" id="Text Box 537766473" o:spid="_x0000_s1041" type="#_x0000_t202" alt="&quot;&quot;" style="position:absolute;margin-left:430.65pt;margin-top:175pt;width:481.85pt;height:136.35pt;z-index:251769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" fillcolor="#252c66" stroked="f" strokeweight=".5pt">
                <v:textbox inset="5mm,5mm,5mm,5mm">
                  <w:txbxContent>
                    <w:p w14:paraId="6BF44B79" w14:textId="77777777" w:rsidR="0023174C" w:rsidRPr="0023174C" w:rsidRDefault="0023174C" w:rsidP="0023174C">
                      <w:pPr>
                        <w:pStyle w:val="paragraph"/>
                        <w:spacing w:before="0" w:beforeAutospacing="0" w:after="200" w:afterAutospacing="0"/>
                        <w:textAlignment w:val="baseline"/>
                        <w:rPr>
                          <w:rStyle w:val="normaltextrun"/>
                          <w:rFonts w:ascii="Arial" w:hAnsi="Arial" w:cs="Arial"/>
                          <w:i/>
                          <w:iCs/>
                          <w:color w:val="FFFFFF" w:themeColor="background1"/>
                          <w:lang w:val="en-US"/>
                        </w:rPr>
                      </w:pPr>
                      <w:r w:rsidRPr="001B5A11">
                        <w:rPr>
                          <w:rFonts w:ascii="Arial" w:hAnsi="Arial" w:cs="Arial"/>
                          <w:i/>
                          <w:iCs/>
                          <w:noProof/>
                          <w:color w:val="FFFFFF" w:themeColor="background1"/>
                          <w:lang w:val="en-US"/>
                        </w:rPr>
                        <w:drawing>
                          <wp:inline distT="0" distB="0" distL="0" distR="0" wp14:anchorId="789338FC" wp14:editId="42FE1F59">
                            <wp:extent cx="228600" cy="228600"/>
                            <wp:effectExtent l="0" t="0" r="0" b="0"/>
                            <wp:docPr id="1210647563" name="Graphic 12106475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566197"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228600" cy="228600"/>
                                    </a:xfrm>
                                    <a:prstGeom prst="rect">
                                      <a:avLst/>
                                    </a:prstGeom>
                                  </pic:spPr>
                                </pic:pic>
                              </a:graphicData>
                            </a:graphic>
                          </wp:inline>
                        </w:drawing>
                      </w:r>
                    </w:p>
                    <w:p w14:paraId="369F1821" w14:textId="7B91148B" w:rsidR="006A0103" w:rsidRDefault="006A0103" w:rsidP="0023174C">
                      <w:pPr>
                        <w:pStyle w:val="paragraph"/>
                        <w:spacing w:after="200"/>
                        <w:textAlignment w:val="baseline"/>
                        <w:rPr>
                          <w:rFonts w:asciiTheme="minorHAnsi" w:eastAsiaTheme="minorEastAsia" w:hAnsiTheme="minorHAnsi" w:cs="Arial"/>
                          <w:color w:val="FFFFFF" w:themeColor="background1"/>
                          <w:sz w:val="22"/>
                          <w:szCs w:val="22"/>
                          <w:lang w:val="en-GB" w:eastAsia="en-GB"/>
                        </w:rPr>
                      </w:pPr>
                      <w:r w:rsidRPr="006A0103">
                        <w:rPr>
                          <w:rFonts w:asciiTheme="minorHAnsi" w:eastAsiaTheme="minorEastAsia" w:hAnsiTheme="minorHAnsi" w:cs="Arial"/>
                          <w:color w:val="FFFFFF" w:themeColor="background1"/>
                          <w:sz w:val="22"/>
                          <w:szCs w:val="22"/>
                          <w:lang w:val="en-GB" w:eastAsia="en-GB"/>
                        </w:rPr>
                        <w:t>“What I found helpful was the support from PNM to strengthen communication in the group and define the roles, our business knowledge and ways to improve our farming, like making our own organic fertilise</w:t>
                      </w:r>
                      <w:r w:rsidR="00D72C3B">
                        <w:rPr>
                          <w:rFonts w:asciiTheme="minorHAnsi" w:eastAsiaTheme="minorEastAsia" w:hAnsiTheme="minorHAnsi" w:cs="Arial"/>
                          <w:color w:val="FFFFFF" w:themeColor="background1"/>
                          <w:sz w:val="22"/>
                          <w:szCs w:val="22"/>
                          <w:lang w:val="en-GB" w:eastAsia="en-GB"/>
                        </w:rPr>
                        <w:t>r</w:t>
                      </w:r>
                      <w:r w:rsidR="00094519">
                        <w:rPr>
                          <w:rFonts w:asciiTheme="minorHAnsi" w:eastAsiaTheme="minorEastAsia" w:hAnsiTheme="minorHAnsi" w:cs="Arial"/>
                          <w:color w:val="FFFFFF" w:themeColor="background1"/>
                          <w:sz w:val="22"/>
                          <w:szCs w:val="22"/>
                          <w:lang w:val="en-GB" w:eastAsia="en-GB"/>
                        </w:rPr>
                        <w:t>.</w:t>
                      </w:r>
                      <w:r w:rsidRPr="006A0103">
                        <w:rPr>
                          <w:rFonts w:asciiTheme="minorHAnsi" w:eastAsiaTheme="minorEastAsia" w:hAnsiTheme="minorHAnsi" w:cs="Arial"/>
                          <w:color w:val="FFFFFF" w:themeColor="background1"/>
                          <w:sz w:val="22"/>
                          <w:szCs w:val="22"/>
                          <w:lang w:val="en-GB" w:eastAsia="en-GB"/>
                        </w:rPr>
                        <w:t>” explains Ibu Lasmi.  </w:t>
                      </w:r>
                    </w:p>
                    <w:p w14:paraId="0FAD4278" w14:textId="60D598F7" w:rsidR="0023174C" w:rsidRPr="00633C94" w:rsidRDefault="00633C94" w:rsidP="0023174C">
                      <w:pPr>
                        <w:pStyle w:val="paragraph"/>
                        <w:spacing w:after="200"/>
                        <w:textAlignment w:val="baseline"/>
                        <w:rPr>
                          <w:rFonts w:ascii="Arial" w:eastAsia="Arial" w:hAnsi="Arial" w:cs="Arial"/>
                          <w:color w:val="FFFFFF" w:themeColor="background1"/>
                          <w:sz w:val="20"/>
                          <w:szCs w:val="20"/>
                          <w:lang w:val="en-US" w:eastAsia="en-US"/>
                        </w:rPr>
                      </w:pPr>
                      <w:r>
                        <w:rPr>
                          <w:rFonts w:ascii="Arial" w:eastAsia="Arial" w:hAnsi="Arial" w:cs="Arial"/>
                          <w:color w:val="FFFFFF" w:themeColor="background1"/>
                          <w:sz w:val="20"/>
                          <w:szCs w:val="20"/>
                          <w:lang w:val="en-US" w:eastAsia="en-US"/>
                        </w:rPr>
                        <w:t xml:space="preserve">Photo: </w:t>
                      </w:r>
                      <w:r w:rsidR="0023174C" w:rsidRPr="0023174C">
                        <w:rPr>
                          <w:rFonts w:ascii="Arial" w:eastAsia="Arial" w:hAnsi="Arial" w:cs="Arial"/>
                          <w:color w:val="FFFFFF" w:themeColor="background1"/>
                          <w:sz w:val="20"/>
                          <w:szCs w:val="20"/>
                          <w:lang w:val="en-US" w:eastAsia="en-US"/>
                        </w:rPr>
                        <w:t xml:space="preserve">Lasmi, a farmer from Mekaar Abadi Women’s Farmer Group at an International Women’s Day business seminar in Jakarta, organized by PRISMA and PISAgro. </w:t>
                      </w:r>
                    </w:p>
                    <w:p w14:paraId="04DB9FEF" w14:textId="77777777" w:rsidR="0023174C" w:rsidRPr="001B5A11" w:rsidRDefault="0023174C" w:rsidP="0023174C">
                      <w:pPr>
                        <w:pStyle w:val="paragraph"/>
                        <w:spacing w:before="0" w:beforeAutospacing="0" w:after="200" w:afterAutospacing="0"/>
                        <w:textAlignment w:val="baseline"/>
                        <w:rPr>
                          <w:rFonts w:ascii="Arial" w:hAnsi="Arial" w:cs="Arial"/>
                          <w:color w:val="FFFFFF" w:themeColor="background1"/>
                          <w:sz w:val="20"/>
                          <w:szCs w:val="20"/>
                        </w:rPr>
                      </w:pPr>
                    </w:p>
                  </w:txbxContent>
                </v:textbox>
                <w10:wrap anchorx="margin"/>
              </v:shape>
            </w:pict>
          </mc:Fallback>
        </mc:AlternateContent>
      </w:r>
      <w:r w:rsidR="006836C1" w:rsidRPr="00C64064">
        <w:rPr>
          <w:rFonts w:asciiTheme="majorHAnsi" w:hAnsiTheme="majorHAnsi" w:cstheme="majorHAnsi"/>
          <w:noProof/>
        </w:rPr>
        <w:drawing>
          <wp:anchor distT="0" distB="0" distL="114300" distR="114300" simplePos="0" relativeHeight="251767296" behindDoc="0" locked="0" layoutInCell="1" allowOverlap="1" wp14:anchorId="2BFF43D7" wp14:editId="7ADA4906">
            <wp:simplePos x="0" y="0"/>
            <wp:positionH relativeFrom="margin">
              <wp:posOffset>0</wp:posOffset>
            </wp:positionH>
            <wp:positionV relativeFrom="paragraph">
              <wp:posOffset>290830</wp:posOffset>
            </wp:positionV>
            <wp:extent cx="6120130" cy="2649220"/>
            <wp:effectExtent l="0" t="0" r="0" b="0"/>
            <wp:wrapTopAndBottom/>
            <wp:docPr id="1620692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6928" name="Picture 1">
                      <a:extLst>
                        <a:ext uri="{C183D7F6-B498-43B3-948B-1728B52AA6E4}">
                          <adec:decorative xmlns:adec="http://schemas.microsoft.com/office/drawing/2017/decorative" val="1"/>
                        </a:ext>
                      </a:extLst>
                    </pic:cNvPr>
                    <pic:cNvPicPr/>
                  </pic:nvPicPr>
                  <pic:blipFill rotWithShape="1">
                    <a:blip r:embed="rId58" cstate="email">
                      <a:extLst>
                        <a:ext uri="{28A0092B-C50C-407E-A947-70E740481C1C}">
                          <a14:useLocalDpi xmlns:a14="http://schemas.microsoft.com/office/drawing/2010/main"/>
                        </a:ext>
                      </a:extLst>
                    </a:blip>
                    <a:srcRect r="-10"/>
                    <a:stretch/>
                  </pic:blipFill>
                  <pic:spPr bwMode="auto">
                    <a:xfrm>
                      <a:off x="0" y="0"/>
                      <a:ext cx="6120130" cy="26492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094E0BA" w14:textId="77777777" w:rsidR="00B240C7" w:rsidRDefault="00B240C7" w:rsidP="00C77C8C">
      <w:pPr>
        <w:rPr>
          <w:rFonts w:asciiTheme="majorHAnsi" w:hAnsiTheme="majorHAnsi" w:cstheme="majorHAnsi"/>
          <w:b/>
          <w:sz w:val="24"/>
          <w:szCs w:val="24"/>
        </w:rPr>
      </w:pPr>
    </w:p>
    <w:p w14:paraId="7B43F7A7" w14:textId="7150F26E" w:rsidR="00B240C7" w:rsidRDefault="00B240C7" w:rsidP="00C77C8C">
      <w:pPr>
        <w:rPr>
          <w:rFonts w:asciiTheme="majorHAnsi" w:hAnsiTheme="majorHAnsi" w:cstheme="majorHAnsi"/>
          <w:b/>
          <w:sz w:val="24"/>
          <w:szCs w:val="24"/>
        </w:rPr>
      </w:pPr>
    </w:p>
    <w:p w14:paraId="27F2D805" w14:textId="582568B8" w:rsidR="00B240C7" w:rsidRDefault="00B240C7" w:rsidP="00C77C8C">
      <w:pPr>
        <w:rPr>
          <w:rFonts w:asciiTheme="majorHAnsi" w:hAnsiTheme="majorHAnsi" w:cstheme="majorHAnsi"/>
          <w:b/>
          <w:sz w:val="24"/>
          <w:szCs w:val="24"/>
        </w:rPr>
      </w:pPr>
    </w:p>
    <w:p w14:paraId="08F9B2E2" w14:textId="77777777" w:rsidR="005974C5" w:rsidRPr="00C64064" w:rsidRDefault="005974C5" w:rsidP="00C77C8C">
      <w:pPr>
        <w:rPr>
          <w:rFonts w:asciiTheme="majorHAnsi" w:hAnsiTheme="majorHAnsi" w:cstheme="majorHAnsi"/>
          <w:b/>
          <w:sz w:val="24"/>
          <w:szCs w:val="24"/>
        </w:rPr>
      </w:pPr>
    </w:p>
    <w:p w14:paraId="3B56BA31" w14:textId="66AA05D2" w:rsidR="00C77C8C" w:rsidRPr="00C64064" w:rsidRDefault="00C77C8C" w:rsidP="00C77C8C">
      <w:pPr>
        <w:rPr>
          <w:rFonts w:asciiTheme="majorHAnsi" w:hAnsiTheme="majorHAnsi" w:cstheme="majorHAnsi"/>
          <w:b/>
          <w:bCs/>
        </w:rPr>
      </w:pPr>
      <w:r w:rsidRPr="00C64064">
        <w:rPr>
          <w:rFonts w:asciiTheme="majorHAnsi" w:hAnsiTheme="majorHAnsi" w:cstheme="majorHAnsi"/>
          <w:b/>
          <w:sz w:val="24"/>
          <w:szCs w:val="24"/>
        </w:rPr>
        <w:t>Disability inclusion</w:t>
      </w:r>
    </w:p>
    <w:p w14:paraId="0931B4BC" w14:textId="0799F1E6" w:rsidR="00C77C8C" w:rsidRPr="00C64064" w:rsidRDefault="00C77C8C" w:rsidP="00C77C8C">
      <w:pPr>
        <w:spacing w:before="100" w:beforeAutospacing="1" w:after="100" w:afterAutospacing="1" w:line="276" w:lineRule="auto"/>
        <w:rPr>
          <w:rFonts w:asciiTheme="majorHAnsi" w:hAnsiTheme="majorHAnsi" w:cstheme="majorHAnsi"/>
        </w:rPr>
      </w:pPr>
      <w:r w:rsidRPr="00C64064">
        <w:rPr>
          <w:rFonts w:asciiTheme="majorHAnsi" w:hAnsiTheme="majorHAnsi" w:cstheme="majorHAnsi"/>
        </w:rPr>
        <w:t xml:space="preserve">PRISMA supports widespread awareness and understanding of disability in the private sector and governments to support inclusion in agriculture. </w:t>
      </w:r>
    </w:p>
    <w:tbl>
      <w:tblPr>
        <w:tblStyle w:val="PlainTable2"/>
        <w:tblW w:w="0" w:type="auto"/>
        <w:tblBorders>
          <w:top w:val="none" w:sz="0" w:space="0" w:color="auto"/>
          <w:bottom w:val="none" w:sz="0" w:space="0" w:color="auto"/>
        </w:tblBorders>
        <w:tblLook w:val="04A0" w:firstRow="1" w:lastRow="0" w:firstColumn="1" w:lastColumn="0" w:noHBand="0" w:noVBand="1"/>
      </w:tblPr>
      <w:tblGrid>
        <w:gridCol w:w="851"/>
        <w:gridCol w:w="8787"/>
      </w:tblGrid>
      <w:tr w:rsidR="00D47DCF" w:rsidRPr="00C64064" w14:paraId="44D7D57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222A6A"/>
              <w:bottom w:val="single" w:sz="8" w:space="0" w:color="222A6A"/>
            </w:tcBorders>
          </w:tcPr>
          <w:p w14:paraId="52EF35FC" w14:textId="1702F14A" w:rsidR="00C77C8C" w:rsidRPr="00C64064" w:rsidRDefault="00C77C8C">
            <w:pPr>
              <w:spacing w:before="100" w:after="100"/>
              <w:ind w:left="188"/>
              <w:rPr>
                <w:rFonts w:asciiTheme="majorHAnsi" w:hAnsiTheme="majorHAnsi" w:cstheme="majorHAnsi"/>
                <w:sz w:val="32"/>
                <w:szCs w:val="32"/>
              </w:rPr>
            </w:pPr>
            <w:r w:rsidRPr="00C64064">
              <w:rPr>
                <w:rFonts w:asciiTheme="majorHAnsi" w:hAnsiTheme="majorHAnsi" w:cstheme="majorHAnsi"/>
                <w:noProof/>
              </w:rPr>
              <w:lastRenderedPageBreak/>
              <w:drawing>
                <wp:anchor distT="0" distB="0" distL="114300" distR="114300" simplePos="0" relativeHeight="251590144" behindDoc="0" locked="0" layoutInCell="1" allowOverlap="1" wp14:anchorId="47F62EAD" wp14:editId="4A696F33">
                  <wp:simplePos x="0" y="0"/>
                  <wp:positionH relativeFrom="column">
                    <wp:posOffset>117686</wp:posOffset>
                  </wp:positionH>
                  <wp:positionV relativeFrom="paragraph">
                    <wp:posOffset>80645</wp:posOffset>
                  </wp:positionV>
                  <wp:extent cx="270000" cy="270000"/>
                  <wp:effectExtent l="0" t="0" r="0" b="0"/>
                  <wp:wrapNone/>
                  <wp:docPr id="2002901392" name="Graphic 20029013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743438" name="Graphic 11">
                            <a:extLst>
                              <a:ext uri="{C183D7F6-B498-43B3-948B-1728B52AA6E4}">
                                <adec:decorative xmlns:adec="http://schemas.microsoft.com/office/drawing/2017/decorative" val="1"/>
                              </a:ext>
                            </a:extLst>
                          </pic:cNvPr>
                          <pic:cNvPicPr/>
                        </pic:nvPicPr>
                        <pic:blipFill>
                          <a:blip r:embed="rId59">
                            <a:extLst>
                              <a:ext uri="{96DAC541-7B7A-43D3-8B79-37D633B846F1}">
                                <asvg:svgBlip xmlns:asvg="http://schemas.microsoft.com/office/drawing/2016/SVG/main" r:embed="rId60"/>
                              </a:ext>
                            </a:extLst>
                          </a:blip>
                          <a:stretch>
                            <a:fillRect/>
                          </a:stretch>
                        </pic:blipFill>
                        <pic:spPr>
                          <a:xfrm>
                            <a:off x="0" y="0"/>
                            <a:ext cx="270000" cy="270000"/>
                          </a:xfrm>
                          <a:prstGeom prst="rect">
                            <a:avLst/>
                          </a:prstGeom>
                        </pic:spPr>
                      </pic:pic>
                    </a:graphicData>
                  </a:graphic>
                  <wp14:sizeRelH relativeFrom="page">
                    <wp14:pctWidth>0</wp14:pctWidth>
                  </wp14:sizeRelH>
                  <wp14:sizeRelV relativeFrom="page">
                    <wp14:pctHeight>0</wp14:pctHeight>
                  </wp14:sizeRelV>
                </wp:anchor>
              </w:drawing>
            </w:r>
          </w:p>
        </w:tc>
        <w:tc>
          <w:tcPr>
            <w:tcW w:w="8787" w:type="dxa"/>
            <w:tcBorders>
              <w:top w:val="single" w:sz="8" w:space="0" w:color="222A6A"/>
              <w:bottom w:val="single" w:sz="8" w:space="0" w:color="222A6A"/>
            </w:tcBorders>
          </w:tcPr>
          <w:p w14:paraId="3DF6EC66" w14:textId="21ED15BD" w:rsidR="00C77C8C" w:rsidRPr="00C64064" w:rsidRDefault="00DD7AC7">
            <w:pPr>
              <w:spacing w:before="100" w:after="100"/>
              <w:ind w:left="188"/>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Cs w:val="20"/>
              </w:rPr>
            </w:pPr>
            <w:r w:rsidRPr="00C64064">
              <w:rPr>
                <w:rFonts w:asciiTheme="majorHAnsi" w:hAnsiTheme="majorHAnsi" w:cstheme="majorHAnsi"/>
                <w:sz w:val="32"/>
                <w:szCs w:val="32"/>
              </w:rPr>
              <w:t>17</w:t>
            </w:r>
            <w:r w:rsidR="00C77C8C" w:rsidRPr="00C64064">
              <w:rPr>
                <w:rFonts w:asciiTheme="majorHAnsi" w:hAnsiTheme="majorHAnsi" w:cstheme="majorHAnsi"/>
                <w:b w:val="0"/>
                <w:bCs w:val="0"/>
                <w:szCs w:val="20"/>
              </w:rPr>
              <w:br/>
              <w:t>farmers with disabilities benefitted through PRISMA’s interventions this semester</w:t>
            </w:r>
          </w:p>
        </w:tc>
      </w:tr>
      <w:tr w:rsidR="003C0C44" w:rsidRPr="00C64064" w14:paraId="27B7048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222A6A"/>
              <w:bottom w:val="single" w:sz="8" w:space="0" w:color="222A6A"/>
            </w:tcBorders>
          </w:tcPr>
          <w:p w14:paraId="27249929" w14:textId="4D9628F5" w:rsidR="00C77C8C" w:rsidRPr="00C64064" w:rsidRDefault="00C77C8C">
            <w:pPr>
              <w:spacing w:before="100" w:after="100"/>
              <w:ind w:left="188"/>
              <w:rPr>
                <w:rFonts w:asciiTheme="majorHAnsi" w:hAnsiTheme="majorHAnsi" w:cstheme="majorHAnsi"/>
                <w:b w:val="0"/>
                <w:bCs w:val="0"/>
                <w:sz w:val="32"/>
                <w:szCs w:val="32"/>
              </w:rPr>
            </w:pPr>
            <w:r w:rsidRPr="00C64064">
              <w:rPr>
                <w:rFonts w:asciiTheme="majorHAnsi" w:hAnsiTheme="majorHAnsi" w:cstheme="majorHAnsi"/>
                <w:noProof/>
              </w:rPr>
              <w:drawing>
                <wp:anchor distT="0" distB="0" distL="114300" distR="114300" simplePos="0" relativeHeight="251595264" behindDoc="0" locked="0" layoutInCell="1" allowOverlap="1" wp14:anchorId="49DBD4E3" wp14:editId="1182EEBF">
                  <wp:simplePos x="0" y="0"/>
                  <wp:positionH relativeFrom="column">
                    <wp:posOffset>109960</wp:posOffset>
                  </wp:positionH>
                  <wp:positionV relativeFrom="paragraph">
                    <wp:posOffset>115570</wp:posOffset>
                  </wp:positionV>
                  <wp:extent cx="270000" cy="270000"/>
                  <wp:effectExtent l="0" t="0" r="0" b="0"/>
                  <wp:wrapNone/>
                  <wp:docPr id="614267441" name="Graphic 6142674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804400" name="Graphic 12">
                            <a:extLst>
                              <a:ext uri="{C183D7F6-B498-43B3-948B-1728B52AA6E4}">
                                <adec:decorative xmlns:adec="http://schemas.microsoft.com/office/drawing/2017/decorative" val="1"/>
                              </a:ext>
                            </a:extLst>
                          </pic:cNvPr>
                          <pic:cNvPicPr/>
                        </pic:nvPicPr>
                        <pic:blipFill>
                          <a:blip r:embed="rId61">
                            <a:extLst>
                              <a:ext uri="{96DAC541-7B7A-43D3-8B79-37D633B846F1}">
                                <asvg:svgBlip xmlns:asvg="http://schemas.microsoft.com/office/drawing/2016/SVG/main" r:embed="rId62"/>
                              </a:ext>
                            </a:extLst>
                          </a:blip>
                          <a:stretch>
                            <a:fillRect/>
                          </a:stretch>
                        </pic:blipFill>
                        <pic:spPr>
                          <a:xfrm>
                            <a:off x="0" y="0"/>
                            <a:ext cx="270000" cy="270000"/>
                          </a:xfrm>
                          <a:prstGeom prst="rect">
                            <a:avLst/>
                          </a:prstGeom>
                        </pic:spPr>
                      </pic:pic>
                    </a:graphicData>
                  </a:graphic>
                  <wp14:sizeRelH relativeFrom="page">
                    <wp14:pctWidth>0</wp14:pctWidth>
                  </wp14:sizeRelH>
                  <wp14:sizeRelV relativeFrom="page">
                    <wp14:pctHeight>0</wp14:pctHeight>
                  </wp14:sizeRelV>
                </wp:anchor>
              </w:drawing>
            </w:r>
          </w:p>
        </w:tc>
        <w:tc>
          <w:tcPr>
            <w:tcW w:w="8787" w:type="dxa"/>
            <w:tcBorders>
              <w:top w:val="single" w:sz="8" w:space="0" w:color="222A6A"/>
              <w:bottom w:val="single" w:sz="8" w:space="0" w:color="222A6A"/>
            </w:tcBorders>
          </w:tcPr>
          <w:p w14:paraId="42148174" w14:textId="46D6699C" w:rsidR="00C77C8C" w:rsidRPr="00C64064" w:rsidRDefault="00783415">
            <w:pPr>
              <w:spacing w:before="100" w:after="100"/>
              <w:ind w:left="188"/>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C64064">
              <w:rPr>
                <w:rFonts w:asciiTheme="majorHAnsi" w:hAnsiTheme="majorHAnsi" w:cstheme="majorHAnsi"/>
                <w:b/>
                <w:bCs/>
                <w:sz w:val="32"/>
                <w:szCs w:val="32"/>
              </w:rPr>
              <w:t>3</w:t>
            </w:r>
            <w:r w:rsidR="00C77C8C" w:rsidRPr="00C64064">
              <w:rPr>
                <w:rFonts w:asciiTheme="majorHAnsi" w:hAnsiTheme="majorHAnsi" w:cstheme="majorHAnsi"/>
              </w:rPr>
              <w:br/>
              <w:t xml:space="preserve">partners adopted universal design principles to improve accessibility </w:t>
            </w:r>
            <w:r w:rsidR="00F945EE" w:rsidRPr="00C64064">
              <w:rPr>
                <w:rFonts w:asciiTheme="majorHAnsi" w:hAnsiTheme="majorHAnsi" w:cstheme="majorHAnsi"/>
              </w:rPr>
              <w:t>to</w:t>
            </w:r>
            <w:r w:rsidR="00C77C8C" w:rsidRPr="00C64064">
              <w:rPr>
                <w:rFonts w:asciiTheme="majorHAnsi" w:hAnsiTheme="majorHAnsi" w:cstheme="majorHAnsi"/>
              </w:rPr>
              <w:t xml:space="preserve"> their products</w:t>
            </w:r>
          </w:p>
        </w:tc>
      </w:tr>
      <w:tr w:rsidR="003C0C44" w:rsidRPr="00C64064" w14:paraId="7EC44925" w14:textId="77777777" w:rsidTr="000919C1">
        <w:trPr>
          <w:trHeight w:val="859"/>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222A6A"/>
              <w:bottom w:val="single" w:sz="8" w:space="0" w:color="222A6A"/>
            </w:tcBorders>
          </w:tcPr>
          <w:p w14:paraId="33356A2A" w14:textId="2D1F2A01" w:rsidR="00C77C8C" w:rsidRPr="00C64064" w:rsidRDefault="00C77C8C">
            <w:pPr>
              <w:spacing w:before="100" w:after="100"/>
              <w:ind w:left="188"/>
              <w:rPr>
                <w:rFonts w:asciiTheme="majorHAnsi" w:hAnsiTheme="majorHAnsi" w:cstheme="majorHAnsi"/>
                <w:b w:val="0"/>
                <w:bCs w:val="0"/>
                <w:sz w:val="32"/>
                <w:szCs w:val="32"/>
              </w:rPr>
            </w:pPr>
            <w:r w:rsidRPr="00C64064">
              <w:rPr>
                <w:rFonts w:asciiTheme="majorHAnsi" w:hAnsiTheme="majorHAnsi" w:cstheme="majorHAnsi"/>
                <w:noProof/>
              </w:rPr>
              <w:drawing>
                <wp:anchor distT="0" distB="0" distL="114300" distR="114300" simplePos="0" relativeHeight="251600384" behindDoc="0" locked="0" layoutInCell="1" allowOverlap="1" wp14:anchorId="670DC68A" wp14:editId="16867BF8">
                  <wp:simplePos x="0" y="0"/>
                  <wp:positionH relativeFrom="column">
                    <wp:posOffset>98818</wp:posOffset>
                  </wp:positionH>
                  <wp:positionV relativeFrom="paragraph">
                    <wp:posOffset>181084</wp:posOffset>
                  </wp:positionV>
                  <wp:extent cx="308610" cy="308610"/>
                  <wp:effectExtent l="0" t="0" r="0" b="0"/>
                  <wp:wrapNone/>
                  <wp:docPr id="1721200834" name="Graphic 17212008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320931" name="Graphic 13">
                            <a:extLst>
                              <a:ext uri="{C183D7F6-B498-43B3-948B-1728B52AA6E4}">
                                <adec:decorative xmlns:adec="http://schemas.microsoft.com/office/drawing/2017/decorative" val="1"/>
                              </a:ext>
                            </a:extLst>
                          </pic:cNvPr>
                          <pic:cNvPicPr/>
                        </pic:nvPicPr>
                        <pic:blipFill>
                          <a:blip r:embed="rId63">
                            <a:extLst>
                              <a:ext uri="{96DAC541-7B7A-43D3-8B79-37D633B846F1}">
                                <asvg:svgBlip xmlns:asvg="http://schemas.microsoft.com/office/drawing/2016/SVG/main" r:embed="rId64"/>
                              </a:ext>
                            </a:extLst>
                          </a:blip>
                          <a:stretch>
                            <a:fillRect/>
                          </a:stretch>
                        </pic:blipFill>
                        <pic:spPr>
                          <a:xfrm>
                            <a:off x="0" y="0"/>
                            <a:ext cx="308610" cy="308610"/>
                          </a:xfrm>
                          <a:prstGeom prst="rect">
                            <a:avLst/>
                          </a:prstGeom>
                        </pic:spPr>
                      </pic:pic>
                    </a:graphicData>
                  </a:graphic>
                  <wp14:sizeRelH relativeFrom="page">
                    <wp14:pctWidth>0</wp14:pctWidth>
                  </wp14:sizeRelH>
                  <wp14:sizeRelV relativeFrom="page">
                    <wp14:pctHeight>0</wp14:pctHeight>
                  </wp14:sizeRelV>
                </wp:anchor>
              </w:drawing>
            </w:r>
          </w:p>
        </w:tc>
        <w:tc>
          <w:tcPr>
            <w:tcW w:w="8787" w:type="dxa"/>
            <w:tcBorders>
              <w:top w:val="single" w:sz="8" w:space="0" w:color="222A6A"/>
              <w:bottom w:val="single" w:sz="8" w:space="0" w:color="222A6A"/>
            </w:tcBorders>
          </w:tcPr>
          <w:p w14:paraId="23368CCD" w14:textId="2A9E5685" w:rsidR="00C77C8C" w:rsidRPr="00C64064" w:rsidRDefault="00C77C8C">
            <w:pPr>
              <w:spacing w:before="100" w:after="100"/>
              <w:ind w:left="188"/>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64064">
              <w:rPr>
                <w:rFonts w:asciiTheme="majorHAnsi" w:hAnsiTheme="majorHAnsi" w:cstheme="majorHAnsi"/>
                <w:b/>
                <w:bCs/>
                <w:sz w:val="32"/>
                <w:szCs w:val="32"/>
              </w:rPr>
              <w:t>3</w:t>
            </w:r>
            <w:r w:rsidRPr="00C64064">
              <w:rPr>
                <w:rFonts w:asciiTheme="majorHAnsi" w:hAnsiTheme="majorHAnsi" w:cstheme="majorHAnsi"/>
              </w:rPr>
              <w:t xml:space="preserve"> </w:t>
            </w:r>
            <w:r w:rsidRPr="00C64064">
              <w:rPr>
                <w:rFonts w:asciiTheme="majorHAnsi" w:hAnsiTheme="majorHAnsi" w:cstheme="majorHAnsi"/>
              </w:rPr>
              <w:br/>
              <w:t>partners demonstrate</w:t>
            </w:r>
            <w:r w:rsidR="00F945EE" w:rsidRPr="00C64064">
              <w:rPr>
                <w:rFonts w:asciiTheme="majorHAnsi" w:hAnsiTheme="majorHAnsi" w:cstheme="majorHAnsi"/>
              </w:rPr>
              <w:t>d</w:t>
            </w:r>
            <w:r w:rsidRPr="00C64064">
              <w:rPr>
                <w:rFonts w:asciiTheme="majorHAnsi" w:hAnsiTheme="majorHAnsi" w:cstheme="majorHAnsi"/>
              </w:rPr>
              <w:t xml:space="preserve"> commitment to developing more inclusive farmer outreach activities</w:t>
            </w:r>
          </w:p>
        </w:tc>
      </w:tr>
      <w:tr w:rsidR="007234E1" w:rsidRPr="00C64064" w14:paraId="27F33EFB" w14:textId="77777777" w:rsidTr="000919C1">
        <w:trPr>
          <w:cnfStyle w:val="000000100000" w:firstRow="0" w:lastRow="0" w:firstColumn="0" w:lastColumn="0" w:oddVBand="0" w:evenVBand="0" w:oddHBand="1" w:evenHBand="0" w:firstRowFirstColumn="0" w:firstRowLastColumn="0" w:lastRowFirstColumn="0" w:lastRowLastColumn="0"/>
          <w:trHeight w:val="859"/>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222A6A"/>
              <w:bottom w:val="single" w:sz="8" w:space="0" w:color="222A6A"/>
            </w:tcBorders>
          </w:tcPr>
          <w:p w14:paraId="4E38721E" w14:textId="21EEA6DD" w:rsidR="007234E1" w:rsidRPr="00C64064" w:rsidRDefault="007234E1">
            <w:pPr>
              <w:spacing w:before="100" w:after="100"/>
              <w:ind w:left="188"/>
              <w:rPr>
                <w:rFonts w:asciiTheme="majorHAnsi" w:hAnsiTheme="majorHAnsi" w:cstheme="majorHAnsi"/>
                <w:noProof/>
              </w:rPr>
            </w:pPr>
            <w:r w:rsidRPr="00C64064">
              <w:rPr>
                <w:rFonts w:asciiTheme="majorHAnsi" w:hAnsiTheme="majorHAnsi" w:cstheme="majorHAnsi"/>
                <w:noProof/>
                <w:szCs w:val="20"/>
              </w:rPr>
              <w:drawing>
                <wp:anchor distT="0" distB="0" distL="114300" distR="114300" simplePos="0" relativeHeight="251657728" behindDoc="0" locked="0" layoutInCell="1" allowOverlap="1" wp14:anchorId="4C823E2C" wp14:editId="3B97F01B">
                  <wp:simplePos x="0" y="0"/>
                  <wp:positionH relativeFrom="column">
                    <wp:posOffset>0</wp:posOffset>
                  </wp:positionH>
                  <wp:positionV relativeFrom="paragraph">
                    <wp:posOffset>3810</wp:posOffset>
                  </wp:positionV>
                  <wp:extent cx="270000" cy="270000"/>
                  <wp:effectExtent l="0" t="0" r="0" b="0"/>
                  <wp:wrapNone/>
                  <wp:docPr id="164344512" name="Graphic 1643445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719796" name="Graphic 5">
                            <a:extLst>
                              <a:ext uri="{C183D7F6-B498-43B3-948B-1728B52AA6E4}">
                                <adec:decorative xmlns:adec="http://schemas.microsoft.com/office/drawing/2017/decorative" val="1"/>
                              </a:ext>
                            </a:extLst>
                          </pic:cNvPr>
                          <pic:cNvPicPr/>
                        </pic:nvPicPr>
                        <pic:blipFill>
                          <a:blip r:embed="rId44">
                            <a:extLst>
                              <a:ext uri="{96DAC541-7B7A-43D3-8B79-37D633B846F1}">
                                <asvg:svgBlip xmlns:asvg="http://schemas.microsoft.com/office/drawing/2016/SVG/main" r:embed="rId45"/>
                              </a:ext>
                            </a:extLst>
                          </a:blip>
                          <a:stretch>
                            <a:fillRect/>
                          </a:stretch>
                        </pic:blipFill>
                        <pic:spPr>
                          <a:xfrm>
                            <a:off x="0" y="0"/>
                            <a:ext cx="270000" cy="270000"/>
                          </a:xfrm>
                          <a:prstGeom prst="rect">
                            <a:avLst/>
                          </a:prstGeom>
                        </pic:spPr>
                      </pic:pic>
                    </a:graphicData>
                  </a:graphic>
                  <wp14:sizeRelH relativeFrom="page">
                    <wp14:pctWidth>0</wp14:pctWidth>
                  </wp14:sizeRelH>
                  <wp14:sizeRelV relativeFrom="page">
                    <wp14:pctHeight>0</wp14:pctHeight>
                  </wp14:sizeRelV>
                </wp:anchor>
              </w:drawing>
            </w:r>
          </w:p>
        </w:tc>
        <w:tc>
          <w:tcPr>
            <w:tcW w:w="8787" w:type="dxa"/>
            <w:tcBorders>
              <w:top w:val="single" w:sz="8" w:space="0" w:color="222A6A"/>
              <w:bottom w:val="single" w:sz="8" w:space="0" w:color="222A6A"/>
            </w:tcBorders>
          </w:tcPr>
          <w:p w14:paraId="2C142047" w14:textId="77777777" w:rsidR="007234E1" w:rsidRDefault="007234E1" w:rsidP="007234E1">
            <w:pPr>
              <w:spacing w:before="100" w:after="100"/>
              <w:ind w:left="188"/>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32"/>
                <w:szCs w:val="32"/>
              </w:rPr>
            </w:pPr>
            <w:r>
              <w:rPr>
                <w:rFonts w:asciiTheme="majorHAnsi" w:hAnsiTheme="majorHAnsi" w:cstheme="majorHAnsi"/>
                <w:b/>
                <w:bCs/>
                <w:sz w:val="32"/>
                <w:szCs w:val="32"/>
              </w:rPr>
              <w:t>1</w:t>
            </w:r>
          </w:p>
          <w:p w14:paraId="667EC25C" w14:textId="7F7511D8" w:rsidR="007234E1" w:rsidRPr="00C64064" w:rsidRDefault="007234E1" w:rsidP="007234E1">
            <w:pPr>
              <w:spacing w:before="100" w:after="100"/>
              <w:ind w:left="188"/>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32"/>
                <w:szCs w:val="32"/>
              </w:rPr>
            </w:pPr>
            <w:r>
              <w:rPr>
                <w:rFonts w:asciiTheme="majorHAnsi" w:hAnsiTheme="majorHAnsi" w:cstheme="majorHAnsi"/>
                <w:szCs w:val="20"/>
              </w:rPr>
              <w:t>National disability inclusion event to share PRISMA experience and influence agribusinesses</w:t>
            </w:r>
          </w:p>
        </w:tc>
      </w:tr>
    </w:tbl>
    <w:p w14:paraId="1D5E66FB" w14:textId="77777777" w:rsidR="000919C1" w:rsidRPr="00C64064" w:rsidRDefault="000919C1" w:rsidP="00C77C8C">
      <w:pPr>
        <w:rPr>
          <w:rFonts w:asciiTheme="majorHAnsi" w:hAnsiTheme="majorHAnsi" w:cstheme="majorHAnsi"/>
        </w:rPr>
      </w:pPr>
    </w:p>
    <w:p w14:paraId="6A52AFCB" w14:textId="1BB4C2C6" w:rsidR="0000494C" w:rsidRDefault="0046226D" w:rsidP="0046226D">
      <w:pPr>
        <w:spacing w:line="276" w:lineRule="auto"/>
        <w:rPr>
          <w:rFonts w:asciiTheme="majorHAnsi" w:hAnsiTheme="majorHAnsi" w:cstheme="majorHAnsi"/>
        </w:rPr>
      </w:pPr>
      <w:r w:rsidRPr="00C64064">
        <w:rPr>
          <w:rFonts w:asciiTheme="majorHAnsi" w:hAnsiTheme="majorHAnsi" w:cstheme="majorHAnsi"/>
          <w:b/>
          <w:bCs/>
          <w:noProof/>
          <w:color w:val="02616F" w:themeColor="accent1" w:themeShade="80"/>
        </w:rPr>
        <w:drawing>
          <wp:inline distT="0" distB="0" distL="0" distR="0" wp14:anchorId="680C1846" wp14:editId="5DCB8ABD">
            <wp:extent cx="408756" cy="408756"/>
            <wp:effectExtent l="0" t="0" r="0" b="0"/>
            <wp:docPr id="2036650503" name="Graphic 5" descr="Deaf with solid fill">
              <a:extLst xmlns:a="http://schemas.openxmlformats.org/drawingml/2006/main">
                <a:ext uri="{FF2B5EF4-FFF2-40B4-BE49-F238E27FC236}">
                  <a16:creationId xmlns:a16="http://schemas.microsoft.com/office/drawing/2014/main" id="{5FC8AF03-747C-F2AC-D73C-805E67B0D4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650503" name="Graphic 5" descr="Deaf with solid fill">
                      <a:extLst>
                        <a:ext uri="{FF2B5EF4-FFF2-40B4-BE49-F238E27FC236}">
                          <a16:creationId xmlns:a16="http://schemas.microsoft.com/office/drawing/2014/main" id="{5FC8AF03-747C-F2AC-D73C-805E67B0D4E1}"/>
                        </a:ext>
                      </a:extLst>
                    </pic:cNvPr>
                    <pic:cNvPicPr>
                      <a:picLocks noChangeAspect="1"/>
                    </pic:cNvPicPr>
                  </pic:nvPicPr>
                  <pic:blipFill>
                    <a:blip r:embed="rId65">
                      <a:extLst>
                        <a:ext uri="{96DAC541-7B7A-43D3-8B79-37D633B846F1}">
                          <asvg:svgBlip xmlns:asvg="http://schemas.microsoft.com/office/drawing/2016/SVG/main" r:embed="rId66"/>
                        </a:ext>
                      </a:extLst>
                    </a:blip>
                    <a:stretch>
                      <a:fillRect/>
                    </a:stretch>
                  </pic:blipFill>
                  <pic:spPr>
                    <a:xfrm>
                      <a:off x="0" y="0"/>
                      <a:ext cx="408756" cy="408756"/>
                    </a:xfrm>
                    <a:prstGeom prst="rect">
                      <a:avLst/>
                    </a:prstGeom>
                  </pic:spPr>
                </pic:pic>
              </a:graphicData>
            </a:graphic>
          </wp:inline>
        </w:drawing>
      </w:r>
      <w:r w:rsidRPr="00C64064">
        <w:rPr>
          <w:rFonts w:asciiTheme="majorHAnsi" w:hAnsiTheme="majorHAnsi" w:cstheme="majorHAnsi"/>
          <w:b/>
          <w:bCs/>
          <w:color w:val="02616F" w:themeColor="accent1" w:themeShade="80"/>
        </w:rPr>
        <w:t xml:space="preserve"> </w:t>
      </w:r>
      <w:r w:rsidR="00F0799E">
        <w:rPr>
          <w:rFonts w:asciiTheme="majorHAnsi" w:hAnsiTheme="majorHAnsi" w:cstheme="majorHAnsi"/>
          <w:b/>
          <w:bCs/>
          <w:color w:val="02616F" w:themeColor="accent1" w:themeShade="80"/>
        </w:rPr>
        <w:t>Influencing agribusinesses to adopt disability</w:t>
      </w:r>
      <w:r w:rsidR="00C11FD9">
        <w:rPr>
          <w:rFonts w:asciiTheme="majorHAnsi" w:hAnsiTheme="majorHAnsi" w:cstheme="majorHAnsi"/>
          <w:b/>
          <w:bCs/>
          <w:color w:val="02616F" w:themeColor="accent1" w:themeShade="80"/>
        </w:rPr>
        <w:t>-</w:t>
      </w:r>
      <w:r w:rsidR="00F0799E">
        <w:rPr>
          <w:rFonts w:asciiTheme="majorHAnsi" w:hAnsiTheme="majorHAnsi" w:cstheme="majorHAnsi"/>
          <w:b/>
          <w:bCs/>
          <w:color w:val="02616F" w:themeColor="accent1" w:themeShade="80"/>
        </w:rPr>
        <w:t>inclusive practices</w:t>
      </w:r>
    </w:p>
    <w:p w14:paraId="69872838" w14:textId="510485EB" w:rsidR="00FA482A" w:rsidRPr="00631254" w:rsidRDefault="00C11FD9" w:rsidP="5583D54B">
      <w:pPr>
        <w:pStyle w:val="NormalWeb"/>
        <w:shd w:val="clear" w:color="auto" w:fill="F6F6F6"/>
        <w:spacing w:before="0" w:beforeAutospacing="0"/>
        <w:rPr>
          <w:rFonts w:asciiTheme="majorHAnsi" w:eastAsiaTheme="minorEastAsia" w:hAnsiTheme="majorHAnsi" w:cstheme="majorBidi"/>
          <w:sz w:val="22"/>
          <w:szCs w:val="22"/>
          <w:lang w:val="en-GB" w:eastAsia="en-GB"/>
        </w:rPr>
      </w:pPr>
      <w:r w:rsidRPr="5583D54B">
        <w:rPr>
          <w:rFonts w:asciiTheme="majorHAnsi" w:eastAsiaTheme="minorEastAsia" w:hAnsiTheme="majorHAnsi" w:cstheme="majorBidi"/>
          <w:sz w:val="22"/>
          <w:szCs w:val="22"/>
          <w:lang w:val="en-GB" w:eastAsia="en-GB"/>
        </w:rPr>
        <w:t xml:space="preserve">Farmers in Indonesia are ageing. This means the prevalence of disabilities, especially those related to mobility and sensory functions, is increasing. Routine tasks for farmers, such as gathering green fodder to feed their dairy cows in a backyard pen or reading the label on the back of a fertiliser bottle at their local agri-kiosks, become difficult. </w:t>
      </w:r>
      <w:r w:rsidR="00FA482A" w:rsidRPr="5583D54B">
        <w:rPr>
          <w:rFonts w:asciiTheme="majorHAnsi" w:eastAsiaTheme="minorEastAsia" w:hAnsiTheme="majorHAnsi" w:cstheme="majorBidi"/>
          <w:sz w:val="22"/>
          <w:szCs w:val="22"/>
          <w:lang w:val="en-GB" w:eastAsia="en-GB"/>
        </w:rPr>
        <w:t>This highlights the need for agribusinesses to consider how farmers engage with their products to ensure that farmers with disabilities can continue contributing effectively and maintaining their livelihoods.  PRISMA hosted a Petani Maju (Future Farmer) event called "Disability Inclusion in Agribusiness: From Awareness to Action" in Jakarta.</w:t>
      </w:r>
      <w:r w:rsidR="00B409AE" w:rsidRPr="5583D54B">
        <w:rPr>
          <w:rFonts w:asciiTheme="majorHAnsi" w:eastAsiaTheme="minorEastAsia" w:hAnsiTheme="majorHAnsi" w:cstheme="majorBidi"/>
          <w:sz w:val="22"/>
          <w:szCs w:val="22"/>
          <w:lang w:val="en-GB" w:eastAsia="en-GB"/>
        </w:rPr>
        <w:t xml:space="preserve"> The full day of activities allowed agribusinesses to learn from farmers with disabilities and share best practices for reaching farmers with a disability with products, services, and innovations that can increase their incomes. </w:t>
      </w:r>
    </w:p>
    <w:p w14:paraId="669B91DC" w14:textId="43593DE4" w:rsidR="00CD69C9" w:rsidRPr="00FA482A" w:rsidRDefault="00FA482A" w:rsidP="00FA482A">
      <w:pPr>
        <w:shd w:val="clear" w:color="auto" w:fill="F6F6F6"/>
        <w:spacing w:after="100" w:afterAutospacing="1" w:line="240" w:lineRule="auto"/>
        <w:rPr>
          <w:rFonts w:ascii="robotolight" w:eastAsia="Times New Roman" w:hAnsi="robotolight" w:cs="Times New Roman"/>
          <w:color w:val="212529"/>
          <w:sz w:val="23"/>
          <w:szCs w:val="23"/>
          <w:lang w:val="en-ID" w:eastAsia="en-ID"/>
        </w:rPr>
      </w:pPr>
      <w:r>
        <w:rPr>
          <w:rFonts w:cs="Arial"/>
          <w:b/>
          <w:bCs/>
          <w:iCs/>
          <w:noProof/>
          <w:color w:val="02616F" w:themeColor="accent1" w:themeShade="80"/>
        </w:rPr>
        <mc:AlternateContent>
          <mc:Choice Requires="wpg">
            <w:drawing>
              <wp:anchor distT="0" distB="0" distL="114300" distR="114300" simplePos="0" relativeHeight="251760128" behindDoc="0" locked="0" layoutInCell="1" allowOverlap="1" wp14:anchorId="2E3B4C3A" wp14:editId="0BDBE77D">
                <wp:simplePos x="0" y="0"/>
                <wp:positionH relativeFrom="margin">
                  <wp:posOffset>56515</wp:posOffset>
                </wp:positionH>
                <wp:positionV relativeFrom="paragraph">
                  <wp:posOffset>77470</wp:posOffset>
                </wp:positionV>
                <wp:extent cx="5848350" cy="2028190"/>
                <wp:effectExtent l="0" t="0" r="0" b="0"/>
                <wp:wrapNone/>
                <wp:docPr id="897806442" name="Group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48350" cy="2028190"/>
                          <a:chOff x="0" y="0"/>
                          <a:chExt cx="5848659" cy="2028190"/>
                        </a:xfrm>
                      </wpg:grpSpPr>
                      <pic:pic xmlns:pic="http://schemas.openxmlformats.org/drawingml/2006/picture">
                        <pic:nvPicPr>
                          <pic:cNvPr id="1702706827" name="Picture 1486839967" descr="A group photo of participants of Disability Inclusion in Agribusiness: From Awareness to Action&quot; in Jakarta."/>
                          <pic:cNvPicPr>
                            <a:picLocks noChangeAspect="1"/>
                          </pic:cNvPicPr>
                        </pic:nvPicPr>
                        <pic:blipFill>
                          <a:blip r:embed="rId67" cstate="email">
                            <a:extLst>
                              <a:ext uri="{28A0092B-C50C-407E-A947-70E740481C1C}">
                                <a14:useLocalDpi xmlns:a14="http://schemas.microsoft.com/office/drawing/2010/main"/>
                              </a:ext>
                            </a:extLst>
                          </a:blip>
                          <a:srcRect/>
                          <a:stretch/>
                        </pic:blipFill>
                        <pic:spPr bwMode="auto">
                          <a:xfrm>
                            <a:off x="0" y="0"/>
                            <a:ext cx="1812925" cy="2028190"/>
                          </a:xfrm>
                          <a:prstGeom prst="rect">
                            <a:avLst/>
                          </a:prstGeom>
                          <a:ln>
                            <a:noFill/>
                          </a:ln>
                          <a:extLst>
                            <a:ext uri="{53640926-AAD7-44D8-BBD7-CCE9431645EC}">
                              <a14:shadowObscured xmlns:a14="http://schemas.microsoft.com/office/drawing/2010/main"/>
                            </a:ext>
                          </a:extLst>
                        </pic:spPr>
                      </pic:pic>
                      <wps:wsp>
                        <wps:cNvPr id="566258941" name="Text Box 1">
                          <a:extLst>
                            <a:ext uri="{C183D7F6-B498-43B3-948B-1728B52AA6E4}">
                              <adec:decorative xmlns:adec="http://schemas.microsoft.com/office/drawing/2017/decorative" val="1"/>
                            </a:ext>
                          </a:extLst>
                        </wps:cNvPr>
                        <wps:cNvSpPr txBox="1"/>
                        <wps:spPr>
                          <a:xfrm>
                            <a:off x="1810694" y="0"/>
                            <a:ext cx="4037965" cy="2028190"/>
                          </a:xfrm>
                          <a:prstGeom prst="rect">
                            <a:avLst/>
                          </a:prstGeom>
                          <a:solidFill>
                            <a:srgbClr val="252C66"/>
                          </a:solidFill>
                          <a:ln w="6350">
                            <a:noFill/>
                          </a:ln>
                        </wps:spPr>
                        <wps:txbx>
                          <w:txbxContent>
                            <w:p w14:paraId="14357D06" w14:textId="77777777" w:rsidR="0046226D" w:rsidRPr="00E72EF3" w:rsidRDefault="0046226D" w:rsidP="0046226D">
                              <w:pPr>
                                <w:pStyle w:val="Header"/>
                                <w:spacing w:after="200"/>
                                <w:textAlignment w:val="baseline"/>
                                <w:rPr>
                                  <w:rStyle w:val="Hyperlink"/>
                                  <w:rFonts w:cs="Arial"/>
                                  <w:i/>
                                  <w:iCs/>
                                  <w:color w:val="FFFFFF" w:themeColor="background1"/>
                                  <w:sz w:val="21"/>
                                  <w:szCs w:val="21"/>
                                  <w:lang w:val="en-US"/>
                                </w:rPr>
                              </w:pPr>
                              <w:r w:rsidRPr="00E72EF3">
                                <w:rPr>
                                  <w:rFonts w:cs="Arial"/>
                                  <w:i/>
                                  <w:iCs/>
                                  <w:noProof/>
                                  <w:color w:val="FFFFFF" w:themeColor="background1"/>
                                  <w:sz w:val="21"/>
                                  <w:szCs w:val="21"/>
                                  <w:lang w:val="en-US"/>
                                </w:rPr>
                                <w:drawing>
                                  <wp:inline distT="0" distB="0" distL="0" distR="0" wp14:anchorId="791DEE22" wp14:editId="0C457B60">
                                    <wp:extent cx="126853" cy="126853"/>
                                    <wp:effectExtent l="0" t="0" r="6985" b="6985"/>
                                    <wp:docPr id="870805042" name="Graphic 8708050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74014"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128823" cy="128823"/>
                                            </a:xfrm>
                                            <a:prstGeom prst="rect">
                                              <a:avLst/>
                                            </a:prstGeom>
                                          </pic:spPr>
                                        </pic:pic>
                                      </a:graphicData>
                                    </a:graphic>
                                  </wp:inline>
                                </w:drawing>
                              </w:r>
                            </w:p>
                            <w:p w14:paraId="6309FEAF" w14:textId="77777777" w:rsidR="0046226D" w:rsidRPr="008B1B23" w:rsidRDefault="0046226D" w:rsidP="0046226D">
                              <w:pPr>
                                <w:pStyle w:val="Header"/>
                                <w:spacing w:after="200"/>
                                <w:textAlignment w:val="baseline"/>
                                <w:rPr>
                                  <w:rFonts w:cs="Arial"/>
                                  <w:color w:val="FFFFFF" w:themeColor="background1"/>
                                  <w:szCs w:val="20"/>
                                </w:rPr>
                              </w:pPr>
                              <w:r w:rsidRPr="00B21CFE">
                                <w:rPr>
                                  <w:rFonts w:cs="Arial"/>
                                  <w:color w:val="FFFFFF" w:themeColor="background1"/>
                                  <w:szCs w:val="20"/>
                                </w:rPr>
                                <w:t>When we did this project, we talked with our friends with disabilities about what they need and how it matches our needs</w:t>
                              </w:r>
                            </w:p>
                            <w:p w14:paraId="117C5F8F" w14:textId="7EA41D09" w:rsidR="0046226D" w:rsidRPr="00E72EF3" w:rsidRDefault="0046226D" w:rsidP="0046226D">
                              <w:pPr>
                                <w:pStyle w:val="Header"/>
                                <w:spacing w:after="200"/>
                                <w:textAlignment w:val="baseline"/>
                                <w:rPr>
                                  <w:rFonts w:cs="Arial"/>
                                  <w:color w:val="FFFFFF" w:themeColor="background1"/>
                                  <w:szCs w:val="20"/>
                                </w:rPr>
                              </w:pPr>
                              <w:r>
                                <w:rPr>
                                  <w:rFonts w:cs="Arial"/>
                                  <w:b/>
                                  <w:bCs/>
                                  <w:color w:val="FFFFFF" w:themeColor="background1"/>
                                  <w:szCs w:val="20"/>
                                </w:rPr>
                                <w:t>Totok Setyarto,</w:t>
                              </w:r>
                              <w:r w:rsidRPr="00115014">
                                <w:rPr>
                                  <w:rFonts w:cs="Arial"/>
                                  <w:color w:val="FFFFFF" w:themeColor="background1"/>
                                  <w:szCs w:val="20"/>
                                </w:rPr>
                                <w:t xml:space="preserve"> </w:t>
                              </w:r>
                              <w:r>
                                <w:rPr>
                                  <w:rFonts w:cs="Arial"/>
                                  <w:color w:val="FFFFFF" w:themeColor="background1"/>
                                  <w:szCs w:val="20"/>
                                </w:rPr>
                                <w:t xml:space="preserve">Director of </w:t>
                              </w:r>
                              <w:r w:rsidRPr="00A454DA">
                                <w:rPr>
                                  <w:rFonts w:cs="Arial"/>
                                  <w:color w:val="FFFFFF" w:themeColor="background1"/>
                                  <w:szCs w:val="20"/>
                                </w:rPr>
                                <w:t>PT NuFeed International Indonesia</w:t>
                              </w:r>
                              <w:r w:rsidR="00B409AE">
                                <w:rPr>
                                  <w:rFonts w:cs="Arial"/>
                                  <w:color w:val="FFFFFF" w:themeColor="background1"/>
                                  <w:szCs w:val="20"/>
                                </w:rPr>
                                <w:t xml:space="preserve"> on </w:t>
                              </w:r>
                              <w:r w:rsidR="00407FB6">
                                <w:rPr>
                                  <w:rFonts w:cs="Arial"/>
                                  <w:color w:val="FFFFFF" w:themeColor="background1"/>
                                  <w:szCs w:val="20"/>
                                </w:rPr>
                                <w:t xml:space="preserve">developing </w:t>
                              </w:r>
                              <w:r w:rsidR="00B409AE">
                                <w:rPr>
                                  <w:rFonts w:cs="Arial"/>
                                  <w:color w:val="FFFFFF" w:themeColor="background1"/>
                                  <w:szCs w:val="20"/>
                                </w:rPr>
                                <w:t>NuFeed</w:t>
                              </w:r>
                              <w:r w:rsidR="00407FB6">
                                <w:rPr>
                                  <w:rFonts w:cs="Arial"/>
                                  <w:color w:val="FFFFFF" w:themeColor="background1"/>
                                  <w:szCs w:val="20"/>
                                </w:rPr>
                                <w:t xml:space="preserve">’s disability inclusive strategy. </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wpg:wgp>
                  </a:graphicData>
                </a:graphic>
              </wp:anchor>
            </w:drawing>
          </mc:Choice>
          <mc:Fallback>
            <w:pict>
              <v:group w14:anchorId="2E3B4C3A" id="Group 27" o:spid="_x0000_s1042" alt="&quot;&quot;" style="position:absolute;margin-left:4.45pt;margin-top:6.1pt;width:460.5pt;height:159.7pt;z-index:251760128;mso-position-horizontal-relative:margin;mso-position-vertical-relative:text" coordsize="58486,202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">
                <v:shape id="Picture 1486839967" o:spid="_x0000_s1043" type="#_x0000_t75" alt="A group photo of participants of Disability Inclusion in Agribusiness: From Awareness to Action&quot; in Jakarta." style="position:absolute;width:18129;height:20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">
                  <v:imagedata r:id="rId68" o:title=" From Awareness to Action&quot; in Jakarta"/>
                </v:shape>
                <v:shape id="_x0000_s1044" type="#_x0000_t202" alt="&quot;&quot;" style="position:absolute;left:18106;width:40380;height:20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" fillcolor="#252c66" stroked="f" strokeweight=".5pt">
                  <v:textbox inset="5mm,5mm,5mm,5mm">
                    <w:txbxContent>
                      <w:p w14:paraId="14357D06" w14:textId="77777777" w:rsidR="0046226D" w:rsidRPr="00E72EF3" w:rsidRDefault="0046226D" w:rsidP="0046226D">
                        <w:pPr>
                          <w:pStyle w:val="Header"/>
                          <w:spacing w:after="200"/>
                          <w:textAlignment w:val="baseline"/>
                          <w:rPr>
                            <w:rStyle w:val="Hyperlink"/>
                            <w:rFonts w:cs="Arial"/>
                            <w:i/>
                            <w:iCs/>
                            <w:color w:val="FFFFFF" w:themeColor="background1"/>
                            <w:sz w:val="21"/>
                            <w:szCs w:val="21"/>
                            <w:lang w:val="en-US"/>
                          </w:rPr>
                        </w:pPr>
                        <w:r w:rsidRPr="00E72EF3">
                          <w:rPr>
                            <w:rFonts w:cs="Arial"/>
                            <w:i/>
                            <w:iCs/>
                            <w:noProof/>
                            <w:color w:val="FFFFFF" w:themeColor="background1"/>
                            <w:sz w:val="21"/>
                            <w:szCs w:val="21"/>
                            <w:lang w:val="en-US"/>
                          </w:rPr>
                          <w:drawing>
                            <wp:inline distT="0" distB="0" distL="0" distR="0" wp14:anchorId="791DEE22" wp14:editId="0C457B60">
                              <wp:extent cx="126853" cy="126853"/>
                              <wp:effectExtent l="0" t="0" r="6985" b="6985"/>
                              <wp:docPr id="870805042" name="Graphic 8708050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74014"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128823" cy="128823"/>
                                      </a:xfrm>
                                      <a:prstGeom prst="rect">
                                        <a:avLst/>
                                      </a:prstGeom>
                                    </pic:spPr>
                                  </pic:pic>
                                </a:graphicData>
                              </a:graphic>
                            </wp:inline>
                          </w:drawing>
                        </w:r>
                      </w:p>
                      <w:p w14:paraId="6309FEAF" w14:textId="77777777" w:rsidR="0046226D" w:rsidRPr="008B1B23" w:rsidRDefault="0046226D" w:rsidP="0046226D">
                        <w:pPr>
                          <w:pStyle w:val="Header"/>
                          <w:spacing w:after="200"/>
                          <w:textAlignment w:val="baseline"/>
                          <w:rPr>
                            <w:rFonts w:cs="Arial"/>
                            <w:color w:val="FFFFFF" w:themeColor="background1"/>
                            <w:szCs w:val="20"/>
                          </w:rPr>
                        </w:pPr>
                        <w:r w:rsidRPr="00B21CFE">
                          <w:rPr>
                            <w:rFonts w:cs="Arial"/>
                            <w:color w:val="FFFFFF" w:themeColor="background1"/>
                            <w:szCs w:val="20"/>
                          </w:rPr>
                          <w:t>When we did this project, we talked with our friends with disabilities about what they need and how it matches our needs</w:t>
                        </w:r>
                      </w:p>
                      <w:p w14:paraId="117C5F8F" w14:textId="7EA41D09" w:rsidR="0046226D" w:rsidRPr="00E72EF3" w:rsidRDefault="0046226D" w:rsidP="0046226D">
                        <w:pPr>
                          <w:pStyle w:val="Header"/>
                          <w:spacing w:after="200"/>
                          <w:textAlignment w:val="baseline"/>
                          <w:rPr>
                            <w:rFonts w:cs="Arial"/>
                            <w:color w:val="FFFFFF" w:themeColor="background1"/>
                            <w:szCs w:val="20"/>
                          </w:rPr>
                        </w:pPr>
                        <w:r>
                          <w:rPr>
                            <w:rFonts w:cs="Arial"/>
                            <w:b/>
                            <w:bCs/>
                            <w:color w:val="FFFFFF" w:themeColor="background1"/>
                            <w:szCs w:val="20"/>
                          </w:rPr>
                          <w:t>Totok Setyarto,</w:t>
                        </w:r>
                        <w:r w:rsidRPr="00115014">
                          <w:rPr>
                            <w:rFonts w:cs="Arial"/>
                            <w:color w:val="FFFFFF" w:themeColor="background1"/>
                            <w:szCs w:val="20"/>
                          </w:rPr>
                          <w:t xml:space="preserve"> </w:t>
                        </w:r>
                        <w:r>
                          <w:rPr>
                            <w:rFonts w:cs="Arial"/>
                            <w:color w:val="FFFFFF" w:themeColor="background1"/>
                            <w:szCs w:val="20"/>
                          </w:rPr>
                          <w:t xml:space="preserve">Director of </w:t>
                        </w:r>
                        <w:r w:rsidRPr="00A454DA">
                          <w:rPr>
                            <w:rFonts w:cs="Arial"/>
                            <w:color w:val="FFFFFF" w:themeColor="background1"/>
                            <w:szCs w:val="20"/>
                          </w:rPr>
                          <w:t>PT NuFeed International Indonesia</w:t>
                        </w:r>
                        <w:r w:rsidR="00B409AE">
                          <w:rPr>
                            <w:rFonts w:cs="Arial"/>
                            <w:color w:val="FFFFFF" w:themeColor="background1"/>
                            <w:szCs w:val="20"/>
                          </w:rPr>
                          <w:t xml:space="preserve"> on </w:t>
                        </w:r>
                        <w:r w:rsidR="00407FB6">
                          <w:rPr>
                            <w:rFonts w:cs="Arial"/>
                            <w:color w:val="FFFFFF" w:themeColor="background1"/>
                            <w:szCs w:val="20"/>
                          </w:rPr>
                          <w:t xml:space="preserve">developing </w:t>
                        </w:r>
                        <w:r w:rsidR="00B409AE">
                          <w:rPr>
                            <w:rFonts w:cs="Arial"/>
                            <w:color w:val="FFFFFF" w:themeColor="background1"/>
                            <w:szCs w:val="20"/>
                          </w:rPr>
                          <w:t>NuFeed</w:t>
                        </w:r>
                        <w:r w:rsidR="00407FB6">
                          <w:rPr>
                            <w:rFonts w:cs="Arial"/>
                            <w:color w:val="FFFFFF" w:themeColor="background1"/>
                            <w:szCs w:val="20"/>
                          </w:rPr>
                          <w:t xml:space="preserve">’s disability inclusive strategy. </w:t>
                        </w:r>
                      </w:p>
                    </w:txbxContent>
                  </v:textbox>
                </v:shape>
                <w10:wrap anchorx="margin"/>
              </v:group>
            </w:pict>
          </mc:Fallback>
        </mc:AlternateContent>
      </w:r>
    </w:p>
    <w:p w14:paraId="6148F900" w14:textId="37699F23" w:rsidR="00CD69C9" w:rsidRDefault="00CD69C9" w:rsidP="00C77C8C">
      <w:pPr>
        <w:rPr>
          <w:rFonts w:asciiTheme="majorHAnsi" w:hAnsiTheme="majorHAnsi" w:cstheme="majorHAnsi"/>
          <w:b/>
          <w:sz w:val="24"/>
          <w:szCs w:val="24"/>
        </w:rPr>
      </w:pPr>
    </w:p>
    <w:p w14:paraId="61FA4B15" w14:textId="6D2AC560" w:rsidR="00CD69C9" w:rsidRDefault="00CD69C9" w:rsidP="00C77C8C">
      <w:pPr>
        <w:rPr>
          <w:rFonts w:asciiTheme="majorHAnsi" w:hAnsiTheme="majorHAnsi" w:cstheme="majorHAnsi"/>
          <w:b/>
          <w:sz w:val="24"/>
          <w:szCs w:val="24"/>
        </w:rPr>
      </w:pPr>
    </w:p>
    <w:p w14:paraId="0046DE3F" w14:textId="77777777" w:rsidR="00CD69C9" w:rsidRDefault="00CD69C9" w:rsidP="00C77C8C">
      <w:pPr>
        <w:rPr>
          <w:rFonts w:asciiTheme="majorHAnsi" w:hAnsiTheme="majorHAnsi" w:cstheme="majorHAnsi"/>
          <w:b/>
          <w:sz w:val="24"/>
          <w:szCs w:val="24"/>
        </w:rPr>
      </w:pPr>
    </w:p>
    <w:p w14:paraId="152EA417" w14:textId="77777777" w:rsidR="0046226D" w:rsidRDefault="0046226D" w:rsidP="00C77C8C">
      <w:pPr>
        <w:rPr>
          <w:rFonts w:asciiTheme="majorHAnsi" w:hAnsiTheme="majorHAnsi" w:cstheme="majorHAnsi"/>
          <w:b/>
          <w:sz w:val="24"/>
          <w:szCs w:val="24"/>
        </w:rPr>
      </w:pPr>
    </w:p>
    <w:p w14:paraId="68506D58" w14:textId="77777777" w:rsidR="0046226D" w:rsidRDefault="0046226D" w:rsidP="00C77C8C">
      <w:pPr>
        <w:rPr>
          <w:rFonts w:asciiTheme="majorHAnsi" w:hAnsiTheme="majorHAnsi" w:cstheme="majorHAnsi"/>
          <w:b/>
          <w:sz w:val="24"/>
          <w:szCs w:val="24"/>
        </w:rPr>
      </w:pPr>
    </w:p>
    <w:p w14:paraId="6CB803CF" w14:textId="77777777" w:rsidR="0046226D" w:rsidRDefault="0046226D" w:rsidP="00C77C8C">
      <w:pPr>
        <w:rPr>
          <w:rFonts w:asciiTheme="majorHAnsi" w:hAnsiTheme="majorHAnsi" w:cstheme="majorHAnsi"/>
          <w:b/>
          <w:sz w:val="24"/>
          <w:szCs w:val="24"/>
        </w:rPr>
      </w:pPr>
    </w:p>
    <w:p w14:paraId="78B2D26F" w14:textId="77777777" w:rsidR="0046226D" w:rsidRDefault="0046226D" w:rsidP="00C77C8C">
      <w:pPr>
        <w:rPr>
          <w:rFonts w:asciiTheme="majorHAnsi" w:hAnsiTheme="majorHAnsi" w:cstheme="majorHAnsi"/>
          <w:b/>
          <w:sz w:val="24"/>
          <w:szCs w:val="24"/>
        </w:rPr>
      </w:pPr>
    </w:p>
    <w:p w14:paraId="18C31012" w14:textId="0177A903" w:rsidR="00C77C8C" w:rsidRPr="00C64064" w:rsidRDefault="00C77C8C" w:rsidP="00C77C8C">
      <w:pPr>
        <w:rPr>
          <w:rFonts w:asciiTheme="majorHAnsi" w:hAnsiTheme="majorHAnsi" w:cstheme="majorHAnsi"/>
          <w:b/>
          <w:bCs/>
        </w:rPr>
      </w:pPr>
      <w:r w:rsidRPr="00C64064">
        <w:rPr>
          <w:rFonts w:asciiTheme="majorHAnsi" w:hAnsiTheme="majorHAnsi" w:cstheme="majorHAnsi"/>
          <w:b/>
          <w:sz w:val="24"/>
          <w:szCs w:val="24"/>
        </w:rPr>
        <w:t xml:space="preserve">Youth inclusion </w:t>
      </w:r>
    </w:p>
    <w:tbl>
      <w:tblPr>
        <w:tblStyle w:val="PlainTable2"/>
        <w:tblW w:w="0" w:type="auto"/>
        <w:tblBorders>
          <w:top w:val="none" w:sz="0" w:space="0" w:color="auto"/>
          <w:bottom w:val="none" w:sz="0" w:space="0" w:color="auto"/>
        </w:tblBorders>
        <w:tblLook w:val="04A0" w:firstRow="1" w:lastRow="0" w:firstColumn="1" w:lastColumn="0" w:noHBand="0" w:noVBand="1"/>
      </w:tblPr>
      <w:tblGrid>
        <w:gridCol w:w="851"/>
        <w:gridCol w:w="8787"/>
      </w:tblGrid>
      <w:tr w:rsidR="003C0C44" w:rsidRPr="00C64064" w14:paraId="050FD3E2" w14:textId="77777777" w:rsidTr="5583D5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222A6A"/>
              <w:bottom w:val="single" w:sz="8" w:space="0" w:color="222A6A"/>
            </w:tcBorders>
          </w:tcPr>
          <w:p w14:paraId="0E4C3E56" w14:textId="41A4EB24" w:rsidR="00C77C8C" w:rsidRPr="00C64064" w:rsidRDefault="00C77C8C">
            <w:pPr>
              <w:spacing w:before="100" w:after="100"/>
              <w:ind w:left="188"/>
              <w:rPr>
                <w:rFonts w:asciiTheme="majorHAnsi" w:hAnsiTheme="majorHAnsi" w:cstheme="majorHAnsi"/>
                <w:sz w:val="32"/>
                <w:szCs w:val="32"/>
              </w:rPr>
            </w:pPr>
            <w:r w:rsidRPr="00C64064">
              <w:rPr>
                <w:rFonts w:asciiTheme="majorHAnsi" w:hAnsiTheme="majorHAnsi" w:cstheme="majorHAnsi"/>
                <w:noProof/>
              </w:rPr>
              <w:drawing>
                <wp:anchor distT="0" distB="0" distL="114300" distR="114300" simplePos="0" relativeHeight="251605504" behindDoc="0" locked="0" layoutInCell="1" allowOverlap="1" wp14:anchorId="404E98C8" wp14:editId="224819A2">
                  <wp:simplePos x="0" y="0"/>
                  <wp:positionH relativeFrom="column">
                    <wp:posOffset>135995</wp:posOffset>
                  </wp:positionH>
                  <wp:positionV relativeFrom="paragraph">
                    <wp:posOffset>126945</wp:posOffset>
                  </wp:positionV>
                  <wp:extent cx="270000" cy="270000"/>
                  <wp:effectExtent l="0" t="0" r="0" b="0"/>
                  <wp:wrapNone/>
                  <wp:docPr id="1744241477" name="Graphic 17442414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441161" name="Graphic 15">
                            <a:extLst>
                              <a:ext uri="{C183D7F6-B498-43B3-948B-1728B52AA6E4}">
                                <adec:decorative xmlns:adec="http://schemas.microsoft.com/office/drawing/2017/decorative" val="1"/>
                              </a:ext>
                            </a:extLst>
                          </pic:cNvPr>
                          <pic:cNvPicPr/>
                        </pic:nvPicPr>
                        <pic:blipFill>
                          <a:blip r:embed="rId69">
                            <a:extLst>
                              <a:ext uri="{96DAC541-7B7A-43D3-8B79-37D633B846F1}">
                                <asvg:svgBlip xmlns:asvg="http://schemas.microsoft.com/office/drawing/2016/SVG/main" r:embed="rId70"/>
                              </a:ext>
                            </a:extLst>
                          </a:blip>
                          <a:stretch>
                            <a:fillRect/>
                          </a:stretch>
                        </pic:blipFill>
                        <pic:spPr>
                          <a:xfrm>
                            <a:off x="0" y="0"/>
                            <a:ext cx="270000" cy="270000"/>
                          </a:xfrm>
                          <a:prstGeom prst="rect">
                            <a:avLst/>
                          </a:prstGeom>
                        </pic:spPr>
                      </pic:pic>
                    </a:graphicData>
                  </a:graphic>
                  <wp14:sizeRelH relativeFrom="page">
                    <wp14:pctWidth>0</wp14:pctWidth>
                  </wp14:sizeRelH>
                  <wp14:sizeRelV relativeFrom="page">
                    <wp14:pctHeight>0</wp14:pctHeight>
                  </wp14:sizeRelV>
                </wp:anchor>
              </w:drawing>
            </w:r>
          </w:p>
        </w:tc>
        <w:tc>
          <w:tcPr>
            <w:tcW w:w="8787" w:type="dxa"/>
            <w:tcBorders>
              <w:top w:val="single" w:sz="8" w:space="0" w:color="222A6A"/>
              <w:bottom w:val="single" w:sz="8" w:space="0" w:color="222A6A"/>
            </w:tcBorders>
          </w:tcPr>
          <w:p w14:paraId="4A63873F" w14:textId="422470FC" w:rsidR="0049070C" w:rsidRPr="004D7005" w:rsidRDefault="0049405B" w:rsidP="5583D54B">
            <w:pPr>
              <w:spacing w:before="100" w:after="100"/>
              <w:ind w:left="188"/>
              <w:cnfStyle w:val="100000000000" w:firstRow="1" w:lastRow="0" w:firstColumn="0" w:lastColumn="0" w:oddVBand="0" w:evenVBand="0" w:oddHBand="0" w:evenHBand="0" w:firstRowFirstColumn="0" w:firstRowLastColumn="0" w:lastRowFirstColumn="0" w:lastRowLastColumn="0"/>
              <w:rPr>
                <w:rFonts w:asciiTheme="majorHAnsi" w:hAnsiTheme="majorHAnsi" w:cstheme="majorBidi"/>
              </w:rPr>
            </w:pPr>
            <w:r w:rsidRPr="004D7005">
              <w:rPr>
                <w:rFonts w:asciiTheme="majorHAnsi" w:hAnsiTheme="majorHAnsi" w:cstheme="majorBidi"/>
                <w:sz w:val="32"/>
                <w:szCs w:val="32"/>
              </w:rPr>
              <w:t>115,11</w:t>
            </w:r>
            <w:r w:rsidR="00DF2011" w:rsidRPr="004D7005">
              <w:rPr>
                <w:rFonts w:asciiTheme="majorHAnsi" w:hAnsiTheme="majorHAnsi" w:cstheme="majorBidi"/>
                <w:sz w:val="32"/>
                <w:szCs w:val="32"/>
              </w:rPr>
              <w:t>1</w:t>
            </w:r>
          </w:p>
          <w:p w14:paraId="1E001AC6" w14:textId="0B0F4333" w:rsidR="00C77C8C" w:rsidRPr="00052A8A" w:rsidRDefault="0049070C" w:rsidP="5583D54B">
            <w:pPr>
              <w:spacing w:before="100" w:after="100"/>
              <w:ind w:left="188"/>
              <w:cnfStyle w:val="100000000000" w:firstRow="1" w:lastRow="0" w:firstColumn="0" w:lastColumn="0" w:oddVBand="0" w:evenVBand="0" w:oddHBand="0" w:evenHBand="0" w:firstRowFirstColumn="0" w:firstRowLastColumn="0" w:lastRowFirstColumn="0" w:lastRowLastColumn="0"/>
              <w:rPr>
                <w:rFonts w:asciiTheme="majorHAnsi" w:hAnsiTheme="majorHAnsi" w:cstheme="majorBidi"/>
                <w:b w:val="0"/>
                <w:bCs w:val="0"/>
              </w:rPr>
            </w:pPr>
            <w:r w:rsidRPr="00052A8A">
              <w:rPr>
                <w:rFonts w:asciiTheme="majorHAnsi" w:hAnsiTheme="majorHAnsi" w:cstheme="majorBidi"/>
                <w:b w:val="0"/>
                <w:bCs w:val="0"/>
              </w:rPr>
              <w:t>young farmers</w:t>
            </w:r>
            <w:r w:rsidR="00C77C8C" w:rsidRPr="00052A8A">
              <w:rPr>
                <w:rFonts w:asciiTheme="majorHAnsi" w:hAnsiTheme="majorHAnsi" w:cstheme="majorBidi"/>
                <w:b w:val="0"/>
                <w:bCs w:val="0"/>
              </w:rPr>
              <w:t xml:space="preserve"> (individuals between 18 and 35 years)</w:t>
            </w:r>
            <w:r w:rsidR="00294AD1" w:rsidRPr="00052A8A">
              <w:rPr>
                <w:rFonts w:asciiTheme="majorHAnsi" w:hAnsiTheme="majorHAnsi" w:cstheme="majorBidi"/>
                <w:b w:val="0"/>
                <w:bCs w:val="0"/>
              </w:rPr>
              <w:t xml:space="preserve"> have cumulatively benefited from PRISMA</w:t>
            </w:r>
            <w:r w:rsidR="00224C88" w:rsidRPr="00052A8A">
              <w:rPr>
                <w:rFonts w:asciiTheme="majorHAnsi" w:hAnsiTheme="majorHAnsi" w:cstheme="majorBidi"/>
                <w:b w:val="0"/>
                <w:bCs w:val="0"/>
              </w:rPr>
              <w:t>’s interventions</w:t>
            </w:r>
          </w:p>
        </w:tc>
      </w:tr>
    </w:tbl>
    <w:p w14:paraId="4B40302F" w14:textId="77777777" w:rsidR="00C77C8C" w:rsidRPr="00C64064" w:rsidRDefault="00C77C8C" w:rsidP="00C77C8C">
      <w:pPr>
        <w:rPr>
          <w:rFonts w:asciiTheme="majorHAnsi" w:hAnsiTheme="majorHAnsi" w:cstheme="majorHAnsi"/>
          <w:color w:val="FF0000"/>
        </w:rPr>
      </w:pPr>
    </w:p>
    <w:p w14:paraId="788565EB" w14:textId="77777777" w:rsidR="00C77C8C" w:rsidRPr="00C64064" w:rsidRDefault="00C77C8C" w:rsidP="00C77C8C">
      <w:pPr>
        <w:rPr>
          <w:rFonts w:asciiTheme="majorHAnsi" w:hAnsiTheme="majorHAnsi" w:cstheme="majorHAnsi"/>
          <w:b/>
          <w:bCs/>
        </w:rPr>
      </w:pPr>
      <w:r w:rsidRPr="00C64064">
        <w:rPr>
          <w:rFonts w:asciiTheme="majorHAnsi" w:hAnsiTheme="majorHAnsi" w:cstheme="majorHAnsi"/>
          <w:b/>
          <w:sz w:val="24"/>
          <w:szCs w:val="24"/>
        </w:rPr>
        <w:t>Indigenous inclusion</w:t>
      </w:r>
    </w:p>
    <w:tbl>
      <w:tblPr>
        <w:tblStyle w:val="PlainTable2"/>
        <w:tblW w:w="0" w:type="auto"/>
        <w:tblBorders>
          <w:top w:val="none" w:sz="0" w:space="0" w:color="auto"/>
          <w:bottom w:val="none" w:sz="0" w:space="0" w:color="auto"/>
        </w:tblBorders>
        <w:tblLook w:val="04A0" w:firstRow="1" w:lastRow="0" w:firstColumn="1" w:lastColumn="0" w:noHBand="0" w:noVBand="1"/>
      </w:tblPr>
      <w:tblGrid>
        <w:gridCol w:w="851"/>
        <w:gridCol w:w="8787"/>
      </w:tblGrid>
      <w:tr w:rsidR="00F4638B" w:rsidRPr="00C64064" w14:paraId="3CAAB21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222A6A"/>
              <w:bottom w:val="single" w:sz="8" w:space="0" w:color="222A6A"/>
            </w:tcBorders>
          </w:tcPr>
          <w:p w14:paraId="30A3E953" w14:textId="78ACBB0A" w:rsidR="00C77C8C" w:rsidRPr="00C64064" w:rsidRDefault="00C77C8C">
            <w:pPr>
              <w:spacing w:before="100" w:after="100"/>
              <w:ind w:left="188"/>
              <w:rPr>
                <w:rFonts w:asciiTheme="majorHAnsi" w:hAnsiTheme="majorHAnsi" w:cstheme="majorHAnsi"/>
                <w:sz w:val="32"/>
                <w:szCs w:val="32"/>
              </w:rPr>
            </w:pPr>
            <w:r w:rsidRPr="00C64064">
              <w:rPr>
                <w:rFonts w:asciiTheme="majorHAnsi" w:hAnsiTheme="majorHAnsi" w:cstheme="majorHAnsi"/>
                <w:noProof/>
              </w:rPr>
              <w:lastRenderedPageBreak/>
              <w:drawing>
                <wp:anchor distT="0" distB="0" distL="114300" distR="114300" simplePos="0" relativeHeight="251610624" behindDoc="0" locked="0" layoutInCell="1" allowOverlap="1" wp14:anchorId="430C21AF" wp14:editId="43751B81">
                  <wp:simplePos x="0" y="0"/>
                  <wp:positionH relativeFrom="column">
                    <wp:posOffset>104421</wp:posOffset>
                  </wp:positionH>
                  <wp:positionV relativeFrom="paragraph">
                    <wp:posOffset>109855</wp:posOffset>
                  </wp:positionV>
                  <wp:extent cx="314149" cy="314149"/>
                  <wp:effectExtent l="0" t="0" r="3810" b="3810"/>
                  <wp:wrapNone/>
                  <wp:docPr id="358869585" name="Graphic 3588695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708907" name="Graphic 16">
                            <a:extLst>
                              <a:ext uri="{C183D7F6-B498-43B3-948B-1728B52AA6E4}">
                                <adec:decorative xmlns:adec="http://schemas.microsoft.com/office/drawing/2017/decorative" val="1"/>
                              </a:ext>
                            </a:extLst>
                          </pic:cNvPr>
                          <pic:cNvPicPr/>
                        </pic:nvPicPr>
                        <pic:blipFill>
                          <a:blip r:embed="rId71">
                            <a:extLst>
                              <a:ext uri="{96DAC541-7B7A-43D3-8B79-37D633B846F1}">
                                <asvg:svgBlip xmlns:asvg="http://schemas.microsoft.com/office/drawing/2016/SVG/main" r:embed="rId72"/>
                              </a:ext>
                            </a:extLst>
                          </a:blip>
                          <a:stretch>
                            <a:fillRect/>
                          </a:stretch>
                        </pic:blipFill>
                        <pic:spPr>
                          <a:xfrm>
                            <a:off x="0" y="0"/>
                            <a:ext cx="314149" cy="314149"/>
                          </a:xfrm>
                          <a:prstGeom prst="rect">
                            <a:avLst/>
                          </a:prstGeom>
                        </pic:spPr>
                      </pic:pic>
                    </a:graphicData>
                  </a:graphic>
                  <wp14:sizeRelH relativeFrom="page">
                    <wp14:pctWidth>0</wp14:pctWidth>
                  </wp14:sizeRelH>
                  <wp14:sizeRelV relativeFrom="page">
                    <wp14:pctHeight>0</wp14:pctHeight>
                  </wp14:sizeRelV>
                </wp:anchor>
              </w:drawing>
            </w:r>
          </w:p>
        </w:tc>
        <w:tc>
          <w:tcPr>
            <w:tcW w:w="8787" w:type="dxa"/>
            <w:tcBorders>
              <w:top w:val="single" w:sz="8" w:space="0" w:color="222A6A"/>
              <w:bottom w:val="single" w:sz="8" w:space="0" w:color="222A6A"/>
            </w:tcBorders>
          </w:tcPr>
          <w:p w14:paraId="1B3ADFDC" w14:textId="307D14BD" w:rsidR="00C77C8C" w:rsidRPr="00C64064" w:rsidRDefault="00C77C8C">
            <w:pPr>
              <w:spacing w:before="100" w:after="100"/>
              <w:ind w:left="188"/>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Cs w:val="20"/>
              </w:rPr>
            </w:pPr>
            <w:r w:rsidRPr="00C64064">
              <w:rPr>
                <w:rFonts w:asciiTheme="majorHAnsi" w:hAnsiTheme="majorHAnsi" w:cstheme="majorHAnsi"/>
                <w:sz w:val="32"/>
                <w:szCs w:val="32"/>
              </w:rPr>
              <w:t>2</w:t>
            </w:r>
            <w:r w:rsidRPr="00C64064">
              <w:rPr>
                <w:rFonts w:asciiTheme="majorHAnsi" w:hAnsiTheme="majorHAnsi" w:cstheme="majorHAnsi"/>
                <w:b w:val="0"/>
                <w:bCs w:val="0"/>
                <w:szCs w:val="20"/>
              </w:rPr>
              <w:br/>
              <w:t>partners have business models targeting indigenous farmers in Tanah Papua</w:t>
            </w:r>
          </w:p>
        </w:tc>
      </w:tr>
      <w:tr w:rsidR="00EB38BB" w:rsidRPr="00C64064" w14:paraId="22FA5CB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222A6A"/>
              <w:bottom w:val="single" w:sz="8" w:space="0" w:color="222A6A"/>
            </w:tcBorders>
          </w:tcPr>
          <w:p w14:paraId="63A095D8" w14:textId="6AB92EDC" w:rsidR="00EB38BB" w:rsidRPr="00C64064" w:rsidRDefault="00323559">
            <w:pPr>
              <w:spacing w:before="100" w:after="100"/>
              <w:ind w:left="188"/>
              <w:rPr>
                <w:rFonts w:asciiTheme="majorHAnsi" w:hAnsiTheme="majorHAnsi" w:cstheme="majorHAnsi"/>
                <w:noProof/>
              </w:rPr>
            </w:pPr>
            <w:r w:rsidRPr="00C64064">
              <w:rPr>
                <w:rFonts w:asciiTheme="majorHAnsi" w:hAnsiTheme="majorHAnsi" w:cstheme="majorHAnsi"/>
                <w:noProof/>
                <w:szCs w:val="20"/>
              </w:rPr>
              <w:drawing>
                <wp:anchor distT="0" distB="0" distL="114300" distR="114300" simplePos="0" relativeHeight="251662848" behindDoc="0" locked="0" layoutInCell="1" allowOverlap="1" wp14:anchorId="7EEAA5B2" wp14:editId="0AE39601">
                  <wp:simplePos x="0" y="0"/>
                  <wp:positionH relativeFrom="column">
                    <wp:posOffset>0</wp:posOffset>
                  </wp:positionH>
                  <wp:positionV relativeFrom="paragraph">
                    <wp:posOffset>-1270</wp:posOffset>
                  </wp:positionV>
                  <wp:extent cx="270000" cy="270000"/>
                  <wp:effectExtent l="0" t="0" r="0" b="0"/>
                  <wp:wrapNone/>
                  <wp:docPr id="836633566" name="Graphic 8366335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719796" name="Graphic 5">
                            <a:extLst>
                              <a:ext uri="{C183D7F6-B498-43B3-948B-1728B52AA6E4}">
                                <adec:decorative xmlns:adec="http://schemas.microsoft.com/office/drawing/2017/decorative" val="1"/>
                              </a:ext>
                            </a:extLst>
                          </pic:cNvPr>
                          <pic:cNvPicPr/>
                        </pic:nvPicPr>
                        <pic:blipFill>
                          <a:blip r:embed="rId44">
                            <a:extLst>
                              <a:ext uri="{96DAC541-7B7A-43D3-8B79-37D633B846F1}">
                                <asvg:svgBlip xmlns:asvg="http://schemas.microsoft.com/office/drawing/2016/SVG/main" r:embed="rId45"/>
                              </a:ext>
                            </a:extLst>
                          </a:blip>
                          <a:stretch>
                            <a:fillRect/>
                          </a:stretch>
                        </pic:blipFill>
                        <pic:spPr>
                          <a:xfrm>
                            <a:off x="0" y="0"/>
                            <a:ext cx="270000" cy="270000"/>
                          </a:xfrm>
                          <a:prstGeom prst="rect">
                            <a:avLst/>
                          </a:prstGeom>
                        </pic:spPr>
                      </pic:pic>
                    </a:graphicData>
                  </a:graphic>
                  <wp14:sizeRelH relativeFrom="page">
                    <wp14:pctWidth>0</wp14:pctWidth>
                  </wp14:sizeRelH>
                  <wp14:sizeRelV relativeFrom="page">
                    <wp14:pctHeight>0</wp14:pctHeight>
                  </wp14:sizeRelV>
                </wp:anchor>
              </w:drawing>
            </w:r>
          </w:p>
        </w:tc>
        <w:tc>
          <w:tcPr>
            <w:tcW w:w="8787" w:type="dxa"/>
            <w:tcBorders>
              <w:top w:val="single" w:sz="8" w:space="0" w:color="222A6A"/>
              <w:bottom w:val="single" w:sz="8" w:space="0" w:color="222A6A"/>
            </w:tcBorders>
          </w:tcPr>
          <w:p w14:paraId="2B81361E" w14:textId="77777777" w:rsidR="00EB38BB" w:rsidRPr="00EB38BB" w:rsidRDefault="00EB38BB">
            <w:pPr>
              <w:spacing w:before="100" w:after="100"/>
              <w:ind w:left="188"/>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32"/>
                <w:szCs w:val="32"/>
              </w:rPr>
            </w:pPr>
            <w:r w:rsidRPr="00EB38BB">
              <w:rPr>
                <w:rFonts w:asciiTheme="majorHAnsi" w:hAnsiTheme="majorHAnsi" w:cstheme="majorHAnsi"/>
                <w:b/>
                <w:bCs/>
                <w:sz w:val="32"/>
                <w:szCs w:val="32"/>
              </w:rPr>
              <w:t>2</w:t>
            </w:r>
          </w:p>
          <w:p w14:paraId="22A159AF" w14:textId="1D766AD5" w:rsidR="00EB38BB" w:rsidRPr="00C64064" w:rsidRDefault="00323559">
            <w:pPr>
              <w:spacing w:before="100" w:after="100"/>
              <w:ind w:left="188"/>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32"/>
                <w:szCs w:val="32"/>
              </w:rPr>
            </w:pPr>
            <w:r w:rsidRPr="00323559">
              <w:rPr>
                <w:rFonts w:asciiTheme="majorHAnsi" w:hAnsiTheme="majorHAnsi" w:cstheme="majorHAnsi"/>
                <w:szCs w:val="20"/>
              </w:rPr>
              <w:t>Events sharing indigenous</w:t>
            </w:r>
            <w:r>
              <w:rPr>
                <w:rFonts w:asciiTheme="majorHAnsi" w:hAnsiTheme="majorHAnsi" w:cstheme="majorHAnsi"/>
                <w:szCs w:val="20"/>
              </w:rPr>
              <w:t xml:space="preserve"> business</w:t>
            </w:r>
            <w:r w:rsidR="00837129">
              <w:rPr>
                <w:rFonts w:asciiTheme="majorHAnsi" w:hAnsiTheme="majorHAnsi" w:cstheme="majorHAnsi"/>
                <w:szCs w:val="20"/>
              </w:rPr>
              <w:t xml:space="preserve"> models</w:t>
            </w:r>
          </w:p>
        </w:tc>
      </w:tr>
    </w:tbl>
    <w:p w14:paraId="0000F431" w14:textId="2D939A3E" w:rsidR="00631254" w:rsidRDefault="00073EAD" w:rsidP="00477D61">
      <w:pPr>
        <w:spacing w:line="276" w:lineRule="auto"/>
        <w:rPr>
          <w:rFonts w:asciiTheme="majorHAnsi" w:hAnsiTheme="majorHAnsi" w:cstheme="majorHAnsi"/>
          <w:b/>
          <w:bCs/>
          <w:color w:val="02616F" w:themeColor="accent1" w:themeShade="80"/>
        </w:rPr>
      </w:pPr>
      <w:r w:rsidRPr="00C64064">
        <w:rPr>
          <w:rFonts w:asciiTheme="majorHAnsi" w:hAnsiTheme="majorHAnsi" w:cstheme="majorHAnsi"/>
          <w:b/>
          <w:bCs/>
          <w:color w:val="02616F" w:themeColor="accent1" w:themeShade="80"/>
        </w:rPr>
        <w:t xml:space="preserve"> </w:t>
      </w:r>
    </w:p>
    <w:p w14:paraId="6075FD97" w14:textId="77777777" w:rsidR="00477D61" w:rsidRPr="00477D61" w:rsidRDefault="00477D61" w:rsidP="00477D61">
      <w:pPr>
        <w:spacing w:line="276" w:lineRule="auto"/>
        <w:rPr>
          <w:rFonts w:asciiTheme="majorHAnsi" w:hAnsiTheme="majorHAnsi" w:cstheme="majorHAnsi"/>
          <w:lang w:val="en-US"/>
        </w:rPr>
      </w:pPr>
    </w:p>
    <w:p w14:paraId="322D0D9A" w14:textId="1AAD28BF" w:rsidR="00C77C8C" w:rsidRPr="00C64064" w:rsidRDefault="00C77C8C" w:rsidP="00C77C8C">
      <w:pPr>
        <w:rPr>
          <w:rFonts w:asciiTheme="majorHAnsi" w:hAnsiTheme="majorHAnsi" w:cstheme="majorHAnsi"/>
          <w:b/>
          <w:bCs/>
        </w:rPr>
      </w:pPr>
      <w:r w:rsidRPr="00C64064">
        <w:rPr>
          <w:rFonts w:asciiTheme="majorHAnsi" w:hAnsiTheme="majorHAnsi" w:cstheme="majorHAnsi"/>
          <w:b/>
          <w:sz w:val="24"/>
          <w:szCs w:val="24"/>
        </w:rPr>
        <w:t xml:space="preserve">Strategic Communication </w:t>
      </w:r>
    </w:p>
    <w:p w14:paraId="756CF2BB" w14:textId="6391B239" w:rsidR="00991692" w:rsidRPr="00C64064" w:rsidRDefault="00991692" w:rsidP="00C77C8C">
      <w:pPr>
        <w:spacing w:line="276" w:lineRule="auto"/>
        <w:ind w:right="-7"/>
        <w:rPr>
          <w:rFonts w:asciiTheme="majorHAnsi" w:eastAsia="Calibri" w:hAnsiTheme="majorHAnsi" w:cstheme="majorHAnsi"/>
        </w:rPr>
      </w:pPr>
      <w:r>
        <w:rPr>
          <w:rFonts w:asciiTheme="majorHAnsi" w:eastAsia="Calibri" w:hAnsiTheme="majorHAnsi" w:cstheme="majorHAnsi"/>
        </w:rPr>
        <w:t xml:space="preserve">Strategic communication supports market resilience and policy initiatives </w:t>
      </w:r>
      <w:r w:rsidR="005F7883">
        <w:rPr>
          <w:rFonts w:asciiTheme="majorHAnsi" w:eastAsia="Calibri" w:hAnsiTheme="majorHAnsi" w:cstheme="majorHAnsi"/>
        </w:rPr>
        <w:t>which in turn supports a strong program legacy</w:t>
      </w:r>
      <w:r>
        <w:rPr>
          <w:rFonts w:asciiTheme="majorHAnsi" w:eastAsia="Calibri" w:hAnsiTheme="majorHAnsi" w:cstheme="majorHAnsi"/>
        </w:rPr>
        <w:t xml:space="preserve">. This semester, PRISMA launched a </w:t>
      </w:r>
      <w:r w:rsidR="00947670">
        <w:rPr>
          <w:rFonts w:asciiTheme="majorHAnsi" w:eastAsia="Calibri" w:hAnsiTheme="majorHAnsi" w:cstheme="majorHAnsi"/>
        </w:rPr>
        <w:t xml:space="preserve">final-year </w:t>
      </w:r>
      <w:r>
        <w:rPr>
          <w:rFonts w:asciiTheme="majorHAnsi" w:eastAsia="Calibri" w:hAnsiTheme="majorHAnsi" w:cstheme="majorHAnsi"/>
        </w:rPr>
        <w:t>campaign called Petani Maju / Future Farmer. As a result, there was a significant increase in PRISMA’s reach from 806,000 last semester to 2.6 million this semester.</w:t>
      </w:r>
    </w:p>
    <w:tbl>
      <w:tblPr>
        <w:tblStyle w:val="PlainTable2"/>
        <w:tblW w:w="0" w:type="auto"/>
        <w:tblBorders>
          <w:top w:val="none" w:sz="0" w:space="0" w:color="auto"/>
          <w:bottom w:val="none" w:sz="0" w:space="0" w:color="auto"/>
        </w:tblBorders>
        <w:tblLook w:val="04A0" w:firstRow="1" w:lastRow="0" w:firstColumn="1" w:lastColumn="0" w:noHBand="0" w:noVBand="1"/>
      </w:tblPr>
      <w:tblGrid>
        <w:gridCol w:w="851"/>
        <w:gridCol w:w="8787"/>
      </w:tblGrid>
      <w:tr w:rsidR="00C77C8C" w:rsidRPr="00C64064" w14:paraId="3EC0582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222A6A"/>
              <w:bottom w:val="single" w:sz="8" w:space="0" w:color="222A6A"/>
            </w:tcBorders>
          </w:tcPr>
          <w:p w14:paraId="2866B2CC" w14:textId="6DD60074" w:rsidR="00C77C8C" w:rsidRPr="00C64064" w:rsidRDefault="00C77C8C">
            <w:pPr>
              <w:spacing w:before="100" w:after="100"/>
              <w:ind w:left="188"/>
              <w:rPr>
                <w:rFonts w:asciiTheme="majorHAnsi" w:hAnsiTheme="majorHAnsi" w:cstheme="majorHAnsi"/>
                <w:sz w:val="32"/>
                <w:szCs w:val="32"/>
              </w:rPr>
            </w:pPr>
            <w:r w:rsidRPr="00C64064">
              <w:rPr>
                <w:rFonts w:asciiTheme="majorHAnsi" w:eastAsia="Calibri" w:hAnsiTheme="majorHAnsi" w:cstheme="majorHAnsi"/>
                <w:noProof/>
              </w:rPr>
              <w:drawing>
                <wp:anchor distT="0" distB="0" distL="114300" distR="114300" simplePos="0" relativeHeight="251615744" behindDoc="0" locked="0" layoutInCell="1" allowOverlap="1" wp14:anchorId="7EACF109" wp14:editId="4BA7E9EB">
                  <wp:simplePos x="0" y="0"/>
                  <wp:positionH relativeFrom="column">
                    <wp:posOffset>136260</wp:posOffset>
                  </wp:positionH>
                  <wp:positionV relativeFrom="paragraph">
                    <wp:posOffset>112761</wp:posOffset>
                  </wp:positionV>
                  <wp:extent cx="270000" cy="270000"/>
                  <wp:effectExtent l="0" t="0" r="0" b="0"/>
                  <wp:wrapNone/>
                  <wp:docPr id="902788802" name="Graphic 9027888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091688" name="Graphic 17">
                            <a:extLst>
                              <a:ext uri="{C183D7F6-B498-43B3-948B-1728B52AA6E4}">
                                <adec:decorative xmlns:adec="http://schemas.microsoft.com/office/drawing/2017/decorative" val="1"/>
                              </a:ext>
                            </a:extLst>
                          </pic:cNvPr>
                          <pic:cNvPicPr/>
                        </pic:nvPicPr>
                        <pic:blipFill>
                          <a:blip r:embed="rId73">
                            <a:extLst>
                              <a:ext uri="{96DAC541-7B7A-43D3-8B79-37D633B846F1}">
                                <asvg:svgBlip xmlns:asvg="http://schemas.microsoft.com/office/drawing/2016/SVG/main" r:embed="rId74"/>
                              </a:ext>
                            </a:extLst>
                          </a:blip>
                          <a:stretch>
                            <a:fillRect/>
                          </a:stretch>
                        </pic:blipFill>
                        <pic:spPr>
                          <a:xfrm>
                            <a:off x="0" y="0"/>
                            <a:ext cx="270000" cy="270000"/>
                          </a:xfrm>
                          <a:prstGeom prst="rect">
                            <a:avLst/>
                          </a:prstGeom>
                        </pic:spPr>
                      </pic:pic>
                    </a:graphicData>
                  </a:graphic>
                  <wp14:sizeRelH relativeFrom="page">
                    <wp14:pctWidth>0</wp14:pctWidth>
                  </wp14:sizeRelH>
                  <wp14:sizeRelV relativeFrom="page">
                    <wp14:pctHeight>0</wp14:pctHeight>
                  </wp14:sizeRelV>
                </wp:anchor>
              </w:drawing>
            </w:r>
          </w:p>
        </w:tc>
        <w:tc>
          <w:tcPr>
            <w:tcW w:w="8787" w:type="dxa"/>
            <w:tcBorders>
              <w:top w:val="single" w:sz="8" w:space="0" w:color="222A6A"/>
              <w:bottom w:val="single" w:sz="8" w:space="0" w:color="222A6A"/>
            </w:tcBorders>
          </w:tcPr>
          <w:p w14:paraId="06E5F3A3" w14:textId="1672E69E" w:rsidR="00C77C8C" w:rsidRPr="00C64064" w:rsidRDefault="00755D6F">
            <w:pPr>
              <w:spacing w:before="100" w:after="100"/>
              <w:ind w:left="188"/>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Cs w:val="20"/>
              </w:rPr>
            </w:pPr>
            <w:r>
              <w:rPr>
                <w:rFonts w:asciiTheme="majorHAnsi" w:eastAsia="Calibri" w:hAnsiTheme="majorHAnsi" w:cstheme="majorHAnsi"/>
                <w:sz w:val="32"/>
                <w:szCs w:val="32"/>
              </w:rPr>
              <w:t>2</w:t>
            </w:r>
            <w:r w:rsidR="00D410F3" w:rsidRPr="00C64064">
              <w:rPr>
                <w:rFonts w:asciiTheme="majorHAnsi" w:eastAsia="Calibri" w:hAnsiTheme="majorHAnsi" w:cstheme="majorHAnsi"/>
                <w:sz w:val="32"/>
                <w:szCs w:val="32"/>
              </w:rPr>
              <w:t>.</w:t>
            </w:r>
            <w:r>
              <w:rPr>
                <w:rFonts w:asciiTheme="majorHAnsi" w:eastAsia="Calibri" w:hAnsiTheme="majorHAnsi" w:cstheme="majorHAnsi"/>
                <w:sz w:val="32"/>
                <w:szCs w:val="32"/>
              </w:rPr>
              <w:t>68</w:t>
            </w:r>
            <w:r w:rsidR="00EE6EE8" w:rsidRPr="00C64064">
              <w:rPr>
                <w:rFonts w:asciiTheme="majorHAnsi" w:eastAsia="Calibri" w:hAnsiTheme="majorHAnsi" w:cstheme="majorHAnsi"/>
                <w:sz w:val="32"/>
                <w:szCs w:val="32"/>
              </w:rPr>
              <w:t xml:space="preserve"> </w:t>
            </w:r>
            <w:r w:rsidR="00C77C8C" w:rsidRPr="00C64064">
              <w:rPr>
                <w:rFonts w:asciiTheme="majorHAnsi" w:eastAsia="Calibri" w:hAnsiTheme="majorHAnsi" w:cstheme="majorHAnsi"/>
                <w:sz w:val="32"/>
                <w:szCs w:val="32"/>
              </w:rPr>
              <w:t>m</w:t>
            </w:r>
            <w:r w:rsidR="00C77C8C" w:rsidRPr="00C64064">
              <w:rPr>
                <w:rFonts w:asciiTheme="majorHAnsi" w:hAnsiTheme="majorHAnsi" w:cstheme="majorHAnsi"/>
                <w:b w:val="0"/>
                <w:bCs w:val="0"/>
                <w:szCs w:val="20"/>
              </w:rPr>
              <w:br/>
              <w:t>audience through digital channels this semester</w:t>
            </w:r>
          </w:p>
        </w:tc>
      </w:tr>
      <w:tr w:rsidR="00C77C8C" w:rsidRPr="00C64064" w14:paraId="791FB03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222A6A"/>
              <w:bottom w:val="single" w:sz="8" w:space="0" w:color="222A6A"/>
            </w:tcBorders>
          </w:tcPr>
          <w:p w14:paraId="7403BDBD" w14:textId="77777777" w:rsidR="00C77C8C" w:rsidRPr="00C64064" w:rsidRDefault="00C77C8C">
            <w:pPr>
              <w:spacing w:before="100" w:after="100"/>
              <w:ind w:left="188"/>
              <w:rPr>
                <w:rFonts w:asciiTheme="majorHAnsi" w:hAnsiTheme="majorHAnsi" w:cstheme="majorHAnsi"/>
                <w:b w:val="0"/>
                <w:bCs w:val="0"/>
                <w:sz w:val="32"/>
                <w:szCs w:val="32"/>
              </w:rPr>
            </w:pPr>
          </w:p>
        </w:tc>
        <w:tc>
          <w:tcPr>
            <w:tcW w:w="8787" w:type="dxa"/>
            <w:tcBorders>
              <w:top w:val="single" w:sz="8" w:space="0" w:color="222A6A"/>
              <w:bottom w:val="single" w:sz="8" w:space="0" w:color="222A6A"/>
            </w:tcBorders>
          </w:tcPr>
          <w:p w14:paraId="4E93047B" w14:textId="74186221" w:rsidR="00C77C8C" w:rsidRPr="00C64064" w:rsidRDefault="00C77C8C">
            <w:pPr>
              <w:spacing w:before="100" w:after="100"/>
              <w:ind w:left="188"/>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C64064">
              <w:rPr>
                <w:rFonts w:asciiTheme="majorHAnsi" w:eastAsia="Calibri" w:hAnsiTheme="majorHAnsi" w:cstheme="majorHAnsi"/>
                <w:noProof/>
              </w:rPr>
              <w:drawing>
                <wp:anchor distT="0" distB="0" distL="114300" distR="114300" simplePos="0" relativeHeight="251620864" behindDoc="0" locked="0" layoutInCell="1" allowOverlap="1" wp14:anchorId="03C5BBC2" wp14:editId="53C0BDB8">
                  <wp:simplePos x="0" y="0"/>
                  <wp:positionH relativeFrom="column">
                    <wp:posOffset>-384175</wp:posOffset>
                  </wp:positionH>
                  <wp:positionV relativeFrom="paragraph">
                    <wp:posOffset>116840</wp:posOffset>
                  </wp:positionV>
                  <wp:extent cx="270000" cy="270000"/>
                  <wp:effectExtent l="0" t="0" r="0" b="0"/>
                  <wp:wrapNone/>
                  <wp:docPr id="944102822" name="Graphic 9441028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819199" name="Graphic 17">
                            <a:extLst>
                              <a:ext uri="{C183D7F6-B498-43B3-948B-1728B52AA6E4}">
                                <adec:decorative xmlns:adec="http://schemas.microsoft.com/office/drawing/2017/decorative" val="1"/>
                              </a:ext>
                            </a:extLst>
                          </pic:cNvPr>
                          <pic:cNvPicPr/>
                        </pic:nvPicPr>
                        <pic:blipFill>
                          <a:blip r:embed="rId73">
                            <a:extLst>
                              <a:ext uri="{96DAC541-7B7A-43D3-8B79-37D633B846F1}">
                                <asvg:svgBlip xmlns:asvg="http://schemas.microsoft.com/office/drawing/2016/SVG/main" r:embed="rId74"/>
                              </a:ext>
                            </a:extLst>
                          </a:blip>
                          <a:stretch>
                            <a:fillRect/>
                          </a:stretch>
                        </pic:blipFill>
                        <pic:spPr>
                          <a:xfrm>
                            <a:off x="0" y="0"/>
                            <a:ext cx="270000" cy="270000"/>
                          </a:xfrm>
                          <a:prstGeom prst="rect">
                            <a:avLst/>
                          </a:prstGeom>
                        </pic:spPr>
                      </pic:pic>
                    </a:graphicData>
                  </a:graphic>
                  <wp14:sizeRelH relativeFrom="page">
                    <wp14:pctWidth>0</wp14:pctWidth>
                  </wp14:sizeRelH>
                  <wp14:sizeRelV relativeFrom="page">
                    <wp14:pctHeight>0</wp14:pctHeight>
                  </wp14:sizeRelV>
                </wp:anchor>
              </w:drawing>
            </w:r>
            <w:r w:rsidR="00566EC0">
              <w:rPr>
                <w:rFonts w:asciiTheme="majorHAnsi" w:hAnsiTheme="majorHAnsi" w:cstheme="majorHAnsi"/>
                <w:b/>
                <w:bCs/>
                <w:sz w:val="32"/>
                <w:szCs w:val="32"/>
              </w:rPr>
              <w:t>7</w:t>
            </w:r>
            <w:r w:rsidRPr="00C64064">
              <w:rPr>
                <w:rFonts w:asciiTheme="majorHAnsi" w:hAnsiTheme="majorHAnsi" w:cstheme="majorHAnsi"/>
                <w:b/>
                <w:bCs/>
                <w:sz w:val="32"/>
                <w:szCs w:val="32"/>
              </w:rPr>
              <w:t>.</w:t>
            </w:r>
            <w:r w:rsidR="00566EC0">
              <w:rPr>
                <w:rFonts w:asciiTheme="majorHAnsi" w:hAnsiTheme="majorHAnsi" w:cstheme="majorHAnsi"/>
                <w:b/>
                <w:bCs/>
                <w:sz w:val="32"/>
                <w:szCs w:val="32"/>
              </w:rPr>
              <w:t>98</w:t>
            </w:r>
            <w:r w:rsidRPr="00C64064">
              <w:rPr>
                <w:rFonts w:asciiTheme="majorHAnsi" w:hAnsiTheme="majorHAnsi" w:cstheme="majorHAnsi"/>
                <w:b/>
                <w:bCs/>
                <w:sz w:val="32"/>
                <w:szCs w:val="32"/>
              </w:rPr>
              <w:t xml:space="preserve"> m</w:t>
            </w:r>
            <w:r w:rsidRPr="00C64064">
              <w:rPr>
                <w:rFonts w:asciiTheme="majorHAnsi" w:hAnsiTheme="majorHAnsi" w:cstheme="majorHAnsi"/>
              </w:rPr>
              <w:br/>
            </w:r>
            <w:r w:rsidRPr="00C64064">
              <w:rPr>
                <w:rFonts w:asciiTheme="majorHAnsi" w:eastAsia="Calibri" w:hAnsiTheme="majorHAnsi" w:cstheme="majorHAnsi"/>
              </w:rPr>
              <w:t>cumulative audience since measurement started in January 2022</w:t>
            </w:r>
            <w:r w:rsidRPr="00C64064">
              <w:rPr>
                <w:rStyle w:val="FootnoteReference"/>
                <w:rFonts w:asciiTheme="majorHAnsi" w:eastAsia="Calibri" w:hAnsiTheme="majorHAnsi" w:cstheme="majorHAnsi"/>
              </w:rPr>
              <w:footnoteReference w:id="3"/>
            </w:r>
            <w:r w:rsidRPr="00C64064">
              <w:rPr>
                <w:rFonts w:asciiTheme="majorHAnsi" w:eastAsia="Calibri" w:hAnsiTheme="majorHAnsi" w:cstheme="majorHAnsi"/>
              </w:rPr>
              <w:t xml:space="preserve">      </w:t>
            </w:r>
          </w:p>
        </w:tc>
      </w:tr>
      <w:tr w:rsidR="00C77C8C" w:rsidRPr="00C64064" w14:paraId="0CA8F8B5" w14:textId="77777777">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222A6A"/>
              <w:bottom w:val="single" w:sz="8" w:space="0" w:color="222A6A"/>
            </w:tcBorders>
          </w:tcPr>
          <w:p w14:paraId="4FB8C78F" w14:textId="04BC4C6A" w:rsidR="00C77C8C" w:rsidRPr="00C64064" w:rsidRDefault="00C77C8C">
            <w:pPr>
              <w:spacing w:before="100" w:after="100"/>
              <w:ind w:left="188"/>
              <w:rPr>
                <w:rFonts w:asciiTheme="majorHAnsi" w:hAnsiTheme="majorHAnsi" w:cstheme="majorHAnsi"/>
                <w:b w:val="0"/>
                <w:bCs w:val="0"/>
                <w:sz w:val="32"/>
                <w:szCs w:val="32"/>
              </w:rPr>
            </w:pPr>
            <w:r w:rsidRPr="00C64064">
              <w:rPr>
                <w:rFonts w:asciiTheme="majorHAnsi" w:eastAsia="Calibri" w:hAnsiTheme="majorHAnsi" w:cstheme="majorHAnsi"/>
                <w:noProof/>
              </w:rPr>
              <w:drawing>
                <wp:anchor distT="0" distB="0" distL="114300" distR="114300" simplePos="0" relativeHeight="251625984" behindDoc="0" locked="0" layoutInCell="1" allowOverlap="1" wp14:anchorId="243B172F" wp14:editId="09F529AA">
                  <wp:simplePos x="0" y="0"/>
                  <wp:positionH relativeFrom="column">
                    <wp:posOffset>159385</wp:posOffset>
                  </wp:positionH>
                  <wp:positionV relativeFrom="paragraph">
                    <wp:posOffset>114300</wp:posOffset>
                  </wp:positionV>
                  <wp:extent cx="270000" cy="270000"/>
                  <wp:effectExtent l="0" t="0" r="0" b="0"/>
                  <wp:wrapNone/>
                  <wp:docPr id="1760425112" name="Graphic 1760425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081546" name="Graphic 18">
                            <a:extLst>
                              <a:ext uri="{C183D7F6-B498-43B3-948B-1728B52AA6E4}">
                                <adec:decorative xmlns:adec="http://schemas.microsoft.com/office/drawing/2017/decorative" val="1"/>
                              </a:ext>
                            </a:extLst>
                          </pic:cNvPr>
                          <pic:cNvPicPr/>
                        </pic:nvPicPr>
                        <pic:blipFill>
                          <a:blip r:embed="rId75">
                            <a:extLst>
                              <a:ext uri="{96DAC541-7B7A-43D3-8B79-37D633B846F1}">
                                <asvg:svgBlip xmlns:asvg="http://schemas.microsoft.com/office/drawing/2016/SVG/main" r:embed="rId76"/>
                              </a:ext>
                            </a:extLst>
                          </a:blip>
                          <a:stretch>
                            <a:fillRect/>
                          </a:stretch>
                        </pic:blipFill>
                        <pic:spPr>
                          <a:xfrm>
                            <a:off x="0" y="0"/>
                            <a:ext cx="270000" cy="270000"/>
                          </a:xfrm>
                          <a:prstGeom prst="rect">
                            <a:avLst/>
                          </a:prstGeom>
                        </pic:spPr>
                      </pic:pic>
                    </a:graphicData>
                  </a:graphic>
                  <wp14:sizeRelH relativeFrom="page">
                    <wp14:pctWidth>0</wp14:pctWidth>
                  </wp14:sizeRelH>
                  <wp14:sizeRelV relativeFrom="page">
                    <wp14:pctHeight>0</wp14:pctHeight>
                  </wp14:sizeRelV>
                </wp:anchor>
              </w:drawing>
            </w:r>
          </w:p>
        </w:tc>
        <w:tc>
          <w:tcPr>
            <w:tcW w:w="8787" w:type="dxa"/>
            <w:tcBorders>
              <w:top w:val="single" w:sz="8" w:space="0" w:color="222A6A"/>
              <w:bottom w:val="single" w:sz="8" w:space="0" w:color="222A6A"/>
            </w:tcBorders>
          </w:tcPr>
          <w:p w14:paraId="7ECCAA2A" w14:textId="50826620" w:rsidR="00C77C8C" w:rsidRPr="00C64064" w:rsidRDefault="00C77C8C">
            <w:pPr>
              <w:spacing w:before="100" w:after="100"/>
              <w:ind w:left="188"/>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64064">
              <w:rPr>
                <w:rFonts w:asciiTheme="majorHAnsi" w:hAnsiTheme="majorHAnsi" w:cstheme="majorHAnsi"/>
                <w:b/>
                <w:bCs/>
                <w:sz w:val="32"/>
                <w:szCs w:val="32"/>
              </w:rPr>
              <w:t>1</w:t>
            </w:r>
            <w:r w:rsidR="00994C95" w:rsidRPr="00C64064">
              <w:rPr>
                <w:rFonts w:asciiTheme="majorHAnsi" w:hAnsiTheme="majorHAnsi" w:cstheme="majorHAnsi"/>
                <w:b/>
                <w:bCs/>
                <w:sz w:val="32"/>
                <w:szCs w:val="32"/>
              </w:rPr>
              <w:t>97</w:t>
            </w:r>
            <w:r w:rsidRPr="00C64064">
              <w:rPr>
                <w:rFonts w:asciiTheme="majorHAnsi" w:hAnsiTheme="majorHAnsi" w:cstheme="majorHAnsi"/>
              </w:rPr>
              <w:br/>
            </w:r>
            <w:r w:rsidR="006C61E3">
              <w:rPr>
                <w:rFonts w:asciiTheme="majorHAnsi" w:hAnsiTheme="majorHAnsi" w:cstheme="majorHAnsi"/>
                <w:lang w:val="en-US"/>
              </w:rPr>
              <w:t xml:space="preserve">cumulative media mentions </w:t>
            </w:r>
            <w:r w:rsidR="000E6CF2">
              <w:rPr>
                <w:rFonts w:asciiTheme="majorHAnsi" w:hAnsiTheme="majorHAnsi" w:cstheme="majorHAnsi"/>
                <w:lang w:val="en-US"/>
              </w:rPr>
              <w:t>for phase 2</w:t>
            </w:r>
            <w:r w:rsidR="00D57F83" w:rsidRPr="00C64064">
              <w:rPr>
                <w:rFonts w:asciiTheme="majorHAnsi" w:hAnsiTheme="majorHAnsi" w:cstheme="majorHAnsi"/>
                <w:lang w:val="en-US"/>
              </w:rPr>
              <w:t xml:space="preserve"> </w:t>
            </w:r>
          </w:p>
        </w:tc>
      </w:tr>
    </w:tbl>
    <w:p w14:paraId="6E2916B1" w14:textId="77777777" w:rsidR="00C77C8C" w:rsidRPr="00C64064" w:rsidRDefault="00C77C8C" w:rsidP="00C77C8C">
      <w:pPr>
        <w:rPr>
          <w:rFonts w:asciiTheme="majorHAnsi" w:hAnsiTheme="majorHAnsi" w:cstheme="majorHAnsi"/>
          <w:color w:val="FF0000"/>
          <w:lang w:val="en-US"/>
        </w:rPr>
      </w:pPr>
    </w:p>
    <w:p w14:paraId="36B87935" w14:textId="77777777" w:rsidR="000040A4" w:rsidRPr="00C64064" w:rsidRDefault="000040A4" w:rsidP="00C77C8C">
      <w:pPr>
        <w:rPr>
          <w:rFonts w:asciiTheme="majorHAnsi" w:hAnsiTheme="majorHAnsi" w:cstheme="majorHAnsi"/>
          <w:b/>
          <w:sz w:val="24"/>
          <w:szCs w:val="24"/>
        </w:rPr>
      </w:pPr>
    </w:p>
    <w:p w14:paraId="39587F7C" w14:textId="401ED9C0" w:rsidR="00C77C8C" w:rsidRPr="00C64064" w:rsidRDefault="00C77C8C" w:rsidP="00C77C8C">
      <w:pPr>
        <w:rPr>
          <w:rFonts w:asciiTheme="majorHAnsi" w:hAnsiTheme="majorHAnsi" w:cstheme="majorHAnsi"/>
          <w:b/>
          <w:sz w:val="24"/>
          <w:szCs w:val="24"/>
        </w:rPr>
      </w:pPr>
      <w:r w:rsidRPr="00C64064">
        <w:rPr>
          <w:rFonts w:asciiTheme="majorHAnsi" w:hAnsiTheme="majorHAnsi" w:cstheme="majorHAnsi"/>
          <w:b/>
          <w:sz w:val="24"/>
          <w:szCs w:val="24"/>
        </w:rPr>
        <w:t>Locally-led development</w:t>
      </w:r>
    </w:p>
    <w:tbl>
      <w:tblPr>
        <w:tblStyle w:val="PlainTable2"/>
        <w:tblW w:w="0" w:type="auto"/>
        <w:tblBorders>
          <w:top w:val="none" w:sz="0" w:space="0" w:color="auto"/>
          <w:bottom w:val="none" w:sz="0" w:space="0" w:color="auto"/>
        </w:tblBorders>
        <w:tblLook w:val="04A0" w:firstRow="1" w:lastRow="0" w:firstColumn="1" w:lastColumn="0" w:noHBand="0" w:noVBand="1"/>
      </w:tblPr>
      <w:tblGrid>
        <w:gridCol w:w="851"/>
        <w:gridCol w:w="8787"/>
      </w:tblGrid>
      <w:tr w:rsidR="003C0C44" w:rsidRPr="00C64064" w14:paraId="01C69C8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222A6A"/>
              <w:bottom w:val="single" w:sz="8" w:space="0" w:color="222A6A"/>
            </w:tcBorders>
          </w:tcPr>
          <w:p w14:paraId="131F8334" w14:textId="5EC248CE" w:rsidR="00C77C8C" w:rsidRPr="00C64064" w:rsidRDefault="00C77C8C">
            <w:pPr>
              <w:spacing w:before="100" w:after="100"/>
              <w:ind w:left="188"/>
              <w:rPr>
                <w:rFonts w:asciiTheme="majorHAnsi" w:hAnsiTheme="majorHAnsi" w:cstheme="majorHAnsi"/>
                <w:sz w:val="32"/>
                <w:szCs w:val="32"/>
              </w:rPr>
            </w:pPr>
            <w:r w:rsidRPr="00C64064">
              <w:rPr>
                <w:rFonts w:asciiTheme="majorHAnsi" w:hAnsiTheme="majorHAnsi" w:cstheme="majorHAnsi"/>
                <w:noProof/>
                <w:lang w:val="en-US"/>
              </w:rPr>
              <w:drawing>
                <wp:anchor distT="0" distB="0" distL="114300" distR="114300" simplePos="0" relativeHeight="251631104" behindDoc="0" locked="0" layoutInCell="1" allowOverlap="1" wp14:anchorId="743B3EF2" wp14:editId="1FEAC626">
                  <wp:simplePos x="0" y="0"/>
                  <wp:positionH relativeFrom="column">
                    <wp:posOffset>138430</wp:posOffset>
                  </wp:positionH>
                  <wp:positionV relativeFrom="paragraph">
                    <wp:posOffset>51435</wp:posOffset>
                  </wp:positionV>
                  <wp:extent cx="288000" cy="288000"/>
                  <wp:effectExtent l="0" t="0" r="4445" b="4445"/>
                  <wp:wrapNone/>
                  <wp:docPr id="1812748001" name="Graphic 18127480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27936" name="Graphic 22">
                            <a:extLst>
                              <a:ext uri="{C183D7F6-B498-43B3-948B-1728B52AA6E4}">
                                <adec:decorative xmlns:adec="http://schemas.microsoft.com/office/drawing/2017/decorative" val="1"/>
                              </a:ext>
                            </a:extLst>
                          </pic:cNvPr>
                          <pic:cNvPicPr/>
                        </pic:nvPicPr>
                        <pic:blipFill>
                          <a:blip r:embed="rId77">
                            <a:extLst>
                              <a:ext uri="{96DAC541-7B7A-43D3-8B79-37D633B846F1}">
                                <asvg:svgBlip xmlns:asvg="http://schemas.microsoft.com/office/drawing/2016/SVG/main" r:embed="rId78"/>
                              </a:ext>
                            </a:extLst>
                          </a:blip>
                          <a:stretch>
                            <a:fillRect/>
                          </a:stretch>
                        </pic:blipFill>
                        <pic:spPr>
                          <a:xfrm>
                            <a:off x="0" y="0"/>
                            <a:ext cx="288000" cy="288000"/>
                          </a:xfrm>
                          <a:prstGeom prst="rect">
                            <a:avLst/>
                          </a:prstGeom>
                        </pic:spPr>
                      </pic:pic>
                    </a:graphicData>
                  </a:graphic>
                  <wp14:sizeRelH relativeFrom="page">
                    <wp14:pctWidth>0</wp14:pctWidth>
                  </wp14:sizeRelH>
                  <wp14:sizeRelV relativeFrom="page">
                    <wp14:pctHeight>0</wp14:pctHeight>
                  </wp14:sizeRelV>
                </wp:anchor>
              </w:drawing>
            </w:r>
          </w:p>
        </w:tc>
        <w:tc>
          <w:tcPr>
            <w:tcW w:w="8787" w:type="dxa"/>
            <w:tcBorders>
              <w:top w:val="single" w:sz="8" w:space="0" w:color="222A6A"/>
              <w:bottom w:val="single" w:sz="8" w:space="0" w:color="222A6A"/>
            </w:tcBorders>
          </w:tcPr>
          <w:p w14:paraId="3AF91C7C" w14:textId="1BAB56F4" w:rsidR="00C77C8C" w:rsidRPr="00C64064" w:rsidRDefault="00C77C8C">
            <w:pPr>
              <w:spacing w:before="100" w:after="100"/>
              <w:ind w:left="188"/>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Cs w:val="20"/>
              </w:rPr>
            </w:pPr>
            <w:r w:rsidRPr="00C64064">
              <w:rPr>
                <w:rFonts w:asciiTheme="majorHAnsi" w:hAnsiTheme="majorHAnsi" w:cstheme="majorHAnsi"/>
                <w:b w:val="0"/>
                <w:bCs w:val="0"/>
                <w:szCs w:val="20"/>
              </w:rPr>
              <w:t xml:space="preserve">To support locally-led development, PRISMA has co-created and co-financed </w:t>
            </w:r>
            <w:r w:rsidR="00FE542A">
              <w:rPr>
                <w:rFonts w:asciiTheme="majorHAnsi" w:hAnsiTheme="majorHAnsi" w:cstheme="majorHAnsi"/>
                <w:szCs w:val="20"/>
              </w:rPr>
              <w:t xml:space="preserve">396 </w:t>
            </w:r>
            <w:r w:rsidRPr="00C64064">
              <w:rPr>
                <w:rFonts w:asciiTheme="majorHAnsi" w:hAnsiTheme="majorHAnsi" w:cstheme="majorHAnsi"/>
                <w:szCs w:val="20"/>
              </w:rPr>
              <w:t xml:space="preserve">interventions </w:t>
            </w:r>
            <w:r w:rsidRPr="00C64064">
              <w:rPr>
                <w:rFonts w:asciiTheme="majorHAnsi" w:hAnsiTheme="majorHAnsi" w:cstheme="majorHAnsi"/>
                <w:b w:val="0"/>
                <w:bCs w:val="0"/>
                <w:szCs w:val="20"/>
              </w:rPr>
              <w:t xml:space="preserve">with </w:t>
            </w:r>
            <w:r w:rsidRPr="00C64064">
              <w:rPr>
                <w:rFonts w:asciiTheme="majorHAnsi" w:hAnsiTheme="majorHAnsi" w:cstheme="majorHAnsi"/>
                <w:szCs w:val="20"/>
              </w:rPr>
              <w:t>273 organisations</w:t>
            </w:r>
            <w:r w:rsidRPr="00C64064">
              <w:rPr>
                <w:rFonts w:asciiTheme="majorHAnsi" w:hAnsiTheme="majorHAnsi" w:cstheme="majorHAnsi"/>
                <w:b w:val="0"/>
                <w:bCs w:val="0"/>
                <w:szCs w:val="20"/>
              </w:rPr>
              <w:t xml:space="preserve">, </w:t>
            </w:r>
            <w:r w:rsidRPr="00C64064">
              <w:rPr>
                <w:rFonts w:asciiTheme="majorHAnsi" w:hAnsiTheme="majorHAnsi" w:cstheme="majorHAnsi"/>
                <w:szCs w:val="20"/>
              </w:rPr>
              <w:t>93</w:t>
            </w:r>
            <w:r w:rsidR="002839D0" w:rsidRPr="00C64064">
              <w:rPr>
                <w:rFonts w:asciiTheme="majorHAnsi" w:hAnsiTheme="majorHAnsi" w:cstheme="majorHAnsi"/>
                <w:szCs w:val="20"/>
              </w:rPr>
              <w:t>%</w:t>
            </w:r>
            <w:r w:rsidRPr="00C64064">
              <w:rPr>
                <w:rFonts w:asciiTheme="majorHAnsi" w:hAnsiTheme="majorHAnsi" w:cstheme="majorHAnsi"/>
                <w:szCs w:val="20"/>
              </w:rPr>
              <w:t xml:space="preserve"> of which are local</w:t>
            </w:r>
            <w:r w:rsidR="003A4711" w:rsidRPr="00C64064">
              <w:rPr>
                <w:rFonts w:asciiTheme="majorHAnsi" w:hAnsiTheme="majorHAnsi" w:cstheme="majorHAnsi"/>
                <w:szCs w:val="20"/>
              </w:rPr>
              <w:t>.</w:t>
            </w:r>
          </w:p>
        </w:tc>
      </w:tr>
      <w:tr w:rsidR="003C0C44" w:rsidRPr="00C64064" w14:paraId="1DB7958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222A6A"/>
              <w:bottom w:val="single" w:sz="8" w:space="0" w:color="222A6A"/>
            </w:tcBorders>
          </w:tcPr>
          <w:p w14:paraId="3B70054B" w14:textId="4A00DC0A" w:rsidR="00C77C8C" w:rsidRPr="00C64064" w:rsidRDefault="00C77C8C">
            <w:pPr>
              <w:spacing w:before="100" w:after="100"/>
              <w:ind w:left="188"/>
              <w:rPr>
                <w:rFonts w:asciiTheme="majorHAnsi" w:hAnsiTheme="majorHAnsi" w:cstheme="majorHAnsi"/>
                <w:b w:val="0"/>
                <w:bCs w:val="0"/>
                <w:sz w:val="32"/>
                <w:szCs w:val="32"/>
              </w:rPr>
            </w:pPr>
            <w:r w:rsidRPr="00C64064">
              <w:rPr>
                <w:rFonts w:asciiTheme="majorHAnsi" w:hAnsiTheme="majorHAnsi" w:cstheme="majorHAnsi"/>
                <w:noProof/>
                <w:lang w:val="en-US"/>
              </w:rPr>
              <w:drawing>
                <wp:anchor distT="0" distB="0" distL="114300" distR="114300" simplePos="0" relativeHeight="251636224" behindDoc="0" locked="0" layoutInCell="1" allowOverlap="1" wp14:anchorId="0CC05994" wp14:editId="4A3937F7">
                  <wp:simplePos x="0" y="0"/>
                  <wp:positionH relativeFrom="column">
                    <wp:posOffset>155813</wp:posOffset>
                  </wp:positionH>
                  <wp:positionV relativeFrom="paragraph">
                    <wp:posOffset>141581</wp:posOffset>
                  </wp:positionV>
                  <wp:extent cx="270000" cy="270000"/>
                  <wp:effectExtent l="0" t="0" r="0" b="0"/>
                  <wp:wrapNone/>
                  <wp:docPr id="1208138249" name="Graphic 12081382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307538" name="Graphic 23">
                            <a:extLst>
                              <a:ext uri="{C183D7F6-B498-43B3-948B-1728B52AA6E4}">
                                <adec:decorative xmlns:adec="http://schemas.microsoft.com/office/drawing/2017/decorative" val="1"/>
                              </a:ext>
                            </a:extLst>
                          </pic:cNvPr>
                          <pic:cNvPicPr/>
                        </pic:nvPicPr>
                        <pic:blipFill>
                          <a:blip r:embed="rId79">
                            <a:extLst>
                              <a:ext uri="{96DAC541-7B7A-43D3-8B79-37D633B846F1}">
                                <asvg:svgBlip xmlns:asvg="http://schemas.microsoft.com/office/drawing/2016/SVG/main" r:embed="rId80"/>
                              </a:ext>
                            </a:extLst>
                          </a:blip>
                          <a:stretch>
                            <a:fillRect/>
                          </a:stretch>
                        </pic:blipFill>
                        <pic:spPr>
                          <a:xfrm>
                            <a:off x="0" y="0"/>
                            <a:ext cx="270000" cy="270000"/>
                          </a:xfrm>
                          <a:prstGeom prst="rect">
                            <a:avLst/>
                          </a:prstGeom>
                        </pic:spPr>
                      </pic:pic>
                    </a:graphicData>
                  </a:graphic>
                  <wp14:sizeRelH relativeFrom="page">
                    <wp14:pctWidth>0</wp14:pctWidth>
                  </wp14:sizeRelH>
                  <wp14:sizeRelV relativeFrom="page">
                    <wp14:pctHeight>0</wp14:pctHeight>
                  </wp14:sizeRelV>
                </wp:anchor>
              </w:drawing>
            </w:r>
          </w:p>
        </w:tc>
        <w:tc>
          <w:tcPr>
            <w:tcW w:w="8787" w:type="dxa"/>
            <w:tcBorders>
              <w:top w:val="single" w:sz="8" w:space="0" w:color="222A6A"/>
              <w:bottom w:val="single" w:sz="8" w:space="0" w:color="222A6A"/>
            </w:tcBorders>
          </w:tcPr>
          <w:p w14:paraId="5387D9B3" w14:textId="0A7318D5" w:rsidR="00C77C8C" w:rsidRPr="00C64064" w:rsidRDefault="00C77C8C">
            <w:pPr>
              <w:spacing w:before="100" w:after="100"/>
              <w:ind w:left="188"/>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Cs w:val="20"/>
              </w:rPr>
            </w:pPr>
            <w:r w:rsidRPr="00C64064">
              <w:rPr>
                <w:rFonts w:asciiTheme="majorHAnsi" w:hAnsiTheme="majorHAnsi" w:cstheme="majorHAnsi"/>
                <w:szCs w:val="20"/>
              </w:rPr>
              <w:t xml:space="preserve">PRISMA has </w:t>
            </w:r>
            <w:r w:rsidRPr="00C64064">
              <w:rPr>
                <w:rFonts w:asciiTheme="majorHAnsi" w:hAnsiTheme="majorHAnsi" w:cstheme="majorHAnsi"/>
                <w:b/>
                <w:bCs/>
                <w:szCs w:val="20"/>
              </w:rPr>
              <w:t>provided technical and financial support</w:t>
            </w:r>
            <w:r w:rsidRPr="00C64064">
              <w:rPr>
                <w:rFonts w:asciiTheme="majorHAnsi" w:hAnsiTheme="majorHAnsi" w:cstheme="majorHAnsi"/>
                <w:szCs w:val="20"/>
              </w:rPr>
              <w:t xml:space="preserve"> to these local entities (private companies, local governments, associations, universities, etc.) to implement interventions.</w:t>
            </w:r>
          </w:p>
        </w:tc>
      </w:tr>
    </w:tbl>
    <w:p w14:paraId="26EF1170" w14:textId="77777777" w:rsidR="00C77C8C" w:rsidRPr="00C64064" w:rsidRDefault="00C77C8C" w:rsidP="00C77C8C">
      <w:pPr>
        <w:spacing w:line="276" w:lineRule="auto"/>
        <w:rPr>
          <w:rFonts w:asciiTheme="majorHAnsi" w:hAnsiTheme="majorHAnsi" w:cstheme="majorHAnsi"/>
          <w:color w:val="FF0000"/>
        </w:rPr>
      </w:pPr>
    </w:p>
    <w:p w14:paraId="48F3DBD5" w14:textId="77777777" w:rsidR="00E72EF3" w:rsidRPr="00C64064" w:rsidRDefault="00E72EF3" w:rsidP="0045601F">
      <w:pPr>
        <w:spacing w:line="276" w:lineRule="auto"/>
        <w:rPr>
          <w:rFonts w:asciiTheme="majorHAnsi" w:hAnsiTheme="majorHAnsi" w:cstheme="majorHAnsi"/>
          <w:b/>
          <w:bCs/>
          <w:color w:val="FF0000"/>
        </w:rPr>
        <w:sectPr w:rsidR="00E72EF3" w:rsidRPr="00C64064" w:rsidSect="00AD0007">
          <w:footerReference w:type="default" r:id="rId81"/>
          <w:headerReference w:type="first" r:id="rId82"/>
          <w:footerReference w:type="first" r:id="rId83"/>
          <w:pgSz w:w="11906" w:h="16838"/>
          <w:pgMar w:top="1135" w:right="1134" w:bottom="1276" w:left="1134" w:header="410" w:footer="788" w:gutter="0"/>
          <w:cols w:space="708"/>
          <w:docGrid w:linePitch="360"/>
        </w:sectPr>
      </w:pPr>
    </w:p>
    <w:p w14:paraId="7BC6C398" w14:textId="688D39D1" w:rsidR="00096137" w:rsidRPr="00C64064" w:rsidRDefault="00096137" w:rsidP="0045601F">
      <w:pPr>
        <w:keepNext/>
        <w:spacing w:line="276" w:lineRule="auto"/>
        <w:jc w:val="center"/>
        <w:rPr>
          <w:rFonts w:asciiTheme="majorHAnsi" w:hAnsiTheme="majorHAnsi" w:cstheme="majorHAnsi"/>
          <w:color w:val="FF0000"/>
        </w:rPr>
      </w:pPr>
    </w:p>
    <w:p w14:paraId="4DB04D48" w14:textId="484F1323" w:rsidR="002A59C8" w:rsidRPr="00C64064" w:rsidRDefault="002A59C8" w:rsidP="0045601F">
      <w:pPr>
        <w:spacing w:line="276" w:lineRule="auto"/>
        <w:rPr>
          <w:rFonts w:asciiTheme="majorHAnsi" w:hAnsiTheme="majorHAnsi" w:cstheme="majorHAnsi"/>
          <w:noProof/>
        </w:rPr>
      </w:pPr>
    </w:p>
    <w:p w14:paraId="40D13E9B" w14:textId="28AD7147" w:rsidR="008F6061" w:rsidRPr="008F6061" w:rsidRDefault="003C15CD" w:rsidP="008F6061">
      <w:pPr>
        <w:rPr>
          <w:rFonts w:ascii="Arial" w:eastAsia="Aptos" w:hAnsi="Arial" w:cs="Arial"/>
          <w:kern w:val="2"/>
          <w:sz w:val="24"/>
          <w:szCs w:val="24"/>
          <w:lang w:val="en-AU" w:eastAsia="en-US"/>
          <w14:ligatures w14:val="standardContextual"/>
        </w:rPr>
      </w:pPr>
      <w:r>
        <w:rPr>
          <w:rFonts w:asciiTheme="majorHAnsi" w:hAnsiTheme="majorHAnsi" w:cstheme="majorHAnsi"/>
          <w:highlight w:val="lightGray"/>
        </w:rPr>
        <w:br w:type="page"/>
      </w:r>
      <w:r w:rsidR="00087FCA" w:rsidRPr="008F6061">
        <w:rPr>
          <w:rFonts w:ascii="Arial" w:eastAsia="Aptos" w:hAnsi="Arial" w:cs="Arial"/>
          <w:noProof/>
          <w:kern w:val="2"/>
          <w:sz w:val="24"/>
          <w:szCs w:val="24"/>
          <w:lang w:val="en-AU" w:eastAsia="en-US"/>
          <w14:ligatures w14:val="standardContextual"/>
        </w:rPr>
        <w:lastRenderedPageBreak/>
        <w:drawing>
          <wp:anchor distT="0" distB="0" distL="114300" distR="114300" simplePos="0" relativeHeight="251739648" behindDoc="0" locked="0" layoutInCell="1" allowOverlap="1" wp14:anchorId="480C1C74" wp14:editId="0DB81DA8">
            <wp:simplePos x="0" y="0"/>
            <wp:positionH relativeFrom="page">
              <wp:align>left</wp:align>
            </wp:positionH>
            <wp:positionV relativeFrom="paragraph">
              <wp:posOffset>-826770</wp:posOffset>
            </wp:positionV>
            <wp:extent cx="7493000" cy="4949190"/>
            <wp:effectExtent l="0" t="0" r="0" b="8890"/>
            <wp:wrapNone/>
            <wp:docPr id="10477153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71535" name="Picture 1">
                      <a:extLst>
                        <a:ext uri="{C183D7F6-B498-43B3-948B-1728B52AA6E4}">
                          <adec:decorative xmlns:adec="http://schemas.microsoft.com/office/drawing/2017/decorative" val="1"/>
                        </a:ext>
                      </a:extLst>
                    </pic:cNvPr>
                    <pic:cNvPicPr/>
                  </pic:nvPicPr>
                  <pic:blipFill>
                    <a:blip r:embed="rId84" cstate="print">
                      <a:extLst>
                        <a:ext uri="{28A0092B-C50C-407E-A947-70E740481C1C}">
                          <a14:useLocalDpi xmlns:a14="http://schemas.microsoft.com/office/drawing/2010/main" val="0"/>
                        </a:ext>
                      </a:extLst>
                    </a:blip>
                    <a:stretch>
                      <a:fillRect/>
                    </a:stretch>
                  </pic:blipFill>
                  <pic:spPr>
                    <a:xfrm>
                      <a:off x="0" y="0"/>
                      <a:ext cx="7493000" cy="4949190"/>
                    </a:xfrm>
                    <a:prstGeom prst="rect">
                      <a:avLst/>
                    </a:prstGeom>
                  </pic:spPr>
                </pic:pic>
              </a:graphicData>
            </a:graphic>
            <wp14:sizeRelH relativeFrom="page">
              <wp14:pctWidth>0</wp14:pctWidth>
            </wp14:sizeRelH>
            <wp14:sizeRelV relativeFrom="page">
              <wp14:pctHeight>0</wp14:pctHeight>
            </wp14:sizeRelV>
          </wp:anchor>
        </w:drawing>
      </w:r>
      <w:r w:rsidR="00A4559C" w:rsidRPr="00A4559C">
        <w:rPr>
          <w:noProof/>
        </w:rPr>
        <w:t xml:space="preserve"> </w:t>
      </w:r>
      <w:bookmarkStart w:id="33" w:name="_Hlk172887380"/>
    </w:p>
    <w:p w14:paraId="365BA9A9" w14:textId="77777777"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75887AB4" w14:textId="77777777"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0FD84215" w14:textId="77777777"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766BC850" w14:textId="175CAD23"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1FF0971B" w14:textId="0E9EFFAD"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6BE1ABF7" w14:textId="77777777"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4B8F15AC" w14:textId="43EF007C"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4B3F3389" w14:textId="77777777"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52A8F69F" w14:textId="77777777"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370A0229" w14:textId="77777777"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1601B4EA" w14:textId="77777777"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5A863C90" w14:textId="77777777"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6ACE4C0F" w14:textId="77777777"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0748BCEF" w14:textId="77777777"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0C84DC71" w14:textId="77777777"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600996B1" w14:textId="77777777"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6AE6F49E" w14:textId="77777777"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394335F4" w14:textId="77777777"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6279A27D" w14:textId="7CF82B0A"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6F5B6EDF" w14:textId="77777777"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r w:rsidRPr="008F6061">
        <w:rPr>
          <w:rFonts w:ascii="Arial" w:eastAsia="Aptos" w:hAnsi="Arial" w:cs="Arial"/>
          <w:noProof/>
          <w:kern w:val="2"/>
          <w:sz w:val="24"/>
          <w:szCs w:val="24"/>
          <w:lang w:val="en-AU" w:eastAsia="en-US"/>
          <w14:ligatures w14:val="standardContextual"/>
        </w:rPr>
        <mc:AlternateContent>
          <mc:Choice Requires="wps">
            <w:drawing>
              <wp:anchor distT="0" distB="0" distL="114300" distR="114300" simplePos="0" relativeHeight="251678208" behindDoc="0" locked="0" layoutInCell="1" allowOverlap="1" wp14:anchorId="585A3723" wp14:editId="451308D0">
                <wp:simplePos x="0" y="0"/>
                <wp:positionH relativeFrom="page">
                  <wp:align>left</wp:align>
                </wp:positionH>
                <wp:positionV relativeFrom="paragraph">
                  <wp:posOffset>125095</wp:posOffset>
                </wp:positionV>
                <wp:extent cx="7559675" cy="1409700"/>
                <wp:effectExtent l="0" t="0" r="3175" b="0"/>
                <wp:wrapNone/>
                <wp:docPr id="304653257"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409700"/>
                        </a:xfrm>
                        <a:prstGeom prst="rect">
                          <a:avLst/>
                        </a:prstGeom>
                        <a:solidFill>
                          <a:sysClr val="window" lastClr="FFFFFF">
                            <a:lumMod val="9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ECD014" id="Rectangle 2" o:spid="_x0000_s1026" alt="&quot;&quot;" style="position:absolute;margin-left:0;margin-top:9.85pt;width:595.25pt;height:111pt;z-index:2516782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" fillcolor="#f2f2f2" stroked="f" strokeweight="1pt">
                <w10:wrap anchorx="page"/>
              </v:rect>
            </w:pict>
          </mc:Fallback>
        </mc:AlternateContent>
      </w:r>
    </w:p>
    <w:p w14:paraId="21B95C92" w14:textId="45DD48DB"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5F2114BE" w14:textId="5540C2C3" w:rsidR="008F6061" w:rsidRPr="008F6061" w:rsidRDefault="00D05C72" w:rsidP="008F6061">
      <w:pPr>
        <w:spacing w:after="0" w:line="240" w:lineRule="auto"/>
        <w:rPr>
          <w:rFonts w:ascii="Arial" w:eastAsia="Aptos" w:hAnsi="Arial" w:cs="Arial"/>
          <w:kern w:val="2"/>
          <w:sz w:val="24"/>
          <w:szCs w:val="24"/>
          <w:lang w:val="en-AU" w:eastAsia="en-US"/>
          <w14:ligatures w14:val="standardContextual"/>
        </w:rPr>
      </w:pPr>
      <w:r w:rsidRPr="008F6061">
        <w:rPr>
          <w:rFonts w:ascii="Arial" w:eastAsia="Aptos" w:hAnsi="Arial" w:cs="Arial"/>
          <w:noProof/>
          <w:kern w:val="2"/>
          <w:sz w:val="24"/>
          <w:szCs w:val="24"/>
          <w:lang w:val="en-AU" w:eastAsia="en-US"/>
          <w14:ligatures w14:val="standardContextual"/>
        </w:rPr>
        <mc:AlternateContent>
          <mc:Choice Requires="wps">
            <w:drawing>
              <wp:anchor distT="0" distB="0" distL="114300" distR="114300" simplePos="0" relativeHeight="251683328" behindDoc="0" locked="0" layoutInCell="1" allowOverlap="1" wp14:anchorId="26EAEFC3" wp14:editId="49F787F9">
                <wp:simplePos x="0" y="0"/>
                <wp:positionH relativeFrom="column">
                  <wp:posOffset>-75565</wp:posOffset>
                </wp:positionH>
                <wp:positionV relativeFrom="paragraph">
                  <wp:posOffset>103933</wp:posOffset>
                </wp:positionV>
                <wp:extent cx="6556375" cy="1154193"/>
                <wp:effectExtent l="0" t="0" r="0" b="0"/>
                <wp:wrapNone/>
                <wp:docPr id="100794142" name="Text Box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556375" cy="1154193"/>
                        </a:xfrm>
                        <a:prstGeom prst="rect">
                          <a:avLst/>
                        </a:prstGeom>
                        <a:noFill/>
                        <a:ln w="6350">
                          <a:noFill/>
                        </a:ln>
                      </wps:spPr>
                      <wps:txbx>
                        <w:txbxContent>
                          <w:p w14:paraId="20D68752" w14:textId="6DFDFE7C" w:rsidR="00DB48C7" w:rsidRPr="00D05C72" w:rsidRDefault="008F6061" w:rsidP="00DB48C7">
                            <w:pPr>
                              <w:spacing w:line="276" w:lineRule="auto"/>
                              <w:rPr>
                                <w:rFonts w:asciiTheme="majorHAnsi" w:hAnsiTheme="majorHAnsi" w:cstheme="majorHAnsi"/>
                                <w:color w:val="FF0000"/>
                                <w:sz w:val="20"/>
                                <w:szCs w:val="20"/>
                              </w:rPr>
                            </w:pPr>
                            <w:r w:rsidRPr="00D05C72">
                              <w:rPr>
                                <w:rFonts w:asciiTheme="majorHAnsi" w:eastAsia="Calibri" w:hAnsiTheme="majorHAnsi" w:cstheme="majorHAnsi"/>
                                <w:sz w:val="18"/>
                                <w:szCs w:val="18"/>
                              </w:rPr>
                              <w:t>This semester, PRISMA launched a final-year</w:t>
                            </w:r>
                            <w:r w:rsidR="004B2BBF" w:rsidRPr="00D05C72">
                              <w:rPr>
                                <w:rFonts w:asciiTheme="majorHAnsi" w:eastAsia="Calibri" w:hAnsiTheme="majorHAnsi" w:cstheme="majorHAnsi"/>
                                <w:sz w:val="18"/>
                                <w:szCs w:val="18"/>
                              </w:rPr>
                              <w:t>, public facing</w:t>
                            </w:r>
                            <w:r w:rsidRPr="00D05C72">
                              <w:rPr>
                                <w:rFonts w:asciiTheme="majorHAnsi" w:eastAsia="Calibri" w:hAnsiTheme="majorHAnsi" w:cstheme="majorHAnsi"/>
                                <w:sz w:val="18"/>
                                <w:szCs w:val="18"/>
                              </w:rPr>
                              <w:t xml:space="preserve"> campaign called Petani Maju / Future</w:t>
                            </w:r>
                            <w:r w:rsidR="00407FB6" w:rsidRPr="00D05C72">
                              <w:rPr>
                                <w:rFonts w:asciiTheme="majorHAnsi" w:eastAsia="Calibri" w:hAnsiTheme="majorHAnsi" w:cstheme="majorHAnsi"/>
                                <w:sz w:val="18"/>
                                <w:szCs w:val="18"/>
                              </w:rPr>
                              <w:t xml:space="preserve"> </w:t>
                            </w:r>
                            <w:r w:rsidRPr="00D05C72">
                              <w:rPr>
                                <w:rFonts w:asciiTheme="majorHAnsi" w:eastAsia="Calibri" w:hAnsiTheme="majorHAnsi" w:cstheme="majorHAnsi"/>
                                <w:sz w:val="18"/>
                                <w:szCs w:val="18"/>
                              </w:rPr>
                              <w:t xml:space="preserve">Farmer. The campaign provides a platform for PRISMA’s </w:t>
                            </w:r>
                            <w:r w:rsidR="00F7014C" w:rsidRPr="00D05C72">
                              <w:rPr>
                                <w:rFonts w:asciiTheme="majorHAnsi" w:eastAsia="Calibri" w:hAnsiTheme="majorHAnsi" w:cstheme="majorHAnsi"/>
                                <w:b/>
                                <w:bCs/>
                                <w:sz w:val="18"/>
                                <w:szCs w:val="18"/>
                                <w:u w:val="single"/>
                              </w:rPr>
                              <w:t>market resi</w:t>
                            </w:r>
                            <w:r w:rsidR="00D05C72" w:rsidRPr="00D05C72">
                              <w:rPr>
                                <w:rFonts w:asciiTheme="majorHAnsi" w:eastAsia="Calibri" w:hAnsiTheme="majorHAnsi" w:cstheme="majorHAnsi"/>
                                <w:b/>
                                <w:bCs/>
                                <w:sz w:val="18"/>
                                <w:szCs w:val="18"/>
                                <w:u w:val="single"/>
                              </w:rPr>
                              <w:t xml:space="preserve">lience </w:t>
                            </w:r>
                            <w:r w:rsidR="00D05C72" w:rsidRPr="00D05C72">
                              <w:rPr>
                                <w:rFonts w:asciiTheme="majorHAnsi" w:eastAsia="Calibri" w:hAnsiTheme="majorHAnsi" w:cstheme="majorHAnsi"/>
                                <w:sz w:val="18"/>
                                <w:szCs w:val="18"/>
                              </w:rPr>
                              <w:t xml:space="preserve">and </w:t>
                            </w:r>
                            <w:r w:rsidR="00D05C72" w:rsidRPr="00D05C72">
                              <w:rPr>
                                <w:rFonts w:asciiTheme="majorHAnsi" w:eastAsia="Calibri" w:hAnsiTheme="majorHAnsi" w:cstheme="majorHAnsi"/>
                                <w:b/>
                                <w:bCs/>
                                <w:sz w:val="18"/>
                                <w:szCs w:val="18"/>
                                <w:u w:val="single"/>
                              </w:rPr>
                              <w:t>high priority policy</w:t>
                            </w:r>
                            <w:r w:rsidRPr="00D05C72">
                              <w:rPr>
                                <w:rFonts w:asciiTheme="majorHAnsi" w:eastAsia="Calibri" w:hAnsiTheme="majorHAnsi" w:cstheme="majorHAnsi"/>
                                <w:b/>
                                <w:sz w:val="18"/>
                                <w:szCs w:val="18"/>
                                <w:u w:val="single"/>
                              </w:rPr>
                              <w:t xml:space="preserve"> initiatives</w:t>
                            </w:r>
                            <w:r w:rsidRPr="00D05C72">
                              <w:rPr>
                                <w:rFonts w:asciiTheme="majorHAnsi" w:eastAsia="Calibri" w:hAnsiTheme="majorHAnsi" w:cstheme="majorHAnsi"/>
                                <w:sz w:val="18"/>
                                <w:szCs w:val="18"/>
                              </w:rPr>
                              <w:t xml:space="preserve"> in its final year and</w:t>
                            </w:r>
                            <w:r w:rsidR="00407FB6" w:rsidRPr="00D05C72">
                              <w:rPr>
                                <w:rFonts w:asciiTheme="majorHAnsi" w:eastAsia="Calibri" w:hAnsiTheme="majorHAnsi" w:cstheme="majorHAnsi"/>
                                <w:sz w:val="18"/>
                                <w:szCs w:val="18"/>
                              </w:rPr>
                              <w:t xml:space="preserve"> </w:t>
                            </w:r>
                            <w:r w:rsidRPr="00D05C72">
                              <w:rPr>
                                <w:rFonts w:asciiTheme="majorHAnsi" w:eastAsia="Calibri" w:hAnsiTheme="majorHAnsi" w:cstheme="majorHAnsi"/>
                                <w:sz w:val="18"/>
                                <w:szCs w:val="18"/>
                              </w:rPr>
                              <w:t>uses its private and public sector partner network to reach a larger audience. The goal</w:t>
                            </w:r>
                            <w:r w:rsidR="00407FB6" w:rsidRPr="00D05C72">
                              <w:rPr>
                                <w:rFonts w:asciiTheme="majorHAnsi" w:eastAsia="Calibri" w:hAnsiTheme="majorHAnsi" w:cstheme="majorHAnsi"/>
                                <w:sz w:val="18"/>
                                <w:szCs w:val="18"/>
                              </w:rPr>
                              <w:t xml:space="preserve"> </w:t>
                            </w:r>
                            <w:r w:rsidRPr="00D05C72">
                              <w:rPr>
                                <w:rFonts w:ascii="Arial" w:hAnsi="Arial" w:cs="Arial"/>
                                <w:color w:val="000000"/>
                                <w:sz w:val="18"/>
                                <w:szCs w:val="18"/>
                              </w:rPr>
                              <w:t xml:space="preserve">was to reach 2 million people, and so far, the campaign has reached </w:t>
                            </w:r>
                            <w:r w:rsidRPr="00D05C72">
                              <w:rPr>
                                <w:rFonts w:ascii="Arial" w:hAnsi="Arial" w:cs="Arial"/>
                                <w:b/>
                                <w:color w:val="232C64"/>
                                <w:sz w:val="18"/>
                                <w:szCs w:val="18"/>
                              </w:rPr>
                              <w:t>2.68 million people</w:t>
                            </w:r>
                            <w:r w:rsidRPr="00D05C72">
                              <w:rPr>
                                <w:rFonts w:ascii="Arial" w:hAnsi="Arial" w:cs="Arial"/>
                                <w:color w:val="000000"/>
                                <w:sz w:val="18"/>
                                <w:szCs w:val="18"/>
                              </w:rPr>
                              <w:t>.</w:t>
                            </w:r>
                            <w:r w:rsidR="00DB48C7" w:rsidRPr="00D05C72">
                              <w:rPr>
                                <w:rFonts w:ascii="Arial" w:hAnsi="Arial" w:cs="Arial"/>
                                <w:color w:val="000000"/>
                                <w:sz w:val="18"/>
                                <w:szCs w:val="18"/>
                              </w:rPr>
                              <w:t xml:space="preserve"> </w:t>
                            </w:r>
                            <w:r w:rsidR="00DB48C7" w:rsidRPr="00D05C72">
                              <w:rPr>
                                <w:rFonts w:asciiTheme="majorHAnsi" w:eastAsia="Calibri" w:hAnsiTheme="majorHAnsi" w:cstheme="majorHAnsi"/>
                                <w:sz w:val="18"/>
                                <w:szCs w:val="18"/>
                              </w:rPr>
                              <w:t>In addition to the metrics on digital reach, event attendees and media mentions (shared in the Executive Summary), PRISMA gathered qualitative data to gauge the level of influence of PRISMA’s events and activities. Quotes from event participants can be found throughout this report.</w:t>
                            </w:r>
                            <w:r w:rsidR="00DB48C7" w:rsidRPr="00D05C72">
                              <w:rPr>
                                <w:rFonts w:asciiTheme="majorHAnsi" w:hAnsiTheme="majorHAnsi" w:cstheme="majorHAnsi"/>
                                <w:sz w:val="20"/>
                                <w:szCs w:val="20"/>
                              </w:rPr>
                              <w:t xml:space="preserve"> </w:t>
                            </w:r>
                          </w:p>
                          <w:p w14:paraId="6550E920" w14:textId="6112287B" w:rsidR="008F6061" w:rsidRPr="00407FB6" w:rsidRDefault="008F6061" w:rsidP="00407FB6">
                            <w:pPr>
                              <w:autoSpaceDE w:val="0"/>
                              <w:autoSpaceDN w:val="0"/>
                              <w:adjustRightInd w:val="0"/>
                              <w:spacing w:line="288" w:lineRule="auto"/>
                              <w:rPr>
                                <w:rFonts w:asciiTheme="majorHAnsi" w:eastAsia="Calibri" w:hAnsiTheme="majorHAnsi" w:cstheme="majorHAns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AEFC3" id="Text Box 3" o:spid="_x0000_s1045" type="#_x0000_t202" alt="&quot;&quot;" style="position:absolute;margin-left:-5.95pt;margin-top:8.2pt;width:516.25pt;height:90.9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" filled="f" stroked="f" strokeweight=".5pt">
                <v:textbox>
                  <w:txbxContent>
                    <w:p w14:paraId="20D68752" w14:textId="6DFDFE7C" w:rsidR="00DB48C7" w:rsidRPr="00D05C72" w:rsidRDefault="008F6061" w:rsidP="00DB48C7">
                      <w:pPr>
                        <w:spacing w:line="276" w:lineRule="auto"/>
                        <w:rPr>
                          <w:rFonts w:asciiTheme="majorHAnsi" w:hAnsiTheme="majorHAnsi" w:cstheme="majorHAnsi"/>
                          <w:color w:val="FF0000"/>
                          <w:sz w:val="20"/>
                          <w:szCs w:val="20"/>
                        </w:rPr>
                      </w:pPr>
                      <w:r w:rsidRPr="00D05C72">
                        <w:rPr>
                          <w:rFonts w:asciiTheme="majorHAnsi" w:eastAsia="Calibri" w:hAnsiTheme="majorHAnsi" w:cstheme="majorHAnsi"/>
                          <w:sz w:val="18"/>
                          <w:szCs w:val="18"/>
                        </w:rPr>
                        <w:t>This semester, PRISMA launched a final-year</w:t>
                      </w:r>
                      <w:r w:rsidR="004B2BBF" w:rsidRPr="00D05C72">
                        <w:rPr>
                          <w:rFonts w:asciiTheme="majorHAnsi" w:eastAsia="Calibri" w:hAnsiTheme="majorHAnsi" w:cstheme="majorHAnsi"/>
                          <w:sz w:val="18"/>
                          <w:szCs w:val="18"/>
                        </w:rPr>
                        <w:t>, public facing</w:t>
                      </w:r>
                      <w:r w:rsidRPr="00D05C72">
                        <w:rPr>
                          <w:rFonts w:asciiTheme="majorHAnsi" w:eastAsia="Calibri" w:hAnsiTheme="majorHAnsi" w:cstheme="majorHAnsi"/>
                          <w:sz w:val="18"/>
                          <w:szCs w:val="18"/>
                        </w:rPr>
                        <w:t xml:space="preserve"> campaign called Petani Maju / Future</w:t>
                      </w:r>
                      <w:r w:rsidR="00407FB6" w:rsidRPr="00D05C72">
                        <w:rPr>
                          <w:rFonts w:asciiTheme="majorHAnsi" w:eastAsia="Calibri" w:hAnsiTheme="majorHAnsi" w:cstheme="majorHAnsi"/>
                          <w:sz w:val="18"/>
                          <w:szCs w:val="18"/>
                        </w:rPr>
                        <w:t xml:space="preserve"> </w:t>
                      </w:r>
                      <w:r w:rsidRPr="00D05C72">
                        <w:rPr>
                          <w:rFonts w:asciiTheme="majorHAnsi" w:eastAsia="Calibri" w:hAnsiTheme="majorHAnsi" w:cstheme="majorHAnsi"/>
                          <w:sz w:val="18"/>
                          <w:szCs w:val="18"/>
                        </w:rPr>
                        <w:t xml:space="preserve">Farmer. The campaign provides a platform for PRISMA’s </w:t>
                      </w:r>
                      <w:r w:rsidR="00F7014C" w:rsidRPr="00D05C72">
                        <w:rPr>
                          <w:rFonts w:asciiTheme="majorHAnsi" w:eastAsia="Calibri" w:hAnsiTheme="majorHAnsi" w:cstheme="majorHAnsi"/>
                          <w:b/>
                          <w:bCs/>
                          <w:sz w:val="18"/>
                          <w:szCs w:val="18"/>
                          <w:u w:val="single"/>
                        </w:rPr>
                        <w:t>market resi</w:t>
                      </w:r>
                      <w:r w:rsidR="00D05C72" w:rsidRPr="00D05C72">
                        <w:rPr>
                          <w:rFonts w:asciiTheme="majorHAnsi" w:eastAsia="Calibri" w:hAnsiTheme="majorHAnsi" w:cstheme="majorHAnsi"/>
                          <w:b/>
                          <w:bCs/>
                          <w:sz w:val="18"/>
                          <w:szCs w:val="18"/>
                          <w:u w:val="single"/>
                        </w:rPr>
                        <w:t xml:space="preserve">lience </w:t>
                      </w:r>
                      <w:r w:rsidR="00D05C72" w:rsidRPr="00D05C72">
                        <w:rPr>
                          <w:rFonts w:asciiTheme="majorHAnsi" w:eastAsia="Calibri" w:hAnsiTheme="majorHAnsi" w:cstheme="majorHAnsi"/>
                          <w:sz w:val="18"/>
                          <w:szCs w:val="18"/>
                        </w:rPr>
                        <w:t xml:space="preserve">and </w:t>
                      </w:r>
                      <w:r w:rsidR="00D05C72" w:rsidRPr="00D05C72">
                        <w:rPr>
                          <w:rFonts w:asciiTheme="majorHAnsi" w:eastAsia="Calibri" w:hAnsiTheme="majorHAnsi" w:cstheme="majorHAnsi"/>
                          <w:b/>
                          <w:bCs/>
                          <w:sz w:val="18"/>
                          <w:szCs w:val="18"/>
                          <w:u w:val="single"/>
                        </w:rPr>
                        <w:t>high priority policy</w:t>
                      </w:r>
                      <w:r w:rsidRPr="00D05C72">
                        <w:rPr>
                          <w:rFonts w:asciiTheme="majorHAnsi" w:eastAsia="Calibri" w:hAnsiTheme="majorHAnsi" w:cstheme="majorHAnsi"/>
                          <w:b/>
                          <w:sz w:val="18"/>
                          <w:szCs w:val="18"/>
                          <w:u w:val="single"/>
                        </w:rPr>
                        <w:t xml:space="preserve"> initiatives</w:t>
                      </w:r>
                      <w:r w:rsidRPr="00D05C72">
                        <w:rPr>
                          <w:rFonts w:asciiTheme="majorHAnsi" w:eastAsia="Calibri" w:hAnsiTheme="majorHAnsi" w:cstheme="majorHAnsi"/>
                          <w:sz w:val="18"/>
                          <w:szCs w:val="18"/>
                        </w:rPr>
                        <w:t xml:space="preserve"> in its final year and</w:t>
                      </w:r>
                      <w:r w:rsidR="00407FB6" w:rsidRPr="00D05C72">
                        <w:rPr>
                          <w:rFonts w:asciiTheme="majorHAnsi" w:eastAsia="Calibri" w:hAnsiTheme="majorHAnsi" w:cstheme="majorHAnsi"/>
                          <w:sz w:val="18"/>
                          <w:szCs w:val="18"/>
                        </w:rPr>
                        <w:t xml:space="preserve"> </w:t>
                      </w:r>
                      <w:r w:rsidRPr="00D05C72">
                        <w:rPr>
                          <w:rFonts w:asciiTheme="majorHAnsi" w:eastAsia="Calibri" w:hAnsiTheme="majorHAnsi" w:cstheme="majorHAnsi"/>
                          <w:sz w:val="18"/>
                          <w:szCs w:val="18"/>
                        </w:rPr>
                        <w:t>uses its private and public sector partner network to reach a larger audience. The goal</w:t>
                      </w:r>
                      <w:r w:rsidR="00407FB6" w:rsidRPr="00D05C72">
                        <w:rPr>
                          <w:rFonts w:asciiTheme="majorHAnsi" w:eastAsia="Calibri" w:hAnsiTheme="majorHAnsi" w:cstheme="majorHAnsi"/>
                          <w:sz w:val="18"/>
                          <w:szCs w:val="18"/>
                        </w:rPr>
                        <w:t xml:space="preserve"> </w:t>
                      </w:r>
                      <w:r w:rsidRPr="00D05C72">
                        <w:rPr>
                          <w:rFonts w:ascii="Arial" w:hAnsi="Arial" w:cs="Arial"/>
                          <w:color w:val="000000"/>
                          <w:sz w:val="18"/>
                          <w:szCs w:val="18"/>
                        </w:rPr>
                        <w:t xml:space="preserve">was to reach 2 million people, and so far, the campaign has reached </w:t>
                      </w:r>
                      <w:r w:rsidRPr="00D05C72">
                        <w:rPr>
                          <w:rFonts w:ascii="Arial" w:hAnsi="Arial" w:cs="Arial"/>
                          <w:b/>
                          <w:color w:val="232C64"/>
                          <w:sz w:val="18"/>
                          <w:szCs w:val="18"/>
                        </w:rPr>
                        <w:t>2.68 million people</w:t>
                      </w:r>
                      <w:r w:rsidRPr="00D05C72">
                        <w:rPr>
                          <w:rFonts w:ascii="Arial" w:hAnsi="Arial" w:cs="Arial"/>
                          <w:color w:val="000000"/>
                          <w:sz w:val="18"/>
                          <w:szCs w:val="18"/>
                        </w:rPr>
                        <w:t>.</w:t>
                      </w:r>
                      <w:r w:rsidR="00DB48C7" w:rsidRPr="00D05C72">
                        <w:rPr>
                          <w:rFonts w:ascii="Arial" w:hAnsi="Arial" w:cs="Arial"/>
                          <w:color w:val="000000"/>
                          <w:sz w:val="18"/>
                          <w:szCs w:val="18"/>
                        </w:rPr>
                        <w:t xml:space="preserve"> </w:t>
                      </w:r>
                      <w:r w:rsidR="00DB48C7" w:rsidRPr="00D05C72">
                        <w:rPr>
                          <w:rFonts w:asciiTheme="majorHAnsi" w:eastAsia="Calibri" w:hAnsiTheme="majorHAnsi" w:cstheme="majorHAnsi"/>
                          <w:sz w:val="18"/>
                          <w:szCs w:val="18"/>
                        </w:rPr>
                        <w:t>In addition to the metrics on digital reach, event attendees and media mentions (shared in the Executive Summary), PRISMA gathered qualitative data to gauge the level of influence of PRISMA’s events and activities. Quotes from event participants can be found throughout this report.</w:t>
                      </w:r>
                      <w:r w:rsidR="00DB48C7" w:rsidRPr="00D05C72">
                        <w:rPr>
                          <w:rFonts w:asciiTheme="majorHAnsi" w:hAnsiTheme="majorHAnsi" w:cstheme="majorHAnsi"/>
                          <w:sz w:val="20"/>
                          <w:szCs w:val="20"/>
                        </w:rPr>
                        <w:t xml:space="preserve"> </w:t>
                      </w:r>
                    </w:p>
                    <w:p w14:paraId="6550E920" w14:textId="6112287B" w:rsidR="008F6061" w:rsidRPr="00407FB6" w:rsidRDefault="008F6061" w:rsidP="00407FB6">
                      <w:pPr>
                        <w:autoSpaceDE w:val="0"/>
                        <w:autoSpaceDN w:val="0"/>
                        <w:adjustRightInd w:val="0"/>
                        <w:spacing w:line="288" w:lineRule="auto"/>
                        <w:rPr>
                          <w:rFonts w:asciiTheme="majorHAnsi" w:eastAsia="Calibri" w:hAnsiTheme="majorHAnsi" w:cstheme="majorHAnsi"/>
                          <w:sz w:val="20"/>
                          <w:szCs w:val="20"/>
                        </w:rPr>
                      </w:pPr>
                    </w:p>
                  </w:txbxContent>
                </v:textbox>
              </v:shape>
            </w:pict>
          </mc:Fallback>
        </mc:AlternateContent>
      </w:r>
    </w:p>
    <w:p w14:paraId="1325B6B6" w14:textId="2566C380"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28DF16FF" w14:textId="77777777"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1181F4EE" w14:textId="68A41C38" w:rsidR="008F6061" w:rsidRPr="008F6061" w:rsidRDefault="00CF450A" w:rsidP="008F6061">
      <w:pPr>
        <w:spacing w:after="0" w:line="240" w:lineRule="auto"/>
        <w:rPr>
          <w:rFonts w:ascii="Arial" w:eastAsia="Aptos" w:hAnsi="Arial" w:cs="Arial"/>
          <w:kern w:val="2"/>
          <w:sz w:val="24"/>
          <w:szCs w:val="24"/>
          <w:lang w:val="en-AU" w:eastAsia="en-US"/>
          <w14:ligatures w14:val="standardContextual"/>
        </w:rPr>
      </w:pPr>
      <w:r>
        <w:rPr>
          <w:rFonts w:ascii="Arial" w:eastAsia="Aptos" w:hAnsi="Arial" w:cs="Arial"/>
          <w:kern w:val="2"/>
          <w:sz w:val="24"/>
          <w:szCs w:val="24"/>
          <w:lang w:val="en-AU" w:eastAsia="en-US"/>
          <w14:ligatures w14:val="standardContextual"/>
        </w:rPr>
        <w:t>I will schedule some time for us to connect.</w:t>
      </w:r>
    </w:p>
    <w:p w14:paraId="419DFC18" w14:textId="77777777"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64DCEFF2" w14:textId="77777777"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0AEDFED8" w14:textId="77777777"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67565578" w14:textId="77777777" w:rsidR="008F6061" w:rsidRPr="008F6061" w:rsidRDefault="008F6061" w:rsidP="008F6061">
      <w:pPr>
        <w:spacing w:after="0" w:line="240" w:lineRule="auto"/>
        <w:rPr>
          <w:rFonts w:ascii="Arial" w:eastAsia="Aptos" w:hAnsi="Arial" w:cs="Arial"/>
          <w:kern w:val="2"/>
          <w:sz w:val="24"/>
          <w:szCs w:val="24"/>
          <w:lang w:val="en-AU" w:eastAsia="en-US"/>
          <w14:ligatures w14:val="standardContextual"/>
        </w:rPr>
      </w:pPr>
    </w:p>
    <w:p w14:paraId="58079D7D" w14:textId="77777777" w:rsidR="008F6061" w:rsidRPr="008F6061" w:rsidRDefault="008F6061" w:rsidP="008F6061">
      <w:pPr>
        <w:spacing w:after="200" w:line="240" w:lineRule="auto"/>
        <w:rPr>
          <w:rFonts w:ascii="Arial" w:eastAsia="Aptos" w:hAnsi="Arial" w:cs="Arial"/>
          <w:b/>
          <w:bCs/>
          <w:color w:val="2990A5"/>
          <w:kern w:val="2"/>
          <w:sz w:val="30"/>
          <w:szCs w:val="30"/>
          <w:lang w:val="en-AU" w:eastAsia="en-US"/>
          <w14:ligatures w14:val="standardContextual"/>
        </w:rPr>
      </w:pPr>
      <w:r w:rsidRPr="008F6061">
        <w:rPr>
          <w:rFonts w:ascii="Arial" w:eastAsia="Aptos" w:hAnsi="Arial" w:cs="Arial"/>
          <w:b/>
          <w:bCs/>
          <w:color w:val="2990A5"/>
          <w:kern w:val="2"/>
          <w:sz w:val="30"/>
          <w:szCs w:val="30"/>
          <w:lang w:val="en-AU" w:eastAsia="en-US"/>
          <w14:ligatures w14:val="standardContextual"/>
        </w:rPr>
        <w:t>Campaign rationale</w:t>
      </w:r>
    </w:p>
    <w:p w14:paraId="3731ACA3" w14:textId="5FD89DAB" w:rsidR="008F6061" w:rsidRPr="008F6061" w:rsidRDefault="008F6061" w:rsidP="008F6061">
      <w:pPr>
        <w:shd w:val="clear" w:color="auto" w:fill="FFFFFF"/>
        <w:spacing w:line="264" w:lineRule="auto"/>
        <w:ind w:right="4394"/>
        <w:rPr>
          <w:rFonts w:ascii="Arial" w:eastAsia="Times New Roman" w:hAnsi="Arial" w:cs="Arial"/>
          <w:color w:val="1D2939"/>
          <w:spacing w:val="3"/>
          <w:sz w:val="20"/>
          <w:szCs w:val="20"/>
          <w:lang w:val="en-ID" w:eastAsia="en-ID"/>
        </w:rPr>
      </w:pPr>
      <w:r w:rsidRPr="008F6061">
        <w:rPr>
          <w:rFonts w:ascii="Arial" w:eastAsia="Times New Roman" w:hAnsi="Arial" w:cs="Arial"/>
          <w:b/>
          <w:bCs/>
          <w:noProof/>
          <w:color w:val="2990A5"/>
          <w:sz w:val="30"/>
          <w:szCs w:val="30"/>
          <w:lang w:val="en-ID" w:eastAsia="en-ID"/>
        </w:rPr>
        <w:drawing>
          <wp:anchor distT="0" distB="0" distL="114300" distR="114300" simplePos="0" relativeHeight="251734528" behindDoc="0" locked="0" layoutInCell="1" allowOverlap="1" wp14:anchorId="0852096A" wp14:editId="6C0862F3">
            <wp:simplePos x="0" y="0"/>
            <wp:positionH relativeFrom="column">
              <wp:posOffset>3840134</wp:posOffset>
            </wp:positionH>
            <wp:positionV relativeFrom="paragraph">
              <wp:posOffset>341630</wp:posOffset>
            </wp:positionV>
            <wp:extent cx="306000" cy="306000"/>
            <wp:effectExtent l="0" t="0" r="0" b="0"/>
            <wp:wrapNone/>
            <wp:docPr id="1161126809" name="Graphic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126809" name="Graphic 10">
                      <a:extLst>
                        <a:ext uri="{C183D7F6-B498-43B3-948B-1728B52AA6E4}">
                          <adec:decorative xmlns:adec="http://schemas.microsoft.com/office/drawing/2017/decorative" val="1"/>
                        </a:ext>
                      </a:extLst>
                    </pic:cNvPr>
                    <pic:cNvPicPr/>
                  </pic:nvPicPr>
                  <pic:blipFill>
                    <a:blip r:embed="rId85">
                      <a:extLst>
                        <a:ext uri="{96DAC541-7B7A-43D3-8B79-37D633B846F1}">
                          <asvg:svgBlip xmlns:asvg="http://schemas.microsoft.com/office/drawing/2016/SVG/main" r:embed="rId86"/>
                        </a:ext>
                      </a:extLst>
                    </a:blip>
                    <a:stretch>
                      <a:fillRect/>
                    </a:stretch>
                  </pic:blipFill>
                  <pic:spPr>
                    <a:xfrm>
                      <a:off x="0" y="0"/>
                      <a:ext cx="306000" cy="306000"/>
                    </a:xfrm>
                    <a:prstGeom prst="rect">
                      <a:avLst/>
                    </a:prstGeom>
                  </pic:spPr>
                </pic:pic>
              </a:graphicData>
            </a:graphic>
            <wp14:sizeRelH relativeFrom="page">
              <wp14:pctWidth>0</wp14:pctWidth>
            </wp14:sizeRelH>
            <wp14:sizeRelV relativeFrom="page">
              <wp14:pctHeight>0</wp14:pctHeight>
            </wp14:sizeRelV>
          </wp:anchor>
        </w:drawing>
      </w:r>
      <w:r w:rsidRPr="008F6061">
        <w:rPr>
          <w:rFonts w:ascii="Times New Roman" w:eastAsia="Times New Roman" w:hAnsi="Times New Roman" w:cs="Times New Roman"/>
          <w:noProof/>
          <w:sz w:val="24"/>
          <w:szCs w:val="24"/>
          <w:lang w:val="en-ID" w:eastAsia="en-ID"/>
        </w:rPr>
        <mc:AlternateContent>
          <mc:Choice Requires="wps">
            <w:drawing>
              <wp:anchor distT="0" distB="0" distL="114300" distR="114300" simplePos="0" relativeHeight="251719168" behindDoc="0" locked="0" layoutInCell="1" allowOverlap="1" wp14:anchorId="03F45963" wp14:editId="38282650">
                <wp:simplePos x="0" y="0"/>
                <wp:positionH relativeFrom="column">
                  <wp:posOffset>4228465</wp:posOffset>
                </wp:positionH>
                <wp:positionV relativeFrom="paragraph">
                  <wp:posOffset>280439</wp:posOffset>
                </wp:positionV>
                <wp:extent cx="1819563" cy="1828800"/>
                <wp:effectExtent l="0" t="0" r="0" b="0"/>
                <wp:wrapNone/>
                <wp:docPr id="1975265668"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19563" cy="1828800"/>
                        </a:xfrm>
                        <a:prstGeom prst="rect">
                          <a:avLst/>
                        </a:prstGeom>
                        <a:noFill/>
                        <a:ln w="6350">
                          <a:noFill/>
                        </a:ln>
                      </wps:spPr>
                      <wps:txbx>
                        <w:txbxContent>
                          <w:p w14:paraId="6C0C6E94" w14:textId="6AFCF013" w:rsidR="008F6061" w:rsidRPr="008F6061" w:rsidRDefault="008F6061" w:rsidP="008F6061">
                            <w:pPr>
                              <w:spacing w:line="264" w:lineRule="auto"/>
                              <w:rPr>
                                <w:rFonts w:ascii="Arial" w:eastAsia="Times New Roman" w:hAnsi="Arial" w:cs="Arial"/>
                                <w:noProof/>
                                <w:color w:val="FFFFFF"/>
                                <w:sz w:val="20"/>
                                <w:szCs w:val="20"/>
                                <w:lang w:val="en-ID" w:eastAsia="en-ID"/>
                              </w:rPr>
                            </w:pPr>
                            <w:r w:rsidRPr="008F6061">
                              <w:rPr>
                                <w:rFonts w:ascii="Arial" w:hAnsi="Arial" w:cs="Arial"/>
                                <w:noProof/>
                                <w:color w:val="FFFFFF"/>
                                <w:sz w:val="20"/>
                                <w:szCs w:val="20"/>
                              </w:rPr>
                              <w:t xml:space="preserve">Petani Maju </w:t>
                            </w:r>
                            <w:r w:rsidR="002D0F68">
                              <w:rPr>
                                <w:rFonts w:ascii="Arial" w:hAnsi="Arial" w:cs="Arial"/>
                                <w:noProof/>
                                <w:color w:val="FFFFFF"/>
                                <w:sz w:val="20"/>
                                <w:szCs w:val="20"/>
                              </w:rPr>
                              <w:t>/</w:t>
                            </w:r>
                            <w:r w:rsidRPr="008F6061">
                              <w:rPr>
                                <w:rFonts w:ascii="Arial" w:hAnsi="Arial" w:cs="Arial"/>
                                <w:noProof/>
                                <w:color w:val="FFFFFF"/>
                                <w:sz w:val="20"/>
                                <w:szCs w:val="20"/>
                              </w:rPr>
                              <w:t xml:space="preserve"> Future Farmer, aims to share its insights, unearth ideas, and facilitate collaboration among private and public sector market actors. The goal is to equip farmers, businesses and agriculture market actors with the information they need to unlock productivity.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3F45963" id="Text Box 1" o:spid="_x0000_s1046" type="#_x0000_t202" alt="&quot;&quot;" style="position:absolute;margin-left:332.95pt;margin-top:22.1pt;width:143.25pt;height:2in;z-index:251719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" filled="f" stroked="f" strokeweight=".5pt">
                <v:textbox style="mso-fit-shape-to-text:t">
                  <w:txbxContent>
                    <w:p w14:paraId="6C0C6E94" w14:textId="6AFCF013" w:rsidR="008F6061" w:rsidRPr="008F6061" w:rsidRDefault="008F6061" w:rsidP="008F6061">
                      <w:pPr>
                        <w:spacing w:line="264" w:lineRule="auto"/>
                        <w:rPr>
                          <w:rFonts w:ascii="Arial" w:eastAsia="Times New Roman" w:hAnsi="Arial" w:cs="Arial"/>
                          <w:noProof/>
                          <w:color w:val="FFFFFF"/>
                          <w:sz w:val="20"/>
                          <w:szCs w:val="20"/>
                          <w:lang w:val="en-ID" w:eastAsia="en-ID"/>
                        </w:rPr>
                      </w:pPr>
                      <w:r w:rsidRPr="008F6061">
                        <w:rPr>
                          <w:rFonts w:ascii="Arial" w:hAnsi="Arial" w:cs="Arial"/>
                          <w:noProof/>
                          <w:color w:val="FFFFFF"/>
                          <w:sz w:val="20"/>
                          <w:szCs w:val="20"/>
                        </w:rPr>
                        <w:t xml:space="preserve">Petani Maju </w:t>
                      </w:r>
                      <w:r w:rsidR="002D0F68">
                        <w:rPr>
                          <w:rFonts w:ascii="Arial" w:hAnsi="Arial" w:cs="Arial"/>
                          <w:noProof/>
                          <w:color w:val="FFFFFF"/>
                          <w:sz w:val="20"/>
                          <w:szCs w:val="20"/>
                        </w:rPr>
                        <w:t>/</w:t>
                      </w:r>
                      <w:r w:rsidRPr="008F6061">
                        <w:rPr>
                          <w:rFonts w:ascii="Arial" w:hAnsi="Arial" w:cs="Arial"/>
                          <w:noProof/>
                          <w:color w:val="FFFFFF"/>
                          <w:sz w:val="20"/>
                          <w:szCs w:val="20"/>
                        </w:rPr>
                        <w:t xml:space="preserve"> Future Farmer, aims to share its insights, unearth ideas, and facilitate collaboration among private and public sector market actors. The goal is to equip farmers, businesses and agriculture market actors with the information they need to unlock productivity.</w:t>
                      </w:r>
                    </w:p>
                  </w:txbxContent>
                </v:textbox>
              </v:shape>
            </w:pict>
          </mc:Fallback>
        </mc:AlternateContent>
      </w:r>
      <w:r w:rsidRPr="008F6061">
        <w:rPr>
          <w:rFonts w:ascii="Arial" w:eastAsia="Times New Roman" w:hAnsi="Arial" w:cs="Arial"/>
          <w:b/>
          <w:bCs/>
          <w:noProof/>
          <w:color w:val="2990A5"/>
          <w:sz w:val="30"/>
          <w:szCs w:val="30"/>
          <w:lang w:val="en-ID" w:eastAsia="en-ID"/>
        </w:rPr>
        <mc:AlternateContent>
          <mc:Choice Requires="wps">
            <w:drawing>
              <wp:anchor distT="0" distB="0" distL="114300" distR="114300" simplePos="0" relativeHeight="251708928" behindDoc="0" locked="0" layoutInCell="1" allowOverlap="1" wp14:anchorId="6F1AE837" wp14:editId="77529025">
                <wp:simplePos x="0" y="0"/>
                <wp:positionH relativeFrom="column">
                  <wp:posOffset>3648710</wp:posOffset>
                </wp:positionH>
                <wp:positionV relativeFrom="paragraph">
                  <wp:posOffset>13046</wp:posOffset>
                </wp:positionV>
                <wp:extent cx="2530129" cy="2197793"/>
                <wp:effectExtent l="0" t="0" r="0" b="0"/>
                <wp:wrapNone/>
                <wp:docPr id="373617534"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30129" cy="2197793"/>
                        </a:xfrm>
                        <a:prstGeom prst="rect">
                          <a:avLst/>
                        </a:prstGeom>
                        <a:solidFill>
                          <a:srgbClr val="232C6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32EA04" id="Rectangle 8" o:spid="_x0000_s1026" alt="&quot;&quot;" style="position:absolute;margin-left:287.3pt;margin-top:1.05pt;width:199.2pt;height:173.0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" fillcolor="#232c64" stroked="f" strokeweight="1pt"/>
            </w:pict>
          </mc:Fallback>
        </mc:AlternateContent>
      </w:r>
      <w:r w:rsidRPr="008F6061">
        <w:rPr>
          <w:rFonts w:ascii="Arial" w:eastAsia="Times New Roman" w:hAnsi="Arial" w:cs="Arial"/>
          <w:color w:val="1D2939"/>
          <w:spacing w:val="3"/>
          <w:sz w:val="20"/>
          <w:szCs w:val="20"/>
          <w:lang w:val="en-ID" w:eastAsia="en-ID"/>
        </w:rPr>
        <w:t>In the past decade, PRISMA has positively impacted over 1.4 million smallholder farming households. PRISMA has supported productivity gains and increased incomes by an average of 123% and leveraged AUD 33m in private sector investment in business models targeting smallholder farming households. However, achieving sustainable agricultural development requires ongoing collaboration and effort.</w:t>
      </w:r>
    </w:p>
    <w:p w14:paraId="07B8B618" w14:textId="77777777" w:rsidR="008F6061" w:rsidRPr="008F6061" w:rsidRDefault="008F6061" w:rsidP="008F6061">
      <w:pPr>
        <w:shd w:val="clear" w:color="auto" w:fill="FFFFFF"/>
        <w:spacing w:line="276" w:lineRule="auto"/>
        <w:ind w:right="4394"/>
        <w:rPr>
          <w:rFonts w:ascii="Arial" w:eastAsia="Times New Roman" w:hAnsi="Arial" w:cs="Arial"/>
          <w:b/>
          <w:bCs/>
          <w:color w:val="232C64"/>
          <w:spacing w:val="3"/>
          <w:sz w:val="24"/>
          <w:szCs w:val="24"/>
          <w:lang w:val="en-ID" w:eastAsia="en-ID"/>
        </w:rPr>
      </w:pPr>
      <w:r w:rsidRPr="008F6061">
        <w:rPr>
          <w:rFonts w:ascii="Arial" w:eastAsia="Times New Roman" w:hAnsi="Arial" w:cs="Arial"/>
          <w:b/>
          <w:bCs/>
          <w:color w:val="232C64"/>
          <w:spacing w:val="3"/>
          <w:sz w:val="24"/>
          <w:szCs w:val="24"/>
          <w:lang w:val="en-ID" w:eastAsia="en-ID"/>
        </w:rPr>
        <w:t>So, how can we catalyse change?</w:t>
      </w:r>
    </w:p>
    <w:p w14:paraId="542E7821" w14:textId="0C54DD62" w:rsidR="008F6061" w:rsidRPr="008F6061" w:rsidRDefault="008F6061" w:rsidP="008F6061">
      <w:pPr>
        <w:shd w:val="clear" w:color="auto" w:fill="FFFFFF"/>
        <w:spacing w:line="264" w:lineRule="auto"/>
        <w:ind w:right="4394"/>
        <w:rPr>
          <w:rFonts w:ascii="Arial" w:eastAsia="Times New Roman" w:hAnsi="Arial" w:cs="Arial"/>
          <w:color w:val="1D2939"/>
          <w:spacing w:val="6"/>
          <w:sz w:val="20"/>
          <w:szCs w:val="20"/>
          <w:lang w:val="en-ID" w:eastAsia="en-ID"/>
        </w:rPr>
      </w:pPr>
      <w:r w:rsidRPr="008F6061">
        <w:rPr>
          <w:rFonts w:ascii="Arial" w:eastAsia="Times New Roman" w:hAnsi="Arial" w:cs="Arial"/>
          <w:noProof/>
          <w:sz w:val="24"/>
          <w:szCs w:val="24"/>
          <w:lang w:val="en-ID" w:eastAsia="en-ID"/>
        </w:rPr>
        <w:drawing>
          <wp:anchor distT="0" distB="0" distL="114300" distR="114300" simplePos="0" relativeHeight="251729408" behindDoc="0" locked="0" layoutInCell="1" allowOverlap="1" wp14:anchorId="4950B771" wp14:editId="2EBDB243">
            <wp:simplePos x="0" y="0"/>
            <wp:positionH relativeFrom="column">
              <wp:posOffset>3803304</wp:posOffset>
            </wp:positionH>
            <wp:positionV relativeFrom="paragraph">
              <wp:posOffset>708025</wp:posOffset>
            </wp:positionV>
            <wp:extent cx="378000" cy="378000"/>
            <wp:effectExtent l="0" t="0" r="3175" b="3175"/>
            <wp:wrapNone/>
            <wp:docPr id="672966753" name="Graphic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966753" name="Graphic 9">
                      <a:extLst>
                        <a:ext uri="{C183D7F6-B498-43B3-948B-1728B52AA6E4}">
                          <adec:decorative xmlns:adec="http://schemas.microsoft.com/office/drawing/2017/decorative" val="1"/>
                        </a:ext>
                      </a:extLst>
                    </pic:cNvPr>
                    <pic:cNvPicPr/>
                  </pic:nvPicPr>
                  <pic:blipFill>
                    <a:blip r:embed="rId87">
                      <a:extLst>
                        <a:ext uri="{96DAC541-7B7A-43D3-8B79-37D633B846F1}">
                          <asvg:svgBlip xmlns:asvg="http://schemas.microsoft.com/office/drawing/2016/SVG/main" r:embed="rId88"/>
                        </a:ext>
                      </a:extLst>
                    </a:blip>
                    <a:stretch>
                      <a:fillRect/>
                    </a:stretch>
                  </pic:blipFill>
                  <pic:spPr>
                    <a:xfrm>
                      <a:off x="0" y="0"/>
                      <a:ext cx="378000" cy="378000"/>
                    </a:xfrm>
                    <a:prstGeom prst="rect">
                      <a:avLst/>
                    </a:prstGeom>
                  </pic:spPr>
                </pic:pic>
              </a:graphicData>
            </a:graphic>
            <wp14:sizeRelH relativeFrom="page">
              <wp14:pctWidth>0</wp14:pctWidth>
            </wp14:sizeRelH>
            <wp14:sizeRelV relativeFrom="page">
              <wp14:pctHeight>0</wp14:pctHeight>
            </wp14:sizeRelV>
          </wp:anchor>
        </w:drawing>
      </w:r>
      <w:r w:rsidRPr="008F6061">
        <w:rPr>
          <w:rFonts w:ascii="Times New Roman" w:eastAsia="Times New Roman" w:hAnsi="Times New Roman" w:cs="Times New Roman"/>
          <w:noProof/>
          <w:sz w:val="24"/>
          <w:szCs w:val="24"/>
          <w:lang w:val="en-ID" w:eastAsia="en-ID"/>
        </w:rPr>
        <mc:AlternateContent>
          <mc:Choice Requires="wps">
            <w:drawing>
              <wp:anchor distT="0" distB="0" distL="114300" distR="114300" simplePos="0" relativeHeight="251724288" behindDoc="0" locked="0" layoutInCell="1" allowOverlap="1" wp14:anchorId="0FDDE281" wp14:editId="3570C76A">
                <wp:simplePos x="0" y="0"/>
                <wp:positionH relativeFrom="column">
                  <wp:posOffset>4228465</wp:posOffset>
                </wp:positionH>
                <wp:positionV relativeFrom="paragraph">
                  <wp:posOffset>663229</wp:posOffset>
                </wp:positionV>
                <wp:extent cx="1819563" cy="1828800"/>
                <wp:effectExtent l="0" t="0" r="0" b="0"/>
                <wp:wrapNone/>
                <wp:docPr id="268250131"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19563" cy="1828800"/>
                        </a:xfrm>
                        <a:prstGeom prst="rect">
                          <a:avLst/>
                        </a:prstGeom>
                        <a:noFill/>
                        <a:ln w="6350">
                          <a:noFill/>
                        </a:ln>
                      </wps:spPr>
                      <wps:txbx>
                        <w:txbxContent>
                          <w:p w14:paraId="33FB0A91" w14:textId="74C8AD7B" w:rsidR="008F6061" w:rsidRPr="008F6061" w:rsidRDefault="008F6061" w:rsidP="008F6061">
                            <w:pPr>
                              <w:rPr>
                                <w:rFonts w:ascii="Arial" w:hAnsi="Arial" w:cs="Arial"/>
                                <w:noProof/>
                                <w:color w:val="FFFFFF"/>
                                <w:sz w:val="20"/>
                                <w:szCs w:val="20"/>
                                <w:lang w:val="en-ID"/>
                              </w:rPr>
                            </w:pPr>
                            <w:r w:rsidRPr="008F6061">
                              <w:rPr>
                                <w:rFonts w:ascii="Arial" w:hAnsi="Arial" w:cs="Arial"/>
                                <w:noProof/>
                                <w:color w:val="FFFFFF"/>
                                <w:sz w:val="20"/>
                                <w:szCs w:val="20"/>
                                <w:lang w:val="en-ID"/>
                              </w:rPr>
                              <w:t xml:space="preserve">Petani Maju </w:t>
                            </w:r>
                            <w:r w:rsidR="002D0F68">
                              <w:rPr>
                                <w:rFonts w:ascii="Arial" w:hAnsi="Arial" w:cs="Arial"/>
                                <w:noProof/>
                                <w:color w:val="FFFFFF"/>
                                <w:sz w:val="20"/>
                                <w:szCs w:val="20"/>
                                <w:lang w:val="en-ID"/>
                              </w:rPr>
                              <w:t>/</w:t>
                            </w:r>
                            <w:r w:rsidRPr="008F6061">
                              <w:rPr>
                                <w:rFonts w:ascii="Arial" w:hAnsi="Arial" w:cs="Arial"/>
                                <w:noProof/>
                                <w:color w:val="FFFFFF"/>
                                <w:sz w:val="20"/>
                                <w:szCs w:val="20"/>
                                <w:lang w:val="en-ID"/>
                              </w:rPr>
                              <w:t xml:space="preserve"> Future Farmer is working towards the Government of Indonesia's vision of modernising agriculture.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DDE281" id="_x0000_s1047" type="#_x0000_t202" alt="&quot;&quot;" style="position:absolute;margin-left:332.95pt;margin-top:52.2pt;width:143.25pt;height:2in;z-index:251724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" filled="f" stroked="f" strokeweight=".5pt">
                <v:textbox style="mso-fit-shape-to-text:t">
                  <w:txbxContent>
                    <w:p w14:paraId="33FB0A91" w14:textId="74C8AD7B" w:rsidR="008F6061" w:rsidRPr="008F6061" w:rsidRDefault="008F6061" w:rsidP="008F6061">
                      <w:pPr>
                        <w:rPr>
                          <w:rFonts w:ascii="Arial" w:hAnsi="Arial" w:cs="Arial"/>
                          <w:noProof/>
                          <w:color w:val="FFFFFF"/>
                          <w:sz w:val="20"/>
                          <w:szCs w:val="20"/>
                          <w:lang w:val="en-ID"/>
                        </w:rPr>
                      </w:pPr>
                      <w:r w:rsidRPr="008F6061">
                        <w:rPr>
                          <w:rFonts w:ascii="Arial" w:hAnsi="Arial" w:cs="Arial"/>
                          <w:noProof/>
                          <w:color w:val="FFFFFF"/>
                          <w:sz w:val="20"/>
                          <w:szCs w:val="20"/>
                          <w:lang w:val="en-ID"/>
                        </w:rPr>
                        <w:t xml:space="preserve">Petani Maju </w:t>
                      </w:r>
                      <w:r w:rsidR="002D0F68">
                        <w:rPr>
                          <w:rFonts w:ascii="Arial" w:hAnsi="Arial" w:cs="Arial"/>
                          <w:noProof/>
                          <w:color w:val="FFFFFF"/>
                          <w:sz w:val="20"/>
                          <w:szCs w:val="20"/>
                          <w:lang w:val="en-ID"/>
                        </w:rPr>
                        <w:t>/</w:t>
                      </w:r>
                      <w:r w:rsidRPr="008F6061">
                        <w:rPr>
                          <w:rFonts w:ascii="Arial" w:hAnsi="Arial" w:cs="Arial"/>
                          <w:noProof/>
                          <w:color w:val="FFFFFF"/>
                          <w:sz w:val="20"/>
                          <w:szCs w:val="20"/>
                          <w:lang w:val="en-ID"/>
                        </w:rPr>
                        <w:t xml:space="preserve"> Future Farmer is working towards the Government of Indonesia's vision of modernising agriculture.</w:t>
                      </w:r>
                    </w:p>
                  </w:txbxContent>
                </v:textbox>
              </v:shape>
            </w:pict>
          </mc:Fallback>
        </mc:AlternateContent>
      </w:r>
      <w:r w:rsidRPr="008F6061">
        <w:rPr>
          <w:rFonts w:ascii="Arial" w:eastAsia="Times New Roman" w:hAnsi="Arial" w:cs="Arial"/>
          <w:b/>
          <w:bCs/>
          <w:noProof/>
          <w:color w:val="2990A5"/>
          <w:sz w:val="30"/>
          <w:szCs w:val="30"/>
          <w:lang w:val="en-ID" w:eastAsia="en-ID"/>
        </w:rPr>
        <mc:AlternateContent>
          <mc:Choice Requires="wps">
            <w:drawing>
              <wp:anchor distT="0" distB="0" distL="114300" distR="114300" simplePos="0" relativeHeight="251714048" behindDoc="0" locked="0" layoutInCell="1" allowOverlap="1" wp14:anchorId="1C925789" wp14:editId="429EFD9B">
                <wp:simplePos x="0" y="0"/>
                <wp:positionH relativeFrom="column">
                  <wp:posOffset>3648710</wp:posOffset>
                </wp:positionH>
                <wp:positionV relativeFrom="paragraph">
                  <wp:posOffset>521566</wp:posOffset>
                </wp:positionV>
                <wp:extent cx="2530129" cy="1255222"/>
                <wp:effectExtent l="0" t="0" r="0" b="2540"/>
                <wp:wrapNone/>
                <wp:docPr id="1674302226"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30129" cy="1255222"/>
                        </a:xfrm>
                        <a:prstGeom prst="rect">
                          <a:avLst/>
                        </a:prstGeom>
                        <a:solidFill>
                          <a:srgbClr val="2990A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818E1C" id="Rectangle 8" o:spid="_x0000_s1026" alt="&quot;&quot;" style="position:absolute;margin-left:287.3pt;margin-top:41.05pt;width:199.2pt;height:98.8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" fillcolor="#2990a5" stroked="f" strokeweight="1pt"/>
            </w:pict>
          </mc:Fallback>
        </mc:AlternateContent>
      </w:r>
      <w:r w:rsidRPr="008F6061">
        <w:rPr>
          <w:rFonts w:ascii="Arial" w:eastAsia="Times New Roman" w:hAnsi="Arial" w:cs="Arial"/>
          <w:color w:val="1D2939"/>
          <w:spacing w:val="3"/>
          <w:sz w:val="20"/>
          <w:szCs w:val="20"/>
          <w:lang w:val="en-ID" w:eastAsia="en-ID"/>
        </w:rPr>
        <w:t>We know, there are products, services, and technologies available today that can significantly increase smallholder farmers' productivity. </w:t>
      </w:r>
      <w:r w:rsidRPr="008F6061">
        <w:rPr>
          <w:rFonts w:ascii="Arial" w:eastAsia="Times New Roman" w:hAnsi="Arial" w:cs="Arial"/>
          <w:color w:val="1D2939"/>
          <w:spacing w:val="6"/>
          <w:sz w:val="20"/>
          <w:szCs w:val="20"/>
          <w:lang w:val="en-ID" w:eastAsia="en-ID"/>
        </w:rPr>
        <w:t>But what are they, and how can they reach more farmers? And what is the role of the agribusinesses in encouraging behaviour change?</w:t>
      </w:r>
      <w:r w:rsidR="00D706B2">
        <w:rPr>
          <w:rFonts w:ascii="Arial" w:eastAsia="Times New Roman" w:hAnsi="Arial" w:cs="Arial"/>
          <w:color w:val="1D2939"/>
          <w:spacing w:val="6"/>
          <w:sz w:val="20"/>
          <w:szCs w:val="20"/>
          <w:lang w:val="en-ID" w:eastAsia="en-ID"/>
        </w:rPr>
        <w:t xml:space="preserve"> </w:t>
      </w:r>
      <w:r w:rsidRPr="008F6061">
        <w:rPr>
          <w:rFonts w:ascii="Arial" w:eastAsia="Times New Roman" w:hAnsi="Arial" w:cs="Arial"/>
          <w:color w:val="1D2939"/>
          <w:spacing w:val="6"/>
          <w:sz w:val="20"/>
          <w:szCs w:val="20"/>
          <w:lang w:val="en-ID" w:eastAsia="en-ID"/>
        </w:rPr>
        <w:t>PRISMA holds answers to some of these questions, drawing from its experience gained through collaborations with 273 private and public sector partners spanning 6 provinces and 12 agricultural commodities.</w:t>
      </w:r>
    </w:p>
    <w:p w14:paraId="15C379C9" w14:textId="0E002BF1" w:rsidR="008F6061" w:rsidRPr="008F6061" w:rsidRDefault="00275E9E" w:rsidP="008F6061">
      <w:pPr>
        <w:spacing w:line="264" w:lineRule="auto"/>
        <w:rPr>
          <w:rFonts w:ascii="Arial" w:eastAsia="Times New Roman" w:hAnsi="Arial" w:cs="Arial"/>
          <w:b/>
          <w:bCs/>
          <w:color w:val="2990A5"/>
          <w:spacing w:val="3"/>
          <w:sz w:val="30"/>
          <w:szCs w:val="30"/>
          <w:shd w:val="clear" w:color="auto" w:fill="FFFFFF"/>
          <w:lang w:val="en-ID" w:eastAsia="en-ID"/>
        </w:rPr>
      </w:pPr>
      <w:r w:rsidRPr="008F6061">
        <w:rPr>
          <w:rFonts w:ascii="Arial" w:eastAsia="Times New Roman" w:hAnsi="Arial" w:cs="Arial"/>
          <w:b/>
          <w:bCs/>
          <w:noProof/>
          <w:color w:val="2990A5"/>
          <w:spacing w:val="3"/>
          <w:sz w:val="30"/>
          <w:szCs w:val="30"/>
          <w:shd w:val="clear" w:color="auto" w:fill="F2F2F2"/>
          <w:lang w:val="en-ID" w:eastAsia="en-ID"/>
          <w14:ligatures w14:val="standardContextual"/>
        </w:rPr>
        <w:lastRenderedPageBreak/>
        <mc:AlternateContent>
          <mc:Choice Requires="wps">
            <w:drawing>
              <wp:anchor distT="0" distB="0" distL="114300" distR="114300" simplePos="0" relativeHeight="251673088" behindDoc="1" locked="0" layoutInCell="1" allowOverlap="1" wp14:anchorId="48A9EDEF" wp14:editId="71D1FF08">
                <wp:simplePos x="0" y="0"/>
                <wp:positionH relativeFrom="page">
                  <wp:align>left</wp:align>
                </wp:positionH>
                <wp:positionV relativeFrom="paragraph">
                  <wp:posOffset>-720090</wp:posOffset>
                </wp:positionV>
                <wp:extent cx="7560000" cy="4356100"/>
                <wp:effectExtent l="0" t="0" r="3175" b="6350"/>
                <wp:wrapNone/>
                <wp:docPr id="892296369"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4356100"/>
                        </a:xfrm>
                        <a:prstGeom prst="rect">
                          <a:avLst/>
                        </a:prstGeom>
                        <a:solidFill>
                          <a:sysClr val="window" lastClr="FFFFFF">
                            <a:lumMod val="9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47E63C" id="Rectangle 7" o:spid="_x0000_s1026" alt="&quot;&quot;" style="position:absolute;margin-left:0;margin-top:-56.7pt;width:595.3pt;height:343pt;z-index:-2516433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" fillcolor="#f2f2f2" stroked="f" strokeweight="1pt">
                <w10:wrap anchorx="page"/>
              </v:rect>
            </w:pict>
          </mc:Fallback>
        </mc:AlternateContent>
      </w:r>
    </w:p>
    <w:p w14:paraId="0723C7CC" w14:textId="2AF18175" w:rsidR="008F6061" w:rsidRPr="008F6061" w:rsidRDefault="008F6061" w:rsidP="008F6061">
      <w:pPr>
        <w:spacing w:line="264" w:lineRule="auto"/>
        <w:rPr>
          <w:rFonts w:ascii="Arial" w:eastAsia="Times New Roman" w:hAnsi="Arial" w:cs="Arial"/>
          <w:color w:val="2990A5"/>
          <w:spacing w:val="3"/>
          <w:sz w:val="30"/>
          <w:szCs w:val="30"/>
          <w:shd w:val="clear" w:color="auto" w:fill="F2F2F2"/>
          <w:lang w:val="en-ID" w:eastAsia="en-ID"/>
        </w:rPr>
      </w:pPr>
      <w:r w:rsidRPr="008F6061">
        <w:rPr>
          <w:rFonts w:ascii="Arial" w:eastAsia="Times New Roman" w:hAnsi="Arial" w:cs="Arial"/>
          <w:b/>
          <w:bCs/>
          <w:color w:val="2990A5"/>
          <w:spacing w:val="3"/>
          <w:sz w:val="30"/>
          <w:szCs w:val="30"/>
          <w:shd w:val="clear" w:color="auto" w:fill="F2F2F2"/>
          <w:lang w:val="en-ID" w:eastAsia="en-ID"/>
        </w:rPr>
        <w:t>What is a Petani Maju / Future Farmer? </w:t>
      </w:r>
    </w:p>
    <w:p w14:paraId="02B4A44C" w14:textId="77777777" w:rsidR="008F6061" w:rsidRPr="008F6061" w:rsidRDefault="008F6061" w:rsidP="008F6061">
      <w:pPr>
        <w:spacing w:line="264" w:lineRule="auto"/>
        <w:rPr>
          <w:rFonts w:ascii="Arial" w:eastAsia="Times New Roman" w:hAnsi="Arial" w:cs="Arial"/>
          <w:color w:val="1D2939"/>
          <w:spacing w:val="6"/>
          <w:sz w:val="20"/>
          <w:szCs w:val="20"/>
          <w:shd w:val="clear" w:color="auto" w:fill="FFFFFF"/>
          <w:lang w:val="en-ID" w:eastAsia="en-ID"/>
        </w:rPr>
        <w:sectPr w:rsidR="008F6061" w:rsidRPr="008F6061" w:rsidSect="008F6061">
          <w:type w:val="continuous"/>
          <w:pgSz w:w="11906" w:h="16838"/>
          <w:pgMar w:top="1134" w:right="1134" w:bottom="851" w:left="1134" w:header="709" w:footer="709" w:gutter="0"/>
          <w:cols w:space="708"/>
          <w:docGrid w:linePitch="360"/>
        </w:sectPr>
      </w:pPr>
    </w:p>
    <w:p w14:paraId="094CB4ED" w14:textId="7BF11849" w:rsidR="00E83DE4" w:rsidRPr="00E83DE4" w:rsidRDefault="00E83DE4" w:rsidP="00E83DE4">
      <w:pPr>
        <w:spacing w:line="264" w:lineRule="auto"/>
        <w:rPr>
          <w:rFonts w:ascii="Arial" w:eastAsia="Times New Roman" w:hAnsi="Arial" w:cs="Arial"/>
          <w:spacing w:val="6"/>
          <w:sz w:val="20"/>
          <w:szCs w:val="20"/>
          <w:shd w:val="clear" w:color="auto" w:fill="F2F2F2"/>
          <w:lang w:val="en-ID" w:eastAsia="en-ID"/>
        </w:rPr>
      </w:pPr>
      <w:r w:rsidRPr="00E83DE4">
        <w:rPr>
          <w:rFonts w:ascii="Arial" w:eastAsia="Times New Roman" w:hAnsi="Arial" w:cs="Arial"/>
          <w:spacing w:val="6"/>
          <w:sz w:val="20"/>
          <w:szCs w:val="20"/>
          <w:shd w:val="clear" w:color="auto" w:fill="F2F2F2"/>
          <w:lang w:val="en-ID" w:eastAsia="en-ID"/>
        </w:rPr>
        <w:t>A farmer equipped with innovative products, services, and technologies can significantly enhance productivity, increase incomes, and build resilience to climate change. These innovations include high-yielding, climate-smart rice seeds that require less water and fertilizer, affordable, high-quality animal feed that reduces rearing time and alleviates the workload for women, and finance and technology apps designed to boost the productivity of agri-kiosks and the farmers they serve.</w:t>
      </w:r>
    </w:p>
    <w:p w14:paraId="5EEDFC90" w14:textId="11DC4A19" w:rsidR="00E83DE4" w:rsidRPr="00E83DE4" w:rsidRDefault="00E83DE4" w:rsidP="00E83DE4">
      <w:pPr>
        <w:spacing w:line="264" w:lineRule="auto"/>
        <w:rPr>
          <w:rFonts w:ascii="Arial" w:eastAsia="Times New Roman" w:hAnsi="Arial" w:cs="Arial"/>
          <w:spacing w:val="6"/>
          <w:sz w:val="20"/>
          <w:szCs w:val="20"/>
          <w:shd w:val="clear" w:color="auto" w:fill="F2F2F2"/>
          <w:lang w:val="en-ID" w:eastAsia="en-ID"/>
        </w:rPr>
      </w:pPr>
      <w:r w:rsidRPr="00E83DE4">
        <w:rPr>
          <w:rFonts w:ascii="Arial" w:eastAsia="Times New Roman" w:hAnsi="Arial" w:cs="Arial"/>
          <w:spacing w:val="6"/>
          <w:sz w:val="20"/>
          <w:szCs w:val="20"/>
          <w:shd w:val="clear" w:color="auto" w:fill="F2F2F2"/>
          <w:lang w:val="en-ID" w:eastAsia="en-ID"/>
        </w:rPr>
        <w:t xml:space="preserve">Improved productivity not only benefits smallholder farming households but also strengthens the communities they inhabit. Research conducted by PRISMA demonstrates </w:t>
      </w:r>
      <w:r w:rsidRPr="00E83DE4">
        <w:rPr>
          <w:rFonts w:ascii="Arial" w:eastAsia="Times New Roman" w:hAnsi="Arial" w:cs="Arial"/>
          <w:spacing w:val="6"/>
          <w:sz w:val="20"/>
          <w:szCs w:val="20"/>
          <w:shd w:val="clear" w:color="auto" w:fill="F2F2F2"/>
          <w:lang w:val="en-ID" w:eastAsia="en-ID"/>
        </w:rPr>
        <w:t>that as farmers' incomes rise, they reinvest in agriculture, small business ventures, and their children's education, leading to more resilient and prosperous communities.</w:t>
      </w:r>
    </w:p>
    <w:p w14:paraId="7427B0B2" w14:textId="1824A0E1" w:rsidR="008F6061" w:rsidRPr="008F6061" w:rsidRDefault="00E83DE4" w:rsidP="008F6061">
      <w:pPr>
        <w:spacing w:line="264" w:lineRule="auto"/>
        <w:rPr>
          <w:rFonts w:ascii="Arial" w:eastAsia="Times New Roman" w:hAnsi="Arial" w:cs="Arial"/>
          <w:color w:val="1D2939"/>
          <w:spacing w:val="3"/>
          <w:sz w:val="20"/>
          <w:szCs w:val="20"/>
          <w:shd w:val="clear" w:color="auto" w:fill="F2F2F2"/>
          <w:lang w:val="en-ID" w:eastAsia="en-ID"/>
        </w:rPr>
      </w:pPr>
      <w:r w:rsidRPr="00E83DE4">
        <w:rPr>
          <w:rFonts w:ascii="Arial" w:eastAsia="Times New Roman" w:hAnsi="Arial" w:cs="Arial"/>
          <w:spacing w:val="6"/>
          <w:sz w:val="20"/>
          <w:szCs w:val="20"/>
          <w:shd w:val="clear" w:color="auto" w:fill="F2F2F2"/>
          <w:lang w:val="en-ID" w:eastAsia="en-ID"/>
        </w:rPr>
        <w:t>A survey by PRISMA involving 166 farmers from Central and East Java explored the social impact of income growth. Notably, 31% of respondents prioritized reinvesting in economic activities, while 22.5% focused on daily sustenance and 8.55% on education for their children. These findings highlight the pivotal role that increased income plays in expanding economic opportunities and enhancing the overall well-being of households and communities.</w:t>
      </w:r>
      <w:r w:rsidR="008F6061" w:rsidRPr="008F6061">
        <w:rPr>
          <w:rFonts w:ascii="Arial" w:eastAsia="Times New Roman" w:hAnsi="Arial" w:cs="Arial"/>
          <w:color w:val="1D2939"/>
          <w:spacing w:val="3"/>
          <w:sz w:val="20"/>
          <w:szCs w:val="20"/>
          <w:shd w:val="clear" w:color="auto" w:fill="F2F2F2"/>
          <w:lang w:val="en-ID" w:eastAsia="en-ID"/>
        </w:rPr>
        <w:t> </w:t>
      </w:r>
    </w:p>
    <w:p w14:paraId="31B29DC4" w14:textId="77777777" w:rsidR="008F6061" w:rsidRPr="008F6061" w:rsidRDefault="008F6061" w:rsidP="008F6061">
      <w:pPr>
        <w:spacing w:line="264" w:lineRule="auto"/>
        <w:rPr>
          <w:rFonts w:ascii="Arial" w:eastAsia="Times New Roman" w:hAnsi="Arial" w:cs="Arial"/>
          <w:b/>
          <w:bCs/>
          <w:color w:val="2990A5"/>
          <w:spacing w:val="3"/>
          <w:sz w:val="30"/>
          <w:szCs w:val="30"/>
          <w:shd w:val="clear" w:color="auto" w:fill="FFFFFF"/>
          <w:lang w:val="en-ID" w:eastAsia="en-ID"/>
        </w:rPr>
        <w:sectPr w:rsidR="008F6061" w:rsidRPr="008F6061" w:rsidSect="008F6061">
          <w:type w:val="continuous"/>
          <w:pgSz w:w="11906" w:h="16838"/>
          <w:pgMar w:top="1134" w:right="1134" w:bottom="851" w:left="1134" w:header="709" w:footer="709" w:gutter="0"/>
          <w:cols w:num="2" w:space="708"/>
          <w:docGrid w:linePitch="360"/>
        </w:sectPr>
      </w:pPr>
    </w:p>
    <w:p w14:paraId="2C5B40D8" w14:textId="77777777" w:rsidR="008F6061" w:rsidRPr="008F6061" w:rsidRDefault="008F6061" w:rsidP="008F6061">
      <w:pPr>
        <w:spacing w:line="264" w:lineRule="auto"/>
        <w:rPr>
          <w:rFonts w:ascii="Arial" w:eastAsia="Times New Roman" w:hAnsi="Arial" w:cs="Arial"/>
          <w:b/>
          <w:bCs/>
          <w:color w:val="2990A5"/>
          <w:spacing w:val="3"/>
          <w:sz w:val="30"/>
          <w:szCs w:val="30"/>
          <w:shd w:val="clear" w:color="auto" w:fill="FFFFFF"/>
          <w:lang w:val="en-ID" w:eastAsia="en-ID"/>
        </w:rPr>
      </w:pPr>
    </w:p>
    <w:p w14:paraId="43D373BD" w14:textId="77777777" w:rsidR="008F6061" w:rsidRPr="008F6061" w:rsidRDefault="008F6061" w:rsidP="008F6061">
      <w:pPr>
        <w:spacing w:line="264" w:lineRule="auto"/>
        <w:rPr>
          <w:rFonts w:ascii="Arial" w:eastAsia="Times New Roman" w:hAnsi="Arial" w:cs="Arial"/>
          <w:b/>
          <w:bCs/>
          <w:color w:val="2990A5"/>
          <w:spacing w:val="3"/>
          <w:sz w:val="30"/>
          <w:szCs w:val="30"/>
          <w:shd w:val="clear" w:color="auto" w:fill="FFFFFF"/>
          <w:lang w:val="en-ID" w:eastAsia="en-ID"/>
        </w:rPr>
      </w:pPr>
    </w:p>
    <w:p w14:paraId="220BE843" w14:textId="77777777" w:rsidR="008F6061" w:rsidRPr="008F6061" w:rsidRDefault="008F6061" w:rsidP="008F6061">
      <w:pPr>
        <w:spacing w:line="264" w:lineRule="auto"/>
        <w:ind w:left="5245"/>
        <w:rPr>
          <w:rFonts w:ascii="Arial" w:eastAsia="Times New Roman" w:hAnsi="Arial" w:cs="Arial"/>
          <w:color w:val="2990A5"/>
          <w:spacing w:val="3"/>
          <w:sz w:val="30"/>
          <w:szCs w:val="30"/>
          <w:shd w:val="clear" w:color="auto" w:fill="FFFFFF"/>
          <w:lang w:val="en-ID" w:eastAsia="en-ID"/>
        </w:rPr>
      </w:pPr>
      <w:r w:rsidRPr="008F6061">
        <w:rPr>
          <w:rFonts w:ascii="Arial" w:eastAsia="Times New Roman" w:hAnsi="Arial" w:cs="Arial"/>
          <w:noProof/>
          <w:color w:val="1D2939"/>
          <w:spacing w:val="3"/>
          <w:sz w:val="20"/>
          <w:szCs w:val="20"/>
          <w:shd w:val="clear" w:color="auto" w:fill="FFFFFF"/>
          <w:lang w:val="en-ID" w:eastAsia="en-ID"/>
          <w14:ligatures w14:val="standardContextual"/>
        </w:rPr>
        <w:drawing>
          <wp:anchor distT="0" distB="0" distL="114300" distR="114300" simplePos="0" relativeHeight="251703808" behindDoc="0" locked="0" layoutInCell="1" allowOverlap="1" wp14:anchorId="0C70C008" wp14:editId="15A09D55">
            <wp:simplePos x="0" y="0"/>
            <wp:positionH relativeFrom="column">
              <wp:posOffset>346</wp:posOffset>
            </wp:positionH>
            <wp:positionV relativeFrom="paragraph">
              <wp:posOffset>51320</wp:posOffset>
            </wp:positionV>
            <wp:extent cx="2794000" cy="2539365"/>
            <wp:effectExtent l="0" t="0" r="0" b="635"/>
            <wp:wrapNone/>
            <wp:docPr id="190334328"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34328" name="Picture 6">
                      <a:extLst>
                        <a:ext uri="{C183D7F6-B498-43B3-948B-1728B52AA6E4}">
                          <adec:decorative xmlns:adec="http://schemas.microsoft.com/office/drawing/2017/decorative" val="1"/>
                        </a:ext>
                      </a:extLst>
                    </pic:cNvPr>
                    <pic:cNvPicPr/>
                  </pic:nvPicPr>
                  <pic:blipFill>
                    <a:blip r:embed="rId89" cstate="print">
                      <a:extLst>
                        <a:ext uri="{28A0092B-C50C-407E-A947-70E740481C1C}">
                          <a14:useLocalDpi xmlns:a14="http://schemas.microsoft.com/office/drawing/2010/main" val="0"/>
                        </a:ext>
                      </a:extLst>
                    </a:blip>
                    <a:srcRect l="19108" r="19108"/>
                    <a:stretch>
                      <a:fillRect/>
                    </a:stretch>
                  </pic:blipFill>
                  <pic:spPr bwMode="auto">
                    <a:xfrm>
                      <a:off x="0" y="0"/>
                      <a:ext cx="2794000" cy="2539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6061">
        <w:rPr>
          <w:rFonts w:ascii="Arial" w:eastAsia="Times New Roman" w:hAnsi="Arial" w:cs="Arial"/>
          <w:b/>
          <w:bCs/>
          <w:color w:val="2990A5"/>
          <w:spacing w:val="3"/>
          <w:sz w:val="30"/>
          <w:szCs w:val="30"/>
          <w:shd w:val="clear" w:color="auto" w:fill="FFFFFF"/>
          <w:lang w:val="en-ID" w:eastAsia="en-ID"/>
        </w:rPr>
        <w:t>Supporting climate-resilient farmers </w:t>
      </w:r>
    </w:p>
    <w:p w14:paraId="3DDA1A92" w14:textId="77777777" w:rsidR="008F6061" w:rsidRPr="008F6061" w:rsidRDefault="008F6061" w:rsidP="008F6061">
      <w:pPr>
        <w:spacing w:line="264" w:lineRule="auto"/>
        <w:ind w:left="5245"/>
        <w:rPr>
          <w:rFonts w:ascii="Arial" w:eastAsia="Times New Roman" w:hAnsi="Arial" w:cs="Arial"/>
          <w:color w:val="1D2939"/>
          <w:spacing w:val="3"/>
          <w:sz w:val="20"/>
          <w:szCs w:val="20"/>
          <w:shd w:val="clear" w:color="auto" w:fill="FFFFFF"/>
          <w:lang w:val="en-ID" w:eastAsia="en-ID"/>
        </w:rPr>
      </w:pPr>
      <w:r w:rsidRPr="008F6061">
        <w:rPr>
          <w:rFonts w:ascii="Arial" w:eastAsia="Times New Roman" w:hAnsi="Arial" w:cs="Arial"/>
          <w:color w:val="1D2939"/>
          <w:spacing w:val="3"/>
          <w:sz w:val="20"/>
          <w:szCs w:val="20"/>
          <w:shd w:val="clear" w:color="auto" w:fill="FFFFFF"/>
          <w:lang w:val="en-ID" w:eastAsia="en-ID"/>
        </w:rPr>
        <w:t>Climate-resilient agricultural inputs and practices can improve productivity, mitigate emissions and bolster farmers' ability to withstand extreme weather events. For instance, organic mineral-based fertilisers curb emissions and regenerate soils, while drought-tolerant, high-yielding maize seeds offer resilience against drier weather conditions.</w:t>
      </w:r>
    </w:p>
    <w:p w14:paraId="733A30C6" w14:textId="77777777" w:rsidR="008F6061" w:rsidRPr="008F6061" w:rsidRDefault="008F6061" w:rsidP="008F6061">
      <w:pPr>
        <w:spacing w:line="264" w:lineRule="auto"/>
        <w:ind w:left="5245"/>
        <w:rPr>
          <w:rFonts w:ascii="Arial" w:eastAsia="Times New Roman" w:hAnsi="Arial" w:cs="Arial"/>
          <w:color w:val="1D2939"/>
          <w:spacing w:val="3"/>
          <w:sz w:val="20"/>
          <w:szCs w:val="20"/>
          <w:shd w:val="clear" w:color="auto" w:fill="FFFFFF"/>
          <w:lang w:val="en-ID" w:eastAsia="en-ID"/>
        </w:rPr>
      </w:pPr>
      <w:r w:rsidRPr="008F6061">
        <w:rPr>
          <w:rFonts w:ascii="Arial" w:eastAsia="Times New Roman" w:hAnsi="Arial" w:cs="Arial"/>
          <w:color w:val="1D2939"/>
          <w:spacing w:val="3"/>
          <w:sz w:val="20"/>
          <w:szCs w:val="20"/>
          <w:shd w:val="clear" w:color="auto" w:fill="FFFFFF"/>
          <w:lang w:val="en-ID" w:eastAsia="en-ID"/>
        </w:rPr>
        <w:t>The campaign aims to uncover and disseminate climate-smart technologies and agribusiness experiences, while also introducing products and innovations to smallholder farmers. </w:t>
      </w:r>
    </w:p>
    <w:p w14:paraId="1A6DFEB0" w14:textId="77777777" w:rsidR="008F6061" w:rsidRPr="008F6061" w:rsidRDefault="008F6061" w:rsidP="008F6061">
      <w:pPr>
        <w:spacing w:line="264" w:lineRule="auto"/>
        <w:rPr>
          <w:rFonts w:ascii="Arial" w:eastAsia="Times New Roman" w:hAnsi="Arial" w:cs="Arial"/>
          <w:b/>
          <w:bCs/>
          <w:color w:val="2990A5"/>
          <w:spacing w:val="3"/>
          <w:sz w:val="2"/>
          <w:szCs w:val="2"/>
          <w:shd w:val="clear" w:color="auto" w:fill="FFFFFF"/>
          <w:lang w:val="en-ID" w:eastAsia="en-ID"/>
        </w:rPr>
      </w:pPr>
    </w:p>
    <w:p w14:paraId="08D06901" w14:textId="77777777" w:rsidR="008F6061" w:rsidRPr="008F6061" w:rsidRDefault="008F6061" w:rsidP="008F6061">
      <w:pPr>
        <w:spacing w:line="264" w:lineRule="auto"/>
        <w:ind w:right="5102"/>
        <w:rPr>
          <w:rFonts w:ascii="Arial" w:eastAsia="Times New Roman" w:hAnsi="Arial" w:cs="Arial"/>
          <w:color w:val="2990A5"/>
          <w:spacing w:val="3"/>
          <w:sz w:val="30"/>
          <w:szCs w:val="30"/>
          <w:shd w:val="clear" w:color="auto" w:fill="FFFFFF"/>
          <w:lang w:val="en-ID" w:eastAsia="en-ID"/>
        </w:rPr>
      </w:pPr>
      <w:r w:rsidRPr="008F6061">
        <w:rPr>
          <w:rFonts w:ascii="Arial" w:eastAsia="Times New Roman" w:hAnsi="Arial" w:cs="Arial"/>
          <w:noProof/>
          <w:color w:val="1D2939"/>
          <w:spacing w:val="3"/>
          <w:sz w:val="20"/>
          <w:szCs w:val="20"/>
          <w:shd w:val="clear" w:color="auto" w:fill="FFFFFF"/>
          <w:lang w:val="en-ID" w:eastAsia="en-ID"/>
          <w14:ligatures w14:val="standardContextual"/>
        </w:rPr>
        <w:drawing>
          <wp:anchor distT="0" distB="0" distL="114300" distR="114300" simplePos="0" relativeHeight="251698688" behindDoc="0" locked="0" layoutInCell="1" allowOverlap="1" wp14:anchorId="43F433DB" wp14:editId="2D4F2BCE">
            <wp:simplePos x="0" y="0"/>
            <wp:positionH relativeFrom="column">
              <wp:posOffset>3325436</wp:posOffset>
            </wp:positionH>
            <wp:positionV relativeFrom="paragraph">
              <wp:posOffset>60902</wp:posOffset>
            </wp:positionV>
            <wp:extent cx="2794367" cy="2632075"/>
            <wp:effectExtent l="0" t="0" r="0" b="0"/>
            <wp:wrapNone/>
            <wp:docPr id="10530550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05506" name="Picture 6">
                      <a:extLst>
                        <a:ext uri="{C183D7F6-B498-43B3-948B-1728B52AA6E4}">
                          <adec:decorative xmlns:adec="http://schemas.microsoft.com/office/drawing/2017/decorative" val="1"/>
                        </a:ext>
                      </a:extLst>
                    </pic:cNvPr>
                    <pic:cNvPicPr/>
                  </pic:nvPicPr>
                  <pic:blipFill rotWithShape="1">
                    <a:blip r:embed="rId90" cstate="print">
                      <a:extLst>
                        <a:ext uri="{28A0092B-C50C-407E-A947-70E740481C1C}">
                          <a14:useLocalDpi xmlns:a14="http://schemas.microsoft.com/office/drawing/2010/main" val="0"/>
                        </a:ext>
                      </a:extLst>
                    </a:blip>
                    <a:srcRect l="20802" t="3941" r="13652" b="3338"/>
                    <a:stretch/>
                  </pic:blipFill>
                  <pic:spPr bwMode="auto">
                    <a:xfrm>
                      <a:off x="0" y="0"/>
                      <a:ext cx="2794674" cy="26323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6061">
        <w:rPr>
          <w:rFonts w:ascii="Arial" w:eastAsia="Times New Roman" w:hAnsi="Arial" w:cs="Arial"/>
          <w:b/>
          <w:bCs/>
          <w:color w:val="2990A5"/>
          <w:spacing w:val="3"/>
          <w:sz w:val="30"/>
          <w:szCs w:val="30"/>
          <w:shd w:val="clear" w:color="auto" w:fill="FFFFFF"/>
          <w:lang w:val="en-ID" w:eastAsia="en-ID"/>
        </w:rPr>
        <w:t>Building inclusive markets</w:t>
      </w:r>
    </w:p>
    <w:p w14:paraId="3E58EE48" w14:textId="77777777" w:rsidR="008F6061" w:rsidRPr="008F6061" w:rsidRDefault="008F6061" w:rsidP="008F6061">
      <w:pPr>
        <w:spacing w:line="264" w:lineRule="auto"/>
        <w:ind w:right="5102"/>
        <w:rPr>
          <w:rFonts w:ascii="Arial" w:eastAsia="Times New Roman" w:hAnsi="Arial" w:cs="Arial"/>
          <w:color w:val="1D2939"/>
          <w:spacing w:val="3"/>
          <w:sz w:val="20"/>
          <w:szCs w:val="20"/>
          <w:shd w:val="clear" w:color="auto" w:fill="FFFFFF"/>
          <w:lang w:val="en-ID" w:eastAsia="en-ID"/>
        </w:rPr>
      </w:pPr>
      <w:r w:rsidRPr="008F6061">
        <w:rPr>
          <w:rFonts w:ascii="Arial" w:eastAsia="Times New Roman" w:hAnsi="Arial" w:cs="Arial"/>
          <w:color w:val="1D2939"/>
          <w:spacing w:val="3"/>
          <w:sz w:val="20"/>
          <w:szCs w:val="20"/>
          <w:shd w:val="clear" w:color="auto" w:fill="FFFFFF"/>
          <w:lang w:val="en-ID" w:eastAsia="en-ID"/>
        </w:rPr>
        <w:t>Marginalised groups are often involved in agriculture yet miss out as consumers on products and services that could improve productivity. A</w:t>
      </w:r>
      <w:r w:rsidRPr="008F6061">
        <w:rPr>
          <w:rFonts w:ascii="Arial" w:eastAsia="Times New Roman" w:hAnsi="Arial" w:cs="Arial"/>
          <w:color w:val="1D2939"/>
          <w:spacing w:val="6"/>
          <w:sz w:val="20"/>
          <w:szCs w:val="20"/>
          <w:shd w:val="clear" w:color="auto" w:fill="FFFFFF"/>
          <w:lang w:val="en-ID" w:eastAsia="en-ID"/>
        </w:rPr>
        <w:t>gribusinesses can bridge this gap by researching and targeting different customer segments.</w:t>
      </w:r>
    </w:p>
    <w:p w14:paraId="74BA0C5B" w14:textId="77777777" w:rsidR="008F6061" w:rsidRPr="008F6061" w:rsidRDefault="008F6061" w:rsidP="008F6061">
      <w:pPr>
        <w:spacing w:line="264" w:lineRule="auto"/>
        <w:ind w:right="5102"/>
        <w:rPr>
          <w:rFonts w:ascii="Arial" w:eastAsia="Times New Roman" w:hAnsi="Arial" w:cs="Arial"/>
          <w:color w:val="1D2939"/>
          <w:spacing w:val="3"/>
          <w:sz w:val="20"/>
          <w:szCs w:val="20"/>
          <w:shd w:val="clear" w:color="auto" w:fill="FFFFFF"/>
          <w:lang w:val="en-ID" w:eastAsia="en-ID"/>
        </w:rPr>
      </w:pPr>
      <w:r w:rsidRPr="008F6061">
        <w:rPr>
          <w:rFonts w:ascii="Arial" w:eastAsia="Times New Roman" w:hAnsi="Arial" w:cs="Arial"/>
          <w:color w:val="1D2939"/>
          <w:spacing w:val="3"/>
          <w:sz w:val="20"/>
          <w:szCs w:val="20"/>
          <w:shd w:val="clear" w:color="auto" w:fill="FFFFFF"/>
          <w:lang w:val="en-ID" w:eastAsia="en-ID"/>
        </w:rPr>
        <w:t>The campaign shares information to support marketing teams, company field staff, and government extension workers in reaching farmers more effectively. </w:t>
      </w:r>
      <w:r w:rsidRPr="008F6061">
        <w:rPr>
          <w:rFonts w:ascii="Arial" w:eastAsia="Times New Roman" w:hAnsi="Arial" w:cs="Arial"/>
          <w:color w:val="1D2939"/>
          <w:spacing w:val="6"/>
          <w:sz w:val="20"/>
          <w:szCs w:val="20"/>
          <w:shd w:val="clear" w:color="auto" w:fill="FFFFFF"/>
          <w:lang w:val="en-ID" w:eastAsia="en-ID"/>
        </w:rPr>
        <w:t xml:space="preserve">For example, this </w:t>
      </w:r>
      <w:hyperlink r:id="rId91" w:tgtFrame="_blank" w:history="1">
        <w:r w:rsidRPr="00302B4E">
          <w:rPr>
            <w:rFonts w:ascii="Arial" w:eastAsia="Times New Roman" w:hAnsi="Arial" w:cs="Arial"/>
            <w:spacing w:val="3"/>
            <w:sz w:val="20"/>
            <w:szCs w:val="20"/>
            <w:u w:val="single"/>
            <w:shd w:val="clear" w:color="auto" w:fill="C7F7FD" w:themeFill="accent1" w:themeFillTint="33"/>
            <w:lang w:val="en-ID" w:eastAsia="en-ID"/>
          </w:rPr>
          <w:t xml:space="preserve">guidebook for marketing teams, agronomists, and </w:t>
        </w:r>
        <w:r w:rsidRPr="00302B4E">
          <w:rPr>
            <w:rFonts w:ascii="Arial" w:eastAsia="Times New Roman" w:hAnsi="Arial" w:cs="Arial"/>
            <w:spacing w:val="3"/>
            <w:sz w:val="20"/>
            <w:szCs w:val="20"/>
            <w:u w:val="single"/>
            <w:shd w:val="clear" w:color="auto" w:fill="C7F7FD" w:themeFill="accent1" w:themeFillTint="33"/>
            <w:lang w:val="en-ID" w:eastAsia="en-ID"/>
          </w:rPr>
          <w:lastRenderedPageBreak/>
          <w:t>field staff</w:t>
        </w:r>
      </w:hyperlink>
      <w:r w:rsidRPr="008F6061">
        <w:rPr>
          <w:rFonts w:ascii="Arial" w:eastAsia="Times New Roman" w:hAnsi="Arial" w:cs="Arial"/>
          <w:color w:val="1D2939"/>
          <w:spacing w:val="6"/>
          <w:sz w:val="20"/>
          <w:szCs w:val="20"/>
          <w:shd w:val="clear" w:color="auto" w:fill="FFFFFF"/>
          <w:lang w:val="en-ID" w:eastAsia="en-ID"/>
        </w:rPr>
        <w:t> shares practical tips for agribusinesses on improving access to information for women farmers.</w:t>
      </w:r>
    </w:p>
    <w:p w14:paraId="2078F4D9" w14:textId="77777777" w:rsidR="008F6061" w:rsidRPr="008F6061" w:rsidRDefault="008F6061" w:rsidP="008F6061">
      <w:pPr>
        <w:spacing w:line="264" w:lineRule="auto"/>
        <w:rPr>
          <w:rFonts w:ascii="Arial" w:eastAsia="Times New Roman" w:hAnsi="Arial" w:cs="Arial"/>
          <w:color w:val="2990A5"/>
          <w:spacing w:val="3"/>
          <w:sz w:val="30"/>
          <w:szCs w:val="30"/>
          <w:shd w:val="clear" w:color="auto" w:fill="FFFFFF"/>
          <w:lang w:val="en-ID" w:eastAsia="en-ID"/>
        </w:rPr>
      </w:pPr>
      <w:r w:rsidRPr="008F6061">
        <w:rPr>
          <w:rFonts w:ascii="Arial" w:eastAsia="Times New Roman" w:hAnsi="Arial" w:cs="Arial"/>
          <w:b/>
          <w:bCs/>
          <w:color w:val="2990A5"/>
          <w:spacing w:val="6"/>
          <w:sz w:val="30"/>
          <w:szCs w:val="30"/>
          <w:shd w:val="clear" w:color="auto" w:fill="FFFFFF"/>
          <w:lang w:val="en-ID" w:eastAsia="en-ID"/>
        </w:rPr>
        <w:t xml:space="preserve">Through effective behaviour change </w:t>
      </w:r>
    </w:p>
    <w:p w14:paraId="5B55F0FD" w14:textId="77777777" w:rsidR="008F6061" w:rsidRPr="008F6061" w:rsidRDefault="008F6061" w:rsidP="008F6061">
      <w:pPr>
        <w:spacing w:line="264" w:lineRule="auto"/>
        <w:rPr>
          <w:rFonts w:ascii="Arial" w:eastAsia="Times New Roman" w:hAnsi="Arial" w:cs="Arial"/>
          <w:color w:val="1D2939"/>
          <w:spacing w:val="6"/>
          <w:sz w:val="20"/>
          <w:szCs w:val="20"/>
          <w:shd w:val="clear" w:color="auto" w:fill="FFFFFF"/>
          <w:lang w:val="en-ID" w:eastAsia="en-ID"/>
        </w:rPr>
        <w:sectPr w:rsidR="008F6061" w:rsidRPr="008F6061" w:rsidSect="008F6061">
          <w:type w:val="continuous"/>
          <w:pgSz w:w="11906" w:h="16838"/>
          <w:pgMar w:top="1134" w:right="1134" w:bottom="851" w:left="1134" w:header="709" w:footer="709" w:gutter="0"/>
          <w:cols w:space="708"/>
          <w:docGrid w:linePitch="360"/>
        </w:sectPr>
      </w:pPr>
    </w:p>
    <w:p w14:paraId="0B0AF0AE" w14:textId="77777777" w:rsidR="008F6061" w:rsidRPr="008F6061" w:rsidRDefault="008F6061" w:rsidP="008F6061">
      <w:pPr>
        <w:spacing w:line="264" w:lineRule="auto"/>
        <w:rPr>
          <w:rFonts w:ascii="Arial" w:eastAsia="Times New Roman" w:hAnsi="Arial" w:cs="Arial"/>
          <w:color w:val="1D2939"/>
          <w:spacing w:val="3"/>
          <w:sz w:val="20"/>
          <w:szCs w:val="20"/>
          <w:shd w:val="clear" w:color="auto" w:fill="FFFFFF"/>
          <w:lang w:val="en-ID" w:eastAsia="en-ID"/>
        </w:rPr>
      </w:pPr>
      <w:r w:rsidRPr="008F6061">
        <w:rPr>
          <w:rFonts w:ascii="Arial" w:eastAsia="Times New Roman" w:hAnsi="Arial" w:cs="Arial"/>
          <w:color w:val="1D2939"/>
          <w:spacing w:val="6"/>
          <w:sz w:val="20"/>
          <w:szCs w:val="20"/>
          <w:shd w:val="clear" w:color="auto" w:fill="FFFFFF"/>
          <w:lang w:val="en-ID" w:eastAsia="en-ID"/>
        </w:rPr>
        <w:t>PRISMA has observed and supported companies in adapting their outreach and better supporting farmer behaviour change through this process. For example, supporting businesses to shift from short-term hard-selling strategies for fertilisers and pesticides to education-based marketing that builds trust with customers, increases their success rate and productivity and results in repeat customers. </w:t>
      </w:r>
    </w:p>
    <w:p w14:paraId="3DC003BA" w14:textId="11C362D8" w:rsidR="008F6061" w:rsidRPr="008F6061" w:rsidRDefault="000E49E7" w:rsidP="008F6061">
      <w:pPr>
        <w:spacing w:line="264" w:lineRule="auto"/>
        <w:rPr>
          <w:rFonts w:ascii="Arial" w:eastAsia="Times New Roman" w:hAnsi="Arial" w:cs="Arial"/>
          <w:color w:val="1D2939"/>
          <w:spacing w:val="6"/>
          <w:sz w:val="20"/>
          <w:szCs w:val="20"/>
          <w:shd w:val="clear" w:color="auto" w:fill="FFFFFF"/>
          <w:lang w:val="en-ID" w:eastAsia="en-ID"/>
        </w:rPr>
      </w:pPr>
      <w:r w:rsidRPr="008F6061">
        <w:rPr>
          <w:rFonts w:ascii="Arial" w:eastAsia="Times New Roman" w:hAnsi="Arial" w:cs="Arial"/>
          <w:noProof/>
          <w:color w:val="1D2939"/>
          <w:spacing w:val="3"/>
          <w:sz w:val="20"/>
          <w:szCs w:val="20"/>
          <w:shd w:val="clear" w:color="auto" w:fill="FFFFFF"/>
          <w:lang w:val="en-ID" w:eastAsia="en-ID"/>
          <w14:ligatures w14:val="standardContextual"/>
        </w:rPr>
        <w:drawing>
          <wp:anchor distT="0" distB="0" distL="114300" distR="114300" simplePos="0" relativeHeight="251688448" behindDoc="0" locked="0" layoutInCell="1" allowOverlap="1" wp14:anchorId="74B4767F" wp14:editId="5150562D">
            <wp:simplePos x="0" y="0"/>
            <wp:positionH relativeFrom="page">
              <wp:align>left</wp:align>
            </wp:positionH>
            <wp:positionV relativeFrom="paragraph">
              <wp:posOffset>375285</wp:posOffset>
            </wp:positionV>
            <wp:extent cx="6877398" cy="6784975"/>
            <wp:effectExtent l="0" t="0" r="0" b="0"/>
            <wp:wrapNone/>
            <wp:docPr id="2135018586"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018586" name="Picture 4">
                      <a:extLst>
                        <a:ext uri="{C183D7F6-B498-43B3-948B-1728B52AA6E4}">
                          <adec:decorative xmlns:adec="http://schemas.microsoft.com/office/drawing/2017/decorative" val="1"/>
                        </a:ext>
                      </a:extLst>
                    </pic:cNvPr>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877398" cy="6784975"/>
                    </a:xfrm>
                    <a:prstGeom prst="rect">
                      <a:avLst/>
                    </a:prstGeom>
                  </pic:spPr>
                </pic:pic>
              </a:graphicData>
            </a:graphic>
            <wp14:sizeRelH relativeFrom="page">
              <wp14:pctWidth>0</wp14:pctWidth>
            </wp14:sizeRelH>
            <wp14:sizeRelV relativeFrom="page">
              <wp14:pctHeight>0</wp14:pctHeight>
            </wp14:sizeRelV>
          </wp:anchor>
        </w:drawing>
      </w:r>
    </w:p>
    <w:p w14:paraId="0A5BB91C" w14:textId="77777777" w:rsidR="008F6061" w:rsidRPr="008F6061" w:rsidRDefault="008F6061" w:rsidP="008F6061">
      <w:pPr>
        <w:spacing w:line="264" w:lineRule="auto"/>
        <w:rPr>
          <w:rFonts w:ascii="Arial" w:eastAsia="Times New Roman" w:hAnsi="Arial" w:cs="Arial"/>
          <w:color w:val="1D2939"/>
          <w:spacing w:val="3"/>
          <w:sz w:val="20"/>
          <w:szCs w:val="20"/>
          <w:shd w:val="clear" w:color="auto" w:fill="FFFFFF"/>
          <w:lang w:val="en-ID" w:eastAsia="en-ID"/>
        </w:rPr>
      </w:pPr>
      <w:r w:rsidRPr="008F6061">
        <w:rPr>
          <w:rFonts w:ascii="Arial" w:eastAsia="Times New Roman" w:hAnsi="Arial" w:cs="Arial"/>
          <w:color w:val="1D2939"/>
          <w:spacing w:val="6"/>
          <w:sz w:val="20"/>
          <w:szCs w:val="20"/>
          <w:shd w:val="clear" w:color="auto" w:fill="FFFFFF"/>
          <w:lang w:val="en-ID" w:eastAsia="en-ID"/>
        </w:rPr>
        <w:t>In the fertiliser sector especially </w:t>
      </w:r>
      <w:hyperlink r:id="rId93" w:tgtFrame="_blank" w:history="1">
        <w:r w:rsidRPr="00302B4E">
          <w:rPr>
            <w:rFonts w:ascii="Arial" w:eastAsia="Times New Roman" w:hAnsi="Arial" w:cs="Arial"/>
            <w:spacing w:val="6"/>
            <w:sz w:val="20"/>
            <w:szCs w:val="20"/>
            <w:u w:val="single"/>
            <w:lang w:val="en-ID" w:eastAsia="en-ID"/>
          </w:rPr>
          <w:t>PRISMA found that fertiliser companies</w:t>
        </w:r>
      </w:hyperlink>
      <w:r w:rsidRPr="008F6061">
        <w:rPr>
          <w:rFonts w:ascii="Arial" w:eastAsia="Times New Roman" w:hAnsi="Arial" w:cs="Arial"/>
          <w:color w:val="1D2939"/>
          <w:spacing w:val="6"/>
          <w:sz w:val="20"/>
          <w:szCs w:val="20"/>
          <w:shd w:val="clear" w:color="auto" w:fill="FFFFFF"/>
          <w:lang w:val="en-ID" w:eastAsia="en-ID"/>
        </w:rPr>
        <w:t xml:space="preserve"> and distributors must engage in good product promotional and marketing strategies and provide regular information on good agricultural practices and proper fertiliser application. Only by doing this would farmers understand the benefits of judicious use of fertiliser and experience improved productivity. </w:t>
      </w:r>
    </w:p>
    <w:p w14:paraId="7BD92609" w14:textId="77777777" w:rsidR="008F6061" w:rsidRPr="008F6061" w:rsidRDefault="008F6061" w:rsidP="008F6061">
      <w:pPr>
        <w:spacing w:line="264" w:lineRule="auto"/>
        <w:rPr>
          <w:rFonts w:ascii="Arial" w:eastAsia="Times New Roman" w:hAnsi="Arial" w:cs="Arial"/>
          <w:color w:val="1D2939"/>
          <w:spacing w:val="6"/>
          <w:sz w:val="20"/>
          <w:szCs w:val="20"/>
          <w:shd w:val="clear" w:color="auto" w:fill="FFFFFF"/>
          <w:lang w:val="en-ID" w:eastAsia="en-ID"/>
        </w:rPr>
      </w:pPr>
      <w:r w:rsidRPr="008F6061">
        <w:rPr>
          <w:rFonts w:ascii="Arial" w:eastAsia="Times New Roman" w:hAnsi="Arial" w:cs="Arial"/>
          <w:color w:val="1D2939"/>
          <w:spacing w:val="6"/>
          <w:sz w:val="20"/>
          <w:szCs w:val="20"/>
          <w:shd w:val="clear" w:color="auto" w:fill="FFFFFF"/>
          <w:lang w:val="en-ID" w:eastAsia="en-ID"/>
        </w:rPr>
        <w:t>The campaign shares behaviour change strategies specific to critical agricultural commodities for productivity and growth. </w:t>
      </w:r>
    </w:p>
    <w:p w14:paraId="54951051" w14:textId="77777777" w:rsidR="008F6061" w:rsidRPr="008F6061" w:rsidRDefault="008F6061" w:rsidP="008F6061">
      <w:pPr>
        <w:spacing w:line="264" w:lineRule="auto"/>
        <w:rPr>
          <w:rFonts w:ascii="Arial" w:eastAsia="Times New Roman" w:hAnsi="Arial" w:cs="Arial"/>
          <w:color w:val="1D2939"/>
          <w:spacing w:val="6"/>
          <w:sz w:val="20"/>
          <w:szCs w:val="20"/>
          <w:shd w:val="clear" w:color="auto" w:fill="FFFFFF"/>
          <w:lang w:val="en-ID" w:eastAsia="en-ID"/>
        </w:rPr>
        <w:sectPr w:rsidR="008F6061" w:rsidRPr="008F6061" w:rsidSect="008F6061">
          <w:type w:val="continuous"/>
          <w:pgSz w:w="11906" w:h="16838"/>
          <w:pgMar w:top="1134" w:right="1134" w:bottom="851" w:left="1134" w:header="709" w:footer="709" w:gutter="0"/>
          <w:cols w:num="2" w:space="708"/>
          <w:docGrid w:linePitch="360"/>
        </w:sectPr>
      </w:pPr>
    </w:p>
    <w:p w14:paraId="759FE6BD" w14:textId="71866684" w:rsidR="008F6061" w:rsidRPr="008F6061" w:rsidRDefault="008F6061" w:rsidP="008F6061">
      <w:pPr>
        <w:spacing w:line="264" w:lineRule="auto"/>
        <w:rPr>
          <w:rFonts w:ascii="Arial" w:eastAsia="Times New Roman" w:hAnsi="Arial" w:cs="Arial"/>
          <w:color w:val="1D2939"/>
          <w:spacing w:val="6"/>
          <w:sz w:val="20"/>
          <w:szCs w:val="20"/>
          <w:shd w:val="clear" w:color="auto" w:fill="FFFFFF"/>
          <w:lang w:val="en-ID" w:eastAsia="en-ID"/>
        </w:rPr>
      </w:pPr>
      <w:r w:rsidRPr="008F6061">
        <w:rPr>
          <w:rFonts w:ascii="Arial" w:eastAsia="Times New Roman" w:hAnsi="Arial" w:cs="Arial"/>
          <w:color w:val="1D2939"/>
          <w:spacing w:val="6"/>
          <w:sz w:val="20"/>
          <w:szCs w:val="20"/>
          <w:shd w:val="clear" w:color="auto" w:fill="FFFFFF"/>
          <w:lang w:val="en-ID" w:eastAsia="en-ID"/>
        </w:rPr>
        <w:br w:type="page"/>
      </w:r>
    </w:p>
    <w:p w14:paraId="1263CF68" w14:textId="3D6F4C2E" w:rsidR="008F6061" w:rsidRPr="008F6061" w:rsidRDefault="00E92BE4" w:rsidP="008F6061">
      <w:pPr>
        <w:spacing w:line="264" w:lineRule="auto"/>
        <w:rPr>
          <w:rFonts w:ascii="Arial" w:eastAsia="Times New Roman" w:hAnsi="Arial" w:cs="Arial"/>
          <w:color w:val="1D2939"/>
          <w:spacing w:val="6"/>
          <w:sz w:val="20"/>
          <w:szCs w:val="20"/>
          <w:shd w:val="clear" w:color="auto" w:fill="FFFFFF"/>
          <w:lang w:val="en-ID" w:eastAsia="en-ID"/>
        </w:rPr>
      </w:pPr>
      <w:r w:rsidRPr="008F6061">
        <w:rPr>
          <w:rFonts w:ascii="Arial" w:eastAsia="Times New Roman" w:hAnsi="Arial" w:cs="Arial"/>
          <w:noProof/>
          <w:color w:val="1D2939"/>
          <w:spacing w:val="6"/>
          <w:sz w:val="20"/>
          <w:szCs w:val="20"/>
          <w:shd w:val="clear" w:color="auto" w:fill="FFFFFF"/>
          <w:lang w:val="en-ID" w:eastAsia="en-ID"/>
          <w14:ligatures w14:val="standardContextual"/>
        </w:rPr>
        <w:lastRenderedPageBreak/>
        <w:drawing>
          <wp:anchor distT="0" distB="0" distL="114300" distR="114300" simplePos="0" relativeHeight="251693568" behindDoc="0" locked="0" layoutInCell="1" allowOverlap="1" wp14:anchorId="1EB85DF9" wp14:editId="1206DC1C">
            <wp:simplePos x="0" y="0"/>
            <wp:positionH relativeFrom="margin">
              <wp:posOffset>-706120</wp:posOffset>
            </wp:positionH>
            <wp:positionV relativeFrom="paragraph">
              <wp:posOffset>-1308735</wp:posOffset>
            </wp:positionV>
            <wp:extent cx="7559675" cy="10685780"/>
            <wp:effectExtent l="0" t="0" r="3175" b="1270"/>
            <wp:wrapNone/>
            <wp:docPr id="805036032"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036032" name="Picture 5">
                      <a:extLst>
                        <a:ext uri="{C183D7F6-B498-43B3-948B-1728B52AA6E4}">
                          <adec:decorative xmlns:adec="http://schemas.microsoft.com/office/drawing/2017/decorative" val="1"/>
                        </a:ext>
                      </a:extLst>
                    </pic:cNvPr>
                    <pic:cNvPicPr/>
                  </pic:nvPicPr>
                  <pic:blipFill>
                    <a:blip r:embed="rId94" cstate="print">
                      <a:extLst>
                        <a:ext uri="{28A0092B-C50C-407E-A947-70E740481C1C}">
                          <a14:useLocalDpi xmlns:a14="http://schemas.microsoft.com/office/drawing/2010/main" val="0"/>
                        </a:ext>
                      </a:extLst>
                    </a:blip>
                    <a:stretch>
                      <a:fillRect/>
                    </a:stretch>
                  </pic:blipFill>
                  <pic:spPr>
                    <a:xfrm>
                      <a:off x="0" y="0"/>
                      <a:ext cx="7559675" cy="10685780"/>
                    </a:xfrm>
                    <a:prstGeom prst="rect">
                      <a:avLst/>
                    </a:prstGeom>
                  </pic:spPr>
                </pic:pic>
              </a:graphicData>
            </a:graphic>
            <wp14:sizeRelH relativeFrom="page">
              <wp14:pctWidth>0</wp14:pctWidth>
            </wp14:sizeRelH>
            <wp14:sizeRelV relativeFrom="page">
              <wp14:pctHeight>0</wp14:pctHeight>
            </wp14:sizeRelV>
          </wp:anchor>
        </w:drawing>
      </w:r>
    </w:p>
    <w:bookmarkEnd w:id="33"/>
    <w:p w14:paraId="1A188E3E" w14:textId="77777777" w:rsidR="008F6061" w:rsidRPr="008F6061" w:rsidRDefault="008F6061" w:rsidP="008F6061">
      <w:pPr>
        <w:shd w:val="clear" w:color="auto" w:fill="FFFFFF"/>
        <w:spacing w:line="264" w:lineRule="auto"/>
        <w:ind w:right="4394"/>
        <w:rPr>
          <w:rFonts w:ascii="Arial" w:eastAsia="Times New Roman" w:hAnsi="Arial" w:cs="Arial"/>
          <w:color w:val="1D2939"/>
          <w:spacing w:val="3"/>
          <w:sz w:val="20"/>
          <w:szCs w:val="20"/>
          <w:lang w:val="en-ID" w:eastAsia="en-ID"/>
        </w:rPr>
      </w:pPr>
    </w:p>
    <w:p w14:paraId="5C2706DD" w14:textId="3B15A29C" w:rsidR="003C15CD" w:rsidRDefault="003C15CD">
      <w:pPr>
        <w:rPr>
          <w:noProof/>
        </w:rPr>
      </w:pPr>
    </w:p>
    <w:p w14:paraId="3D924EE9" w14:textId="4C2C17C5" w:rsidR="00A4559C" w:rsidRDefault="00A4559C">
      <w:pPr>
        <w:rPr>
          <w:rFonts w:asciiTheme="majorHAnsi" w:hAnsiTheme="majorHAnsi" w:cstheme="majorHAnsi"/>
          <w:highlight w:val="lightGray"/>
        </w:rPr>
      </w:pPr>
    </w:p>
    <w:p w14:paraId="468ED6B8" w14:textId="5AA66B4D" w:rsidR="007A4078" w:rsidRDefault="007A4078">
      <w:pPr>
        <w:rPr>
          <w:rFonts w:asciiTheme="majorHAnsi" w:hAnsiTheme="majorHAnsi" w:cstheme="majorHAnsi"/>
          <w:highlight w:val="lightGray"/>
        </w:rPr>
      </w:pPr>
      <w:r>
        <w:rPr>
          <w:rFonts w:asciiTheme="majorHAnsi" w:hAnsiTheme="majorHAnsi" w:cstheme="majorHAnsi"/>
          <w:highlight w:val="lightGray"/>
        </w:rPr>
        <w:br w:type="page"/>
      </w:r>
    </w:p>
    <w:p w14:paraId="6C994467" w14:textId="5EA005BB" w:rsidR="00E92BE4" w:rsidRDefault="00AC3A48">
      <w:pPr>
        <w:rPr>
          <w:rFonts w:asciiTheme="majorHAnsi" w:hAnsiTheme="majorHAnsi" w:cstheme="majorHAnsi"/>
          <w:highlight w:val="lightGray"/>
        </w:rPr>
      </w:pPr>
      <w:r>
        <w:rPr>
          <w:rFonts w:asciiTheme="majorHAnsi" w:hAnsiTheme="majorHAnsi" w:cstheme="majorHAnsi"/>
          <w:noProof/>
          <w:highlight w:val="lightGray"/>
        </w:rPr>
        <w:lastRenderedPageBreak/>
        <w:drawing>
          <wp:anchor distT="0" distB="0" distL="114300" distR="114300" simplePos="0" relativeHeight="251755008" behindDoc="0" locked="0" layoutInCell="1" allowOverlap="1" wp14:anchorId="1C9144E0" wp14:editId="5924F611">
            <wp:simplePos x="0" y="0"/>
            <wp:positionH relativeFrom="page">
              <wp:align>left</wp:align>
            </wp:positionH>
            <wp:positionV relativeFrom="paragraph">
              <wp:posOffset>5207000</wp:posOffset>
            </wp:positionV>
            <wp:extent cx="7507111" cy="4222750"/>
            <wp:effectExtent l="0" t="0" r="0" b="6350"/>
            <wp:wrapNone/>
            <wp:docPr id="23650240"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50240" name="Picture 4">
                      <a:extLst>
                        <a:ext uri="{C183D7F6-B498-43B3-948B-1728B52AA6E4}">
                          <adec:decorative xmlns:adec="http://schemas.microsoft.com/office/drawing/2017/decorative" val="1"/>
                        </a:ext>
                      </a:extLst>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507111" cy="4222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2BE4">
        <w:rPr>
          <w:rFonts w:asciiTheme="majorHAnsi" w:hAnsiTheme="majorHAnsi" w:cstheme="majorHAnsi"/>
          <w:highlight w:val="lightGray"/>
        </w:rPr>
        <w:br w:type="page"/>
      </w:r>
    </w:p>
    <w:p w14:paraId="0605A75D" w14:textId="311CE1FB" w:rsidR="00CF79BA" w:rsidRPr="00C64064" w:rsidRDefault="00990D19" w:rsidP="005130B7">
      <w:pPr>
        <w:pStyle w:val="Head1"/>
        <w:rPr>
          <w:rFonts w:asciiTheme="majorHAnsi" w:hAnsiTheme="majorHAnsi" w:cstheme="majorHAnsi"/>
        </w:rPr>
      </w:pPr>
      <w:r w:rsidRPr="00C64064">
        <w:rPr>
          <w:rFonts w:asciiTheme="majorHAnsi" w:hAnsiTheme="majorHAnsi" w:cstheme="majorHAnsi"/>
        </w:rPr>
        <w:lastRenderedPageBreak/>
        <w:br/>
      </w:r>
      <w:bookmarkStart w:id="34" w:name="_Toc167702240"/>
      <w:bookmarkStart w:id="35" w:name="_Toc172823280"/>
      <w:bookmarkStart w:id="36" w:name="_Toc180155151"/>
      <w:r w:rsidR="00D92DDF" w:rsidRPr="00C64064">
        <w:rPr>
          <w:rFonts w:asciiTheme="majorHAnsi" w:hAnsiTheme="majorHAnsi" w:cstheme="majorHAnsi"/>
        </w:rPr>
        <w:t xml:space="preserve">About the </w:t>
      </w:r>
      <w:r w:rsidR="00CF79BA" w:rsidRPr="00C64064">
        <w:rPr>
          <w:rFonts w:asciiTheme="majorHAnsi" w:hAnsiTheme="majorHAnsi" w:cstheme="majorHAnsi"/>
        </w:rPr>
        <w:t>Program</w:t>
      </w:r>
      <w:bookmarkEnd w:id="34"/>
      <w:bookmarkEnd w:id="35"/>
      <w:bookmarkEnd w:id="36"/>
      <w:r w:rsidR="00CF79BA" w:rsidRPr="00C64064">
        <w:rPr>
          <w:rFonts w:asciiTheme="majorHAnsi" w:hAnsiTheme="majorHAnsi" w:cstheme="majorHAnsi"/>
        </w:rPr>
        <w:t xml:space="preserve"> </w:t>
      </w:r>
    </w:p>
    <w:p w14:paraId="01980101" w14:textId="77777777" w:rsidR="0045601F" w:rsidRPr="00C64064" w:rsidRDefault="0045601F" w:rsidP="00C72B45">
      <w:pPr>
        <w:pStyle w:val="Body"/>
        <w:rPr>
          <w:rFonts w:asciiTheme="majorHAnsi" w:hAnsiTheme="majorHAnsi" w:cstheme="majorHAnsi"/>
        </w:rPr>
      </w:pPr>
    </w:p>
    <w:p w14:paraId="226C749D" w14:textId="5A47B35D" w:rsidR="00AC535B" w:rsidRPr="00C64064" w:rsidRDefault="6029C2DB" w:rsidP="00C72B45">
      <w:pPr>
        <w:pStyle w:val="Body"/>
        <w:rPr>
          <w:rFonts w:asciiTheme="majorHAnsi" w:hAnsiTheme="majorHAnsi" w:cstheme="majorHAnsi"/>
        </w:rPr>
      </w:pPr>
      <w:r w:rsidRPr="00C64064">
        <w:rPr>
          <w:rFonts w:asciiTheme="majorHAnsi" w:hAnsiTheme="majorHAnsi" w:cstheme="majorHAnsi"/>
        </w:rPr>
        <w:t xml:space="preserve">PRISMA </w:t>
      </w:r>
      <w:r w:rsidRPr="00C64064" w:rsidDel="00405EB6">
        <w:rPr>
          <w:rFonts w:asciiTheme="majorHAnsi" w:hAnsiTheme="majorHAnsi" w:cstheme="majorHAnsi"/>
        </w:rPr>
        <w:t xml:space="preserve">is a market systems development (MSD) program </w:t>
      </w:r>
      <w:r w:rsidRPr="00C64064">
        <w:rPr>
          <w:rFonts w:asciiTheme="majorHAnsi" w:hAnsiTheme="majorHAnsi" w:cstheme="majorHAnsi"/>
        </w:rPr>
        <w:t>currently engaged in 12 agricultural sectors across 6 provinces: Central Java, East Java, East Nusa Tenggara (NTT), West Nusa Tenggara (NTB), Papua and West Papua.</w:t>
      </w:r>
      <w:r w:rsidR="00AC535B" w:rsidRPr="00C64064">
        <w:rPr>
          <w:rFonts w:asciiTheme="majorHAnsi" w:hAnsiTheme="majorHAnsi" w:cstheme="majorHAnsi"/>
          <w:vertAlign w:val="superscript"/>
        </w:rPr>
        <w:footnoteReference w:id="4"/>
      </w:r>
      <w:r w:rsidRPr="00C64064">
        <w:rPr>
          <w:rFonts w:asciiTheme="majorHAnsi" w:hAnsiTheme="majorHAnsi" w:cstheme="majorHAnsi"/>
        </w:rPr>
        <w:t xml:space="preserve"> The Australian </w:t>
      </w:r>
      <w:r w:rsidR="706E2F27" w:rsidRPr="00C64064">
        <w:rPr>
          <w:rFonts w:asciiTheme="majorHAnsi" w:hAnsiTheme="majorHAnsi" w:cstheme="majorHAnsi"/>
        </w:rPr>
        <w:t>G</w:t>
      </w:r>
      <w:r w:rsidR="3E73F48B" w:rsidRPr="00C64064">
        <w:rPr>
          <w:rFonts w:asciiTheme="majorHAnsi" w:hAnsiTheme="majorHAnsi" w:cstheme="majorHAnsi"/>
        </w:rPr>
        <w:t>overnment</w:t>
      </w:r>
      <w:r w:rsidRPr="00C64064">
        <w:rPr>
          <w:rFonts w:asciiTheme="majorHAnsi" w:hAnsiTheme="majorHAnsi" w:cstheme="majorHAnsi"/>
        </w:rPr>
        <w:t xml:space="preserve"> (GOA) funds PRISMA through the Department of Foreign Affairs and Trade (DFAT) in cooperation with the Government of Indonesia (GOI) through the National Development Planning Agency (Bappenas).</w:t>
      </w:r>
    </w:p>
    <w:p w14:paraId="6F462D15" w14:textId="7D6E6936" w:rsidR="00AC535B" w:rsidRPr="00A342EE" w:rsidRDefault="00AC535B" w:rsidP="00A342EE">
      <w:pPr>
        <w:pStyle w:val="Head2"/>
        <w:rPr>
          <w:rStyle w:val="normaltextrun"/>
        </w:rPr>
      </w:pPr>
      <w:bookmarkStart w:id="37" w:name="_Toc167702241"/>
      <w:bookmarkStart w:id="38" w:name="_Toc172823281"/>
      <w:bookmarkStart w:id="39" w:name="_Toc180155152"/>
      <w:r w:rsidRPr="00A342EE">
        <w:rPr>
          <w:rStyle w:val="normaltextrun"/>
        </w:rPr>
        <w:t>PRISMA</w:t>
      </w:r>
      <w:r w:rsidR="008466C4" w:rsidRPr="00A342EE">
        <w:rPr>
          <w:rStyle w:val="normaltextrun"/>
        </w:rPr>
        <w:t>’s</w:t>
      </w:r>
      <w:r w:rsidR="00E0490F" w:rsidRPr="00A342EE">
        <w:rPr>
          <w:rStyle w:val="normaltextrun"/>
        </w:rPr>
        <w:t xml:space="preserve"> </w:t>
      </w:r>
      <w:r w:rsidR="006613CA" w:rsidRPr="00A342EE">
        <w:rPr>
          <w:rStyle w:val="normaltextrun"/>
        </w:rPr>
        <w:t>A</w:t>
      </w:r>
      <w:r w:rsidR="00E0490F" w:rsidRPr="00A342EE">
        <w:rPr>
          <w:rStyle w:val="normaltextrun"/>
        </w:rPr>
        <w:t>pp</w:t>
      </w:r>
      <w:r w:rsidR="00DA2CDC" w:rsidRPr="00A342EE">
        <w:rPr>
          <w:rStyle w:val="normaltextrun"/>
        </w:rPr>
        <w:t>roach</w:t>
      </w:r>
      <w:bookmarkEnd w:id="37"/>
      <w:bookmarkEnd w:id="38"/>
      <w:bookmarkEnd w:id="39"/>
    </w:p>
    <w:p w14:paraId="4B8BC387" w14:textId="59728404" w:rsidR="00294E0B" w:rsidRPr="00C64064" w:rsidRDefault="03757902" w:rsidP="0036771C">
      <w:pPr>
        <w:pStyle w:val="Body"/>
        <w:rPr>
          <w:rFonts w:asciiTheme="majorHAnsi" w:hAnsiTheme="majorHAnsi" w:cstheme="majorHAnsi"/>
        </w:rPr>
      </w:pPr>
      <w:r w:rsidRPr="00C64064" w:rsidDel="00F67F2C">
        <w:rPr>
          <w:rFonts w:asciiTheme="majorHAnsi" w:hAnsiTheme="majorHAnsi" w:cstheme="majorHAnsi"/>
        </w:rPr>
        <w:t>PRISMA’s</w:t>
      </w:r>
      <w:r w:rsidR="6058A01C" w:rsidRPr="00C64064" w:rsidDel="00F67F2C">
        <w:rPr>
          <w:rFonts w:asciiTheme="majorHAnsi" w:hAnsiTheme="majorHAnsi" w:cstheme="majorHAnsi"/>
        </w:rPr>
        <w:t xml:space="preserve"> </w:t>
      </w:r>
      <w:r w:rsidR="204D7346" w:rsidRPr="00C64064">
        <w:rPr>
          <w:rFonts w:asciiTheme="majorHAnsi" w:hAnsiTheme="majorHAnsi" w:cstheme="majorHAnsi"/>
        </w:rPr>
        <w:t>interventions</w:t>
      </w:r>
      <w:r w:rsidR="00A9029B" w:rsidRPr="00C64064">
        <w:rPr>
          <w:rFonts w:asciiTheme="majorHAnsi" w:hAnsiTheme="majorHAnsi" w:cstheme="majorHAnsi"/>
        </w:rPr>
        <w:t xml:space="preserve"> from 2013</w:t>
      </w:r>
      <w:r w:rsidR="00616BCE" w:rsidRPr="00C64064">
        <w:rPr>
          <w:rFonts w:asciiTheme="majorHAnsi" w:hAnsiTheme="majorHAnsi" w:cstheme="majorHAnsi"/>
        </w:rPr>
        <w:t xml:space="preserve"> to 2023 </w:t>
      </w:r>
      <w:r w:rsidR="006613CA" w:rsidRPr="00C64064">
        <w:rPr>
          <w:rFonts w:asciiTheme="majorHAnsi" w:hAnsiTheme="majorHAnsi" w:cstheme="majorHAnsi"/>
        </w:rPr>
        <w:t xml:space="preserve">have </w:t>
      </w:r>
      <w:r w:rsidR="00616BCE" w:rsidRPr="00C64064">
        <w:rPr>
          <w:rFonts w:asciiTheme="majorHAnsi" w:hAnsiTheme="majorHAnsi" w:cstheme="majorHAnsi"/>
        </w:rPr>
        <w:t>s</w:t>
      </w:r>
      <w:r w:rsidR="006613CA" w:rsidRPr="00C64064">
        <w:rPr>
          <w:rFonts w:asciiTheme="majorHAnsi" w:hAnsiTheme="majorHAnsi" w:cstheme="majorHAnsi"/>
        </w:rPr>
        <w:t>ought</w:t>
      </w:r>
      <w:r w:rsidR="04D90EEB" w:rsidRPr="00C64064">
        <w:rPr>
          <w:rFonts w:asciiTheme="majorHAnsi" w:hAnsiTheme="majorHAnsi" w:cstheme="majorHAnsi"/>
        </w:rPr>
        <w:t xml:space="preserve"> to change how the private sector does business in rural Indonesia</w:t>
      </w:r>
      <w:r w:rsidR="1A2730C8" w:rsidRPr="00C64064">
        <w:rPr>
          <w:rFonts w:asciiTheme="majorHAnsi" w:hAnsiTheme="majorHAnsi" w:cstheme="majorHAnsi"/>
        </w:rPr>
        <w:t xml:space="preserve"> to improve the productivity and </w:t>
      </w:r>
      <w:r w:rsidR="06193F15" w:rsidRPr="00C64064">
        <w:rPr>
          <w:rFonts w:asciiTheme="majorHAnsi" w:hAnsiTheme="majorHAnsi" w:cstheme="majorHAnsi"/>
        </w:rPr>
        <w:t>income</w:t>
      </w:r>
      <w:r w:rsidR="1A2730C8" w:rsidRPr="00C64064">
        <w:rPr>
          <w:rFonts w:asciiTheme="majorHAnsi" w:hAnsiTheme="majorHAnsi" w:cstheme="majorHAnsi"/>
        </w:rPr>
        <w:t xml:space="preserve"> of smallholder farming households</w:t>
      </w:r>
      <w:r w:rsidR="04D90EEB" w:rsidRPr="00C64064">
        <w:rPr>
          <w:rFonts w:asciiTheme="majorHAnsi" w:hAnsiTheme="majorHAnsi" w:cstheme="majorHAnsi"/>
        </w:rPr>
        <w:t>.</w:t>
      </w:r>
      <w:r w:rsidR="00294E0B" w:rsidRPr="00C64064">
        <w:rPr>
          <w:rFonts w:asciiTheme="majorHAnsi" w:hAnsiTheme="majorHAnsi" w:cstheme="majorHAnsi"/>
          <w:vertAlign w:val="superscript"/>
        </w:rPr>
        <w:footnoteReference w:id="5"/>
      </w:r>
      <w:r w:rsidR="04D90EEB" w:rsidRPr="00C64064">
        <w:rPr>
          <w:rFonts w:asciiTheme="majorHAnsi" w:hAnsiTheme="majorHAnsi" w:cstheme="majorHAnsi"/>
        </w:rPr>
        <w:t xml:space="preserve"> Improving agricultural productivity</w:t>
      </w:r>
      <w:r w:rsidR="32A8F501" w:rsidRPr="00C64064">
        <w:rPr>
          <w:rFonts w:asciiTheme="majorHAnsi" w:hAnsiTheme="majorHAnsi" w:cstheme="majorHAnsi"/>
        </w:rPr>
        <w:t xml:space="preserve"> closely align</w:t>
      </w:r>
      <w:r w:rsidR="00816D43" w:rsidRPr="00C64064">
        <w:rPr>
          <w:rFonts w:asciiTheme="majorHAnsi" w:hAnsiTheme="majorHAnsi" w:cstheme="majorHAnsi"/>
        </w:rPr>
        <w:t>s</w:t>
      </w:r>
      <w:r w:rsidR="32A8F501" w:rsidRPr="00C64064">
        <w:rPr>
          <w:rFonts w:asciiTheme="majorHAnsi" w:hAnsiTheme="majorHAnsi" w:cstheme="majorHAnsi"/>
        </w:rPr>
        <w:t xml:space="preserve"> </w:t>
      </w:r>
      <w:r w:rsidR="0A155953" w:rsidRPr="00C64064">
        <w:rPr>
          <w:rFonts w:asciiTheme="majorHAnsi" w:hAnsiTheme="majorHAnsi" w:cstheme="majorHAnsi"/>
        </w:rPr>
        <w:t>with</w:t>
      </w:r>
      <w:r w:rsidR="32A8F501" w:rsidRPr="00C64064">
        <w:rPr>
          <w:rFonts w:asciiTheme="majorHAnsi" w:hAnsiTheme="majorHAnsi" w:cstheme="majorHAnsi"/>
        </w:rPr>
        <w:t xml:space="preserve"> the </w:t>
      </w:r>
      <w:r w:rsidR="3D2D0C15" w:rsidRPr="00C64064" w:rsidDel="00F00DDD">
        <w:rPr>
          <w:rFonts w:asciiTheme="majorHAnsi" w:hAnsiTheme="majorHAnsi" w:cstheme="majorHAnsi"/>
        </w:rPr>
        <w:t>G</w:t>
      </w:r>
      <w:r w:rsidR="38F06D6E" w:rsidRPr="00C64064" w:rsidDel="00F00DDD">
        <w:rPr>
          <w:rFonts w:asciiTheme="majorHAnsi" w:hAnsiTheme="majorHAnsi" w:cstheme="majorHAnsi"/>
        </w:rPr>
        <w:t>OA</w:t>
      </w:r>
      <w:r w:rsidR="0D415E78" w:rsidRPr="00C64064">
        <w:rPr>
          <w:rFonts w:asciiTheme="majorHAnsi" w:hAnsiTheme="majorHAnsi" w:cstheme="majorHAnsi"/>
        </w:rPr>
        <w:t xml:space="preserve"> and </w:t>
      </w:r>
      <w:r w:rsidR="1CD11E08" w:rsidRPr="00C64064">
        <w:rPr>
          <w:rFonts w:asciiTheme="majorHAnsi" w:hAnsiTheme="majorHAnsi" w:cstheme="majorHAnsi"/>
        </w:rPr>
        <w:t>G</w:t>
      </w:r>
      <w:r w:rsidR="45E90F4E" w:rsidRPr="00C64064">
        <w:rPr>
          <w:rFonts w:asciiTheme="majorHAnsi" w:hAnsiTheme="majorHAnsi" w:cstheme="majorHAnsi"/>
        </w:rPr>
        <w:t>OI</w:t>
      </w:r>
      <w:r w:rsidR="1CD11E08" w:rsidRPr="00C64064">
        <w:rPr>
          <w:rFonts w:asciiTheme="majorHAnsi" w:hAnsiTheme="majorHAnsi" w:cstheme="majorHAnsi"/>
        </w:rPr>
        <w:t>’s</w:t>
      </w:r>
      <w:r w:rsidR="32A8F501" w:rsidRPr="00C64064">
        <w:rPr>
          <w:rFonts w:asciiTheme="majorHAnsi" w:hAnsiTheme="majorHAnsi" w:cstheme="majorHAnsi"/>
        </w:rPr>
        <w:t xml:space="preserve"> </w:t>
      </w:r>
      <w:r w:rsidR="0D415E78" w:rsidRPr="00C64064">
        <w:rPr>
          <w:rFonts w:asciiTheme="majorHAnsi" w:hAnsiTheme="majorHAnsi" w:cstheme="majorHAnsi"/>
        </w:rPr>
        <w:t>goals</w:t>
      </w:r>
      <w:r w:rsidR="32A8F501" w:rsidRPr="00C64064">
        <w:rPr>
          <w:rFonts w:asciiTheme="majorHAnsi" w:hAnsiTheme="majorHAnsi" w:cstheme="majorHAnsi"/>
        </w:rPr>
        <w:t xml:space="preserve"> </w:t>
      </w:r>
      <w:r w:rsidR="36A4725E" w:rsidRPr="00C64064">
        <w:rPr>
          <w:rFonts w:asciiTheme="majorHAnsi" w:hAnsiTheme="majorHAnsi" w:cstheme="majorHAnsi"/>
        </w:rPr>
        <w:t>to</w:t>
      </w:r>
      <w:r w:rsidR="32A8F501" w:rsidRPr="00C64064">
        <w:rPr>
          <w:rFonts w:asciiTheme="majorHAnsi" w:hAnsiTheme="majorHAnsi" w:cstheme="majorHAnsi"/>
        </w:rPr>
        <w:t xml:space="preserve"> </w:t>
      </w:r>
      <w:r w:rsidR="04D90EEB" w:rsidRPr="00C64064">
        <w:rPr>
          <w:rFonts w:asciiTheme="majorHAnsi" w:hAnsiTheme="majorHAnsi" w:cstheme="majorHAnsi"/>
        </w:rPr>
        <w:t>support poverty alleviation, climate change adaptation and mitigation, and contribut</w:t>
      </w:r>
      <w:r w:rsidR="4D36906A" w:rsidRPr="00C64064">
        <w:rPr>
          <w:rFonts w:asciiTheme="majorHAnsi" w:hAnsiTheme="majorHAnsi" w:cstheme="majorHAnsi"/>
        </w:rPr>
        <w:t>e</w:t>
      </w:r>
      <w:r w:rsidR="04D90EEB" w:rsidRPr="00C64064">
        <w:rPr>
          <w:rFonts w:asciiTheme="majorHAnsi" w:hAnsiTheme="majorHAnsi" w:cstheme="majorHAnsi"/>
        </w:rPr>
        <w:t xml:space="preserve"> to smallholder farming household food</w:t>
      </w:r>
      <w:r w:rsidR="488CC6C8" w:rsidRPr="00C64064">
        <w:rPr>
          <w:rFonts w:asciiTheme="majorHAnsi" w:hAnsiTheme="majorHAnsi" w:cstheme="majorHAnsi"/>
        </w:rPr>
        <w:t xml:space="preserve"> </w:t>
      </w:r>
      <w:r w:rsidR="04D90EEB" w:rsidRPr="00C64064">
        <w:rPr>
          <w:rFonts w:asciiTheme="majorHAnsi" w:hAnsiTheme="majorHAnsi" w:cstheme="majorHAnsi"/>
        </w:rPr>
        <w:t>security.</w:t>
      </w:r>
      <w:r w:rsidR="0036771C" w:rsidRPr="00C64064">
        <w:rPr>
          <w:rFonts w:asciiTheme="majorHAnsi" w:hAnsiTheme="majorHAnsi" w:cstheme="majorHAnsi"/>
        </w:rPr>
        <w:br/>
      </w:r>
      <w:r w:rsidR="0036771C" w:rsidRPr="00C64064">
        <w:rPr>
          <w:rFonts w:asciiTheme="majorHAnsi" w:hAnsiTheme="majorHAnsi" w:cstheme="majorHAnsi"/>
        </w:rPr>
        <w:br/>
      </w:r>
      <w:r w:rsidR="00294E0B" w:rsidRPr="00C64064">
        <w:rPr>
          <w:rFonts w:asciiTheme="majorHAnsi" w:hAnsiTheme="majorHAnsi" w:cstheme="majorHAnsi"/>
        </w:rPr>
        <w:t xml:space="preserve">PRISMA </w:t>
      </w:r>
      <w:r w:rsidR="006613CA" w:rsidRPr="00C64064">
        <w:rPr>
          <w:rFonts w:asciiTheme="majorHAnsi" w:hAnsiTheme="majorHAnsi" w:cstheme="majorHAnsi"/>
        </w:rPr>
        <w:t>achieved</w:t>
      </w:r>
      <w:r w:rsidR="00294E0B" w:rsidRPr="00C64064">
        <w:rPr>
          <w:rFonts w:asciiTheme="majorHAnsi" w:hAnsiTheme="majorHAnsi" w:cstheme="majorHAnsi"/>
        </w:rPr>
        <w:t xml:space="preserve"> this by: </w:t>
      </w:r>
    </w:p>
    <w:p w14:paraId="2CCCE022" w14:textId="6A43B47C" w:rsidR="00673591" w:rsidRPr="00C64064" w:rsidRDefault="00673591" w:rsidP="00673591">
      <w:pPr>
        <w:spacing w:line="276" w:lineRule="auto"/>
        <w:rPr>
          <w:rFonts w:asciiTheme="majorHAnsi" w:hAnsiTheme="majorHAnsi" w:cstheme="majorHAnsi"/>
          <w:b/>
          <w:bCs/>
          <w:color w:val="FF0000"/>
        </w:rPr>
      </w:pPr>
      <w:r w:rsidRPr="00C64064">
        <w:rPr>
          <w:rFonts w:asciiTheme="majorHAnsi" w:hAnsiTheme="majorHAnsi" w:cstheme="majorHAnsi"/>
          <w:noProof/>
          <w:color w:val="FF0000"/>
        </w:rPr>
        <w:drawing>
          <wp:inline distT="0" distB="0" distL="0" distR="0" wp14:anchorId="4ABF3F4F" wp14:editId="57FBC67A">
            <wp:extent cx="6244382" cy="1951369"/>
            <wp:effectExtent l="0" t="0" r="4445" b="0"/>
            <wp:docPr id="274042618" name="Picture 40" descr="PRISMA Approach: &#10;1. Identifying business opportunities to improve agricultural sector performance.&#10;2. Leveraging the private sector to produce and sell innovative products and services to rural men and women farmers.&#10;3. Influencing the public sector to spur economic growth by improving the business-enabling enviro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042618" name="Picture 40" descr="PRISMA Approach: &#10;1. Identifying business opportunities to improve agricultural sector performance.&#10;2. Leveraging the private sector to produce and sell innovative products and services to rural men and women farmers.&#10;3. Influencing the public sector to spur economic growth by improving the business-enabling enviroment."/>
                    <pic:cNvPicPr/>
                  </pic:nvPicPr>
                  <pic:blipFill>
                    <a:blip r:embed="rId96"/>
                    <a:stretch>
                      <a:fillRect/>
                    </a:stretch>
                  </pic:blipFill>
                  <pic:spPr>
                    <a:xfrm>
                      <a:off x="0" y="0"/>
                      <a:ext cx="6244382" cy="1951369"/>
                    </a:xfrm>
                    <a:prstGeom prst="rect">
                      <a:avLst/>
                    </a:prstGeom>
                  </pic:spPr>
                </pic:pic>
              </a:graphicData>
            </a:graphic>
          </wp:inline>
        </w:drawing>
      </w:r>
    </w:p>
    <w:p w14:paraId="2FE66B9C" w14:textId="19ECA2D0" w:rsidR="0045601F" w:rsidRPr="00C64064" w:rsidRDefault="00217140" w:rsidP="00C72B45">
      <w:pPr>
        <w:pStyle w:val="Body"/>
        <w:rPr>
          <w:rFonts w:asciiTheme="majorHAnsi" w:hAnsiTheme="majorHAnsi" w:cstheme="majorHAnsi"/>
        </w:rPr>
      </w:pPr>
      <w:r w:rsidRPr="00C64064">
        <w:rPr>
          <w:rFonts w:asciiTheme="majorHAnsi" w:hAnsiTheme="majorHAnsi" w:cstheme="majorHAnsi"/>
        </w:rPr>
        <w:t>PRISMA</w:t>
      </w:r>
      <w:r w:rsidR="008466C4" w:rsidRPr="00C64064">
        <w:rPr>
          <w:rFonts w:asciiTheme="majorHAnsi" w:hAnsiTheme="majorHAnsi" w:cstheme="majorHAnsi"/>
        </w:rPr>
        <w:t>’s</w:t>
      </w:r>
      <w:r w:rsidR="00AC535B" w:rsidRPr="00C64064">
        <w:rPr>
          <w:rFonts w:asciiTheme="majorHAnsi" w:hAnsiTheme="majorHAnsi" w:cstheme="majorHAnsi"/>
        </w:rPr>
        <w:t xml:space="preserve"> approach has resulted in </w:t>
      </w:r>
      <w:r w:rsidRPr="00C64064">
        <w:rPr>
          <w:rFonts w:asciiTheme="majorHAnsi" w:hAnsiTheme="majorHAnsi" w:cstheme="majorHAnsi"/>
        </w:rPr>
        <w:t>the program</w:t>
      </w:r>
      <w:r w:rsidR="00AC535B" w:rsidRPr="00C64064">
        <w:rPr>
          <w:rFonts w:asciiTheme="majorHAnsi" w:hAnsiTheme="majorHAnsi" w:cstheme="majorHAnsi"/>
        </w:rPr>
        <w:t xml:space="preserve"> </w:t>
      </w:r>
      <w:r w:rsidR="004D18FF" w:rsidRPr="00C64064">
        <w:rPr>
          <w:rFonts w:asciiTheme="majorHAnsi" w:hAnsiTheme="majorHAnsi" w:cstheme="majorHAnsi"/>
        </w:rPr>
        <w:t>exceeding</w:t>
      </w:r>
      <w:r w:rsidR="00AC535B" w:rsidRPr="00C64064">
        <w:rPr>
          <w:rFonts w:asciiTheme="majorHAnsi" w:hAnsiTheme="majorHAnsi" w:cstheme="majorHAnsi"/>
        </w:rPr>
        <w:t xml:space="preserve"> its end-of-program outcomes (to increase the income of one million smallholder farming households by 30</w:t>
      </w:r>
      <w:r w:rsidR="002839D0" w:rsidRPr="00C64064">
        <w:rPr>
          <w:rFonts w:asciiTheme="majorHAnsi" w:hAnsiTheme="majorHAnsi" w:cstheme="majorHAnsi"/>
        </w:rPr>
        <w:t>%</w:t>
      </w:r>
      <w:r w:rsidR="00AC535B" w:rsidRPr="00C64064">
        <w:rPr>
          <w:rFonts w:asciiTheme="majorHAnsi" w:hAnsiTheme="majorHAnsi" w:cstheme="majorHAnsi"/>
        </w:rPr>
        <w:t>)</w:t>
      </w:r>
      <w:r w:rsidR="0045601F" w:rsidRPr="00C64064">
        <w:rPr>
          <w:rFonts w:asciiTheme="majorHAnsi" w:hAnsiTheme="majorHAnsi" w:cstheme="majorHAnsi"/>
        </w:rPr>
        <w:t>.</w:t>
      </w:r>
    </w:p>
    <w:p w14:paraId="262ED6B6" w14:textId="6DEFD317" w:rsidR="003B7D78" w:rsidRPr="00C64064" w:rsidRDefault="003B7D78" w:rsidP="00C72B45">
      <w:pPr>
        <w:pStyle w:val="Body"/>
        <w:rPr>
          <w:rFonts w:asciiTheme="majorHAnsi" w:hAnsiTheme="majorHAnsi" w:cstheme="majorHAnsi"/>
        </w:rPr>
      </w:pPr>
    </w:p>
    <w:p w14:paraId="373530F1" w14:textId="4B666E3D" w:rsidR="0045601F" w:rsidRPr="00C64064" w:rsidRDefault="0045601F" w:rsidP="00C72B45">
      <w:pPr>
        <w:pStyle w:val="Body"/>
        <w:rPr>
          <w:rFonts w:asciiTheme="majorHAnsi" w:hAnsiTheme="majorHAnsi" w:cstheme="majorHAnsi"/>
        </w:rPr>
      </w:pPr>
      <w:r w:rsidRPr="00C64064">
        <w:rPr>
          <w:rFonts w:asciiTheme="majorHAnsi" w:hAnsiTheme="majorHAnsi" w:cstheme="majorHAnsi"/>
        </w:rPr>
        <w:t>In addition to income increases, PRISMA has brought about significant development outcomes such as:</w:t>
      </w:r>
    </w:p>
    <w:p w14:paraId="0C5A1843" w14:textId="68435C41" w:rsidR="00976A63" w:rsidRPr="00C64064" w:rsidRDefault="00976A63" w:rsidP="00C72B45">
      <w:pPr>
        <w:pStyle w:val="Body"/>
        <w:rPr>
          <w:rFonts w:asciiTheme="majorHAnsi" w:hAnsiTheme="majorHAnsi" w:cstheme="majorHAnsi"/>
        </w:rPr>
      </w:pPr>
    </w:p>
    <w:p w14:paraId="0AAF62BD" w14:textId="03CCD36E" w:rsidR="00D20BD4" w:rsidRPr="00C64064" w:rsidRDefault="006E50AA" w:rsidP="00D91EA1">
      <w:pPr>
        <w:pStyle w:val="Body"/>
        <w:numPr>
          <w:ilvl w:val="0"/>
          <w:numId w:val="12"/>
        </w:numPr>
        <w:spacing w:after="240"/>
        <w:ind w:right="0"/>
        <w:contextualSpacing w:val="0"/>
        <w:rPr>
          <w:rFonts w:asciiTheme="majorHAnsi" w:hAnsiTheme="majorHAnsi" w:cstheme="majorHAnsi"/>
        </w:rPr>
      </w:pPr>
      <w:r w:rsidRPr="00C64064">
        <w:rPr>
          <w:rFonts w:asciiTheme="majorHAnsi" w:hAnsiTheme="majorHAnsi" w:cstheme="majorHAnsi"/>
        </w:rPr>
        <w:lastRenderedPageBreak/>
        <w:t>Tr</w:t>
      </w:r>
      <w:r w:rsidR="7CA80613" w:rsidRPr="00C64064">
        <w:rPr>
          <w:rFonts w:asciiTheme="majorHAnsi" w:hAnsiTheme="majorHAnsi" w:cstheme="majorHAnsi"/>
        </w:rPr>
        <w:t>ansforming economic systems and industries through systemic change,</w:t>
      </w:r>
      <w:r w:rsidR="00E1556D" w:rsidRPr="00C64064">
        <w:rPr>
          <w:rStyle w:val="FootnoteReference"/>
          <w:rFonts w:asciiTheme="majorHAnsi" w:hAnsiTheme="majorHAnsi" w:cstheme="majorHAnsi"/>
        </w:rPr>
        <w:footnoteReference w:id="6"/>
      </w:r>
    </w:p>
    <w:p w14:paraId="4595F2BF" w14:textId="08761F4E" w:rsidR="00D20BD4" w:rsidRPr="00C64064" w:rsidRDefault="006E50AA" w:rsidP="00D91EA1">
      <w:pPr>
        <w:pStyle w:val="Body"/>
        <w:numPr>
          <w:ilvl w:val="0"/>
          <w:numId w:val="12"/>
        </w:numPr>
        <w:spacing w:after="240"/>
        <w:ind w:right="0"/>
        <w:contextualSpacing w:val="0"/>
        <w:rPr>
          <w:rFonts w:asciiTheme="majorHAnsi" w:hAnsiTheme="majorHAnsi" w:cstheme="majorHAnsi"/>
        </w:rPr>
      </w:pPr>
      <w:r w:rsidRPr="00C64064">
        <w:rPr>
          <w:rFonts w:asciiTheme="majorHAnsi" w:hAnsiTheme="majorHAnsi" w:cstheme="majorHAnsi"/>
        </w:rPr>
        <w:t>I</w:t>
      </w:r>
      <w:r w:rsidR="7CA80613" w:rsidRPr="00C64064">
        <w:rPr>
          <w:rFonts w:asciiTheme="majorHAnsi" w:hAnsiTheme="majorHAnsi" w:cstheme="majorHAnsi"/>
        </w:rPr>
        <w:t>nitiating change to make markets more financially rewarding through business and small and medium-sized enterprise (SME) growth,</w:t>
      </w:r>
      <w:r w:rsidR="00E1556D" w:rsidRPr="00C64064">
        <w:rPr>
          <w:rStyle w:val="FootnoteReference"/>
          <w:rFonts w:asciiTheme="majorHAnsi" w:hAnsiTheme="majorHAnsi" w:cstheme="majorHAnsi"/>
        </w:rPr>
        <w:footnoteReference w:id="7"/>
      </w:r>
      <w:r w:rsidR="0045601F" w:rsidRPr="00C64064">
        <w:rPr>
          <w:rFonts w:asciiTheme="majorHAnsi" w:hAnsiTheme="majorHAnsi" w:cstheme="majorHAnsi"/>
        </w:rPr>
        <w:t xml:space="preserve"> </w:t>
      </w:r>
    </w:p>
    <w:p w14:paraId="5BA87315" w14:textId="247BA1F6" w:rsidR="0045601F" w:rsidRPr="00C64064" w:rsidRDefault="006E50AA" w:rsidP="00D91EA1">
      <w:pPr>
        <w:pStyle w:val="Body"/>
        <w:numPr>
          <w:ilvl w:val="0"/>
          <w:numId w:val="12"/>
        </w:numPr>
        <w:spacing w:after="240"/>
        <w:ind w:right="0"/>
        <w:contextualSpacing w:val="0"/>
        <w:rPr>
          <w:rFonts w:asciiTheme="majorHAnsi" w:hAnsiTheme="majorHAnsi" w:cstheme="majorHAnsi"/>
        </w:rPr>
      </w:pPr>
      <w:r w:rsidRPr="00C64064">
        <w:rPr>
          <w:rFonts w:asciiTheme="majorHAnsi" w:hAnsiTheme="majorHAnsi" w:cstheme="majorHAnsi"/>
        </w:rPr>
        <w:t>I</w:t>
      </w:r>
      <w:r w:rsidR="7A6F6FF3" w:rsidRPr="00C64064">
        <w:rPr>
          <w:rFonts w:asciiTheme="majorHAnsi" w:hAnsiTheme="majorHAnsi" w:cstheme="majorHAnsi"/>
        </w:rPr>
        <w:t xml:space="preserve">ncreasing private sector investment in climate-smart technologies, practices, and business models, supporting emission reductions and adaptation, </w:t>
      </w:r>
    </w:p>
    <w:p w14:paraId="3CC1A15D" w14:textId="0A1C651A" w:rsidR="0045601F" w:rsidRPr="00C64064" w:rsidRDefault="00265EB6" w:rsidP="00D91EA1">
      <w:pPr>
        <w:pStyle w:val="Body"/>
        <w:numPr>
          <w:ilvl w:val="0"/>
          <w:numId w:val="12"/>
        </w:numPr>
        <w:spacing w:after="240"/>
        <w:ind w:right="0"/>
        <w:contextualSpacing w:val="0"/>
        <w:rPr>
          <w:rFonts w:asciiTheme="majorHAnsi" w:hAnsiTheme="majorHAnsi" w:cstheme="majorHAnsi"/>
        </w:rPr>
      </w:pPr>
      <w:r w:rsidRPr="00C64064">
        <w:rPr>
          <w:rFonts w:asciiTheme="majorHAnsi" w:hAnsiTheme="majorHAnsi" w:cstheme="majorHAnsi"/>
        </w:rPr>
        <w:t>E</w:t>
      </w:r>
      <w:r w:rsidR="0045601F" w:rsidRPr="00C64064">
        <w:rPr>
          <w:rFonts w:asciiTheme="majorHAnsi" w:hAnsiTheme="majorHAnsi" w:cstheme="majorHAnsi"/>
        </w:rPr>
        <w:t>ncouraging more inclusive markets through support for gender and disability</w:t>
      </w:r>
      <w:r w:rsidR="00816D43" w:rsidRPr="00C64064">
        <w:rPr>
          <w:rFonts w:asciiTheme="majorHAnsi" w:hAnsiTheme="majorHAnsi" w:cstheme="majorHAnsi"/>
        </w:rPr>
        <w:t>-</w:t>
      </w:r>
      <w:r w:rsidR="0045601F" w:rsidRPr="00C64064">
        <w:rPr>
          <w:rFonts w:asciiTheme="majorHAnsi" w:hAnsiTheme="majorHAnsi" w:cstheme="majorHAnsi"/>
        </w:rPr>
        <w:t>equitabl</w:t>
      </w:r>
      <w:r w:rsidR="00816D43" w:rsidRPr="00C64064">
        <w:rPr>
          <w:rFonts w:asciiTheme="majorHAnsi" w:hAnsiTheme="majorHAnsi" w:cstheme="majorHAnsi"/>
        </w:rPr>
        <w:t>e</w:t>
      </w:r>
      <w:r w:rsidR="0045601F" w:rsidRPr="00C64064">
        <w:rPr>
          <w:rFonts w:asciiTheme="majorHAnsi" w:hAnsiTheme="majorHAnsi" w:cstheme="majorHAnsi"/>
        </w:rPr>
        <w:t xml:space="preserve"> business practices,</w:t>
      </w:r>
      <w:r w:rsidR="0045601F" w:rsidRPr="00C64064">
        <w:rPr>
          <w:rStyle w:val="FootnoteReference"/>
          <w:rFonts w:asciiTheme="majorHAnsi" w:hAnsiTheme="majorHAnsi" w:cstheme="majorHAnsi"/>
        </w:rPr>
        <w:footnoteReference w:id="8"/>
      </w:r>
    </w:p>
    <w:p w14:paraId="6B5850D0" w14:textId="52224974" w:rsidR="0045601F" w:rsidRPr="00C64064" w:rsidRDefault="00265EB6" w:rsidP="00D91EA1">
      <w:pPr>
        <w:pStyle w:val="Body"/>
        <w:numPr>
          <w:ilvl w:val="0"/>
          <w:numId w:val="12"/>
        </w:numPr>
        <w:spacing w:after="240"/>
        <w:ind w:right="0"/>
        <w:contextualSpacing w:val="0"/>
        <w:rPr>
          <w:rFonts w:asciiTheme="majorHAnsi" w:hAnsiTheme="majorHAnsi" w:cstheme="majorHAnsi"/>
        </w:rPr>
      </w:pPr>
      <w:r w:rsidRPr="00C64064">
        <w:rPr>
          <w:rFonts w:asciiTheme="majorHAnsi" w:hAnsiTheme="majorHAnsi" w:cstheme="majorHAnsi"/>
        </w:rPr>
        <w:t>A</w:t>
      </w:r>
      <w:r w:rsidR="0045601F" w:rsidRPr="00C64064">
        <w:rPr>
          <w:rFonts w:asciiTheme="majorHAnsi" w:hAnsiTheme="majorHAnsi" w:cstheme="majorHAnsi"/>
        </w:rPr>
        <w:t>ddressing the rules and regulations that constrain sector growth and competitiveness through policy support,</w:t>
      </w:r>
    </w:p>
    <w:p w14:paraId="36212836" w14:textId="7E5F5C0D" w:rsidR="0045601F" w:rsidRPr="00C64064" w:rsidRDefault="00265EB6" w:rsidP="00D91EA1">
      <w:pPr>
        <w:pStyle w:val="Body"/>
        <w:numPr>
          <w:ilvl w:val="0"/>
          <w:numId w:val="12"/>
        </w:numPr>
        <w:spacing w:after="240"/>
        <w:ind w:right="0"/>
        <w:contextualSpacing w:val="0"/>
        <w:rPr>
          <w:rFonts w:asciiTheme="majorHAnsi" w:hAnsiTheme="majorHAnsi" w:cstheme="majorHAnsi"/>
        </w:rPr>
      </w:pPr>
      <w:r w:rsidRPr="00C64064">
        <w:rPr>
          <w:rFonts w:asciiTheme="majorHAnsi" w:hAnsiTheme="majorHAnsi" w:cstheme="majorHAnsi"/>
        </w:rPr>
        <w:t>S</w:t>
      </w:r>
      <w:r w:rsidR="0045601F" w:rsidRPr="00C64064">
        <w:rPr>
          <w:rFonts w:asciiTheme="majorHAnsi" w:hAnsiTheme="majorHAnsi" w:cstheme="majorHAnsi"/>
        </w:rPr>
        <w:t xml:space="preserve">upporting crowding-in by other market actors (for example, other firms </w:t>
      </w:r>
      <w:r w:rsidR="006117A2" w:rsidRPr="00C64064">
        <w:rPr>
          <w:rFonts w:asciiTheme="majorHAnsi" w:hAnsiTheme="majorHAnsi" w:cstheme="majorHAnsi"/>
        </w:rPr>
        <w:t>replicat</w:t>
      </w:r>
      <w:r w:rsidR="0045601F" w:rsidRPr="00C64064">
        <w:rPr>
          <w:rFonts w:asciiTheme="majorHAnsi" w:hAnsiTheme="majorHAnsi" w:cstheme="majorHAnsi"/>
        </w:rPr>
        <w:t>ing the new, more inclusive business models) through policy support to amend legislation or streamlined procedures,</w:t>
      </w:r>
    </w:p>
    <w:p w14:paraId="160AC861" w14:textId="62F50F0D" w:rsidR="0045601F" w:rsidRPr="00C64064" w:rsidRDefault="00265EB6" w:rsidP="00D91EA1">
      <w:pPr>
        <w:pStyle w:val="Body"/>
        <w:numPr>
          <w:ilvl w:val="0"/>
          <w:numId w:val="12"/>
        </w:numPr>
        <w:spacing w:after="240"/>
        <w:ind w:right="0"/>
        <w:contextualSpacing w:val="0"/>
        <w:rPr>
          <w:rFonts w:asciiTheme="majorHAnsi" w:hAnsiTheme="majorHAnsi" w:cstheme="majorHAnsi"/>
        </w:rPr>
      </w:pPr>
      <w:r w:rsidRPr="00C64064">
        <w:rPr>
          <w:rFonts w:asciiTheme="majorHAnsi" w:hAnsiTheme="majorHAnsi" w:cstheme="majorHAnsi"/>
        </w:rPr>
        <w:t>S</w:t>
      </w:r>
      <w:r w:rsidR="0045601F" w:rsidRPr="00C64064">
        <w:rPr>
          <w:rFonts w:asciiTheme="majorHAnsi" w:hAnsiTheme="majorHAnsi" w:cstheme="majorHAnsi"/>
        </w:rPr>
        <w:t>upporting market resilience by harvesting and sharing the PRISMA experience.</w:t>
      </w:r>
      <w:r w:rsidR="0045601F" w:rsidRPr="00C64064">
        <w:rPr>
          <w:rStyle w:val="FootnoteReference"/>
          <w:rFonts w:asciiTheme="majorHAnsi" w:hAnsiTheme="majorHAnsi" w:cstheme="majorHAnsi"/>
        </w:rPr>
        <w:footnoteReference w:id="9"/>
      </w:r>
      <w:r w:rsidR="0045601F" w:rsidRPr="00C64064">
        <w:rPr>
          <w:rFonts w:asciiTheme="majorHAnsi" w:hAnsiTheme="majorHAnsi" w:cstheme="majorHAnsi"/>
        </w:rPr>
        <w:t xml:space="preserve"> </w:t>
      </w:r>
    </w:p>
    <w:p w14:paraId="2A323DEE" w14:textId="77777777" w:rsidR="0045601F" w:rsidRPr="00C64064" w:rsidRDefault="0045601F" w:rsidP="00C72B45">
      <w:pPr>
        <w:pStyle w:val="Body"/>
        <w:rPr>
          <w:rFonts w:asciiTheme="majorHAnsi" w:hAnsiTheme="majorHAnsi" w:cstheme="majorHAnsi"/>
        </w:rPr>
      </w:pPr>
    </w:p>
    <w:p w14:paraId="7F989A5B" w14:textId="25204A4F" w:rsidR="001A6625" w:rsidRPr="00C64064" w:rsidRDefault="0045601F" w:rsidP="001A6625">
      <w:pPr>
        <w:pStyle w:val="Body"/>
        <w:rPr>
          <w:rFonts w:asciiTheme="majorHAnsi" w:hAnsiTheme="majorHAnsi" w:cstheme="majorHAnsi"/>
        </w:rPr>
      </w:pPr>
      <w:r w:rsidRPr="00C64064">
        <w:rPr>
          <w:rFonts w:asciiTheme="majorHAnsi" w:hAnsiTheme="majorHAnsi" w:cstheme="majorHAnsi"/>
        </w:rPr>
        <w:t xml:space="preserve">More on PRISMA’s impact can be found in the key performance indicator (KPI) table in Chapter </w:t>
      </w:r>
      <w:r w:rsidR="004B488A" w:rsidRPr="00C64064">
        <w:rPr>
          <w:rFonts w:asciiTheme="majorHAnsi" w:hAnsiTheme="majorHAnsi" w:cstheme="majorHAnsi"/>
        </w:rPr>
        <w:t>3</w:t>
      </w:r>
      <w:r w:rsidRPr="00C64064">
        <w:rPr>
          <w:rFonts w:asciiTheme="majorHAnsi" w:hAnsiTheme="majorHAnsi" w:cstheme="majorHAnsi"/>
        </w:rPr>
        <w:t xml:space="preserve">. </w:t>
      </w:r>
    </w:p>
    <w:p w14:paraId="05052D42" w14:textId="72F686CD" w:rsidR="00AC535B" w:rsidRPr="00C64064" w:rsidRDefault="00AC535B" w:rsidP="005130B7">
      <w:pPr>
        <w:pStyle w:val="Head2"/>
        <w:rPr>
          <w:rStyle w:val="normaltextrun"/>
          <w:rFonts w:cstheme="majorHAnsi"/>
        </w:rPr>
      </w:pPr>
      <w:bookmarkStart w:id="40" w:name="_Toc167702242"/>
      <w:bookmarkStart w:id="41" w:name="_Toc172823282"/>
      <w:bookmarkStart w:id="42" w:name="_Toc180155153"/>
      <w:r w:rsidRPr="00C64064">
        <w:rPr>
          <w:rStyle w:val="normaltextrun"/>
          <w:rFonts w:cstheme="majorHAnsi"/>
        </w:rPr>
        <w:t>Governance</w:t>
      </w:r>
      <w:r w:rsidR="00FD096E" w:rsidRPr="00C64064">
        <w:rPr>
          <w:rStyle w:val="normaltextrun"/>
          <w:rFonts w:cstheme="majorHAnsi"/>
        </w:rPr>
        <w:t xml:space="preserve"> </w:t>
      </w:r>
      <w:r w:rsidR="002D465F" w:rsidRPr="00C64064">
        <w:rPr>
          <w:rStyle w:val="normaltextrun"/>
          <w:rFonts w:cstheme="majorHAnsi"/>
        </w:rPr>
        <w:t>S</w:t>
      </w:r>
      <w:r w:rsidR="00FD096E" w:rsidRPr="00C64064">
        <w:rPr>
          <w:rStyle w:val="normaltextrun"/>
          <w:rFonts w:cstheme="majorHAnsi"/>
        </w:rPr>
        <w:t>tructure</w:t>
      </w:r>
      <w:bookmarkEnd w:id="40"/>
      <w:bookmarkEnd w:id="41"/>
      <w:bookmarkEnd w:id="42"/>
    </w:p>
    <w:p w14:paraId="441133C0" w14:textId="333CB8DC" w:rsidR="00DA3754" w:rsidRPr="00C64064" w:rsidRDefault="6029C2DB" w:rsidP="00A31DB8">
      <w:pPr>
        <w:pStyle w:val="paragraph"/>
        <w:spacing w:before="0" w:beforeAutospacing="0" w:after="0" w:afterAutospacing="0" w:line="276" w:lineRule="auto"/>
        <w:textAlignment w:val="baseline"/>
        <w:rPr>
          <w:rFonts w:asciiTheme="majorHAnsi" w:eastAsia="Arial" w:hAnsiTheme="majorHAnsi" w:cstheme="majorHAnsi"/>
          <w:sz w:val="22"/>
          <w:szCs w:val="22"/>
          <w:lang w:val="en-GB" w:eastAsia="en-US"/>
        </w:rPr>
      </w:pPr>
      <w:r w:rsidRPr="00C64064">
        <w:rPr>
          <w:rFonts w:asciiTheme="majorHAnsi" w:eastAsia="Arial" w:hAnsiTheme="majorHAnsi" w:cstheme="majorHAnsi"/>
          <w:sz w:val="22"/>
          <w:szCs w:val="22"/>
          <w:lang w:val="en-GB" w:eastAsia="en-US"/>
        </w:rPr>
        <w:t xml:space="preserve">PRISMA’s governance structure includes </w:t>
      </w:r>
      <w:r w:rsidR="251E6F75" w:rsidRPr="00C64064">
        <w:rPr>
          <w:rFonts w:asciiTheme="majorHAnsi" w:eastAsia="Arial" w:hAnsiTheme="majorHAnsi" w:cstheme="majorHAnsi"/>
          <w:sz w:val="22"/>
          <w:szCs w:val="22"/>
          <w:lang w:val="en-GB" w:eastAsia="en-US"/>
        </w:rPr>
        <w:t>the</w:t>
      </w:r>
      <w:r w:rsidRPr="00C64064">
        <w:rPr>
          <w:rFonts w:asciiTheme="majorHAnsi" w:eastAsia="Arial" w:hAnsiTheme="majorHAnsi" w:cstheme="majorHAnsi"/>
          <w:sz w:val="22"/>
          <w:szCs w:val="22"/>
          <w:lang w:val="en-GB" w:eastAsia="en-US"/>
        </w:rPr>
        <w:t xml:space="preserve"> Project Coordination Committee (PCC), with representatives from Bappenas (</w:t>
      </w:r>
      <w:r w:rsidR="7FD4B6D8" w:rsidRPr="00C64064">
        <w:rPr>
          <w:rFonts w:asciiTheme="majorHAnsi" w:eastAsia="Arial" w:hAnsiTheme="majorHAnsi" w:cstheme="majorHAnsi"/>
          <w:sz w:val="22"/>
          <w:szCs w:val="22"/>
          <w:lang w:val="en-GB" w:eastAsia="en-US"/>
        </w:rPr>
        <w:t xml:space="preserve">from the </w:t>
      </w:r>
      <w:r w:rsidRPr="00C64064">
        <w:rPr>
          <w:rFonts w:asciiTheme="majorHAnsi" w:eastAsia="Arial" w:hAnsiTheme="majorHAnsi" w:cstheme="majorHAnsi"/>
          <w:sz w:val="22"/>
          <w:szCs w:val="22"/>
          <w:lang w:val="en-GB" w:eastAsia="en-US"/>
        </w:rPr>
        <w:t xml:space="preserve">Directorate for Food and Agriculture) and DFAT. The PCC meets at least once a year to review program updates, provide recommendations, and approve the </w:t>
      </w:r>
      <w:r w:rsidR="00321DBB">
        <w:rPr>
          <w:rFonts w:asciiTheme="majorHAnsi" w:eastAsia="Arial" w:hAnsiTheme="majorHAnsi" w:cstheme="majorHAnsi"/>
          <w:sz w:val="22"/>
          <w:szCs w:val="22"/>
          <w:lang w:val="en-GB" w:eastAsia="en-US"/>
        </w:rPr>
        <w:t>Progress</w:t>
      </w:r>
      <w:r w:rsidRPr="00C64064">
        <w:rPr>
          <w:rFonts w:asciiTheme="majorHAnsi" w:eastAsia="Arial" w:hAnsiTheme="majorHAnsi" w:cstheme="majorHAnsi"/>
          <w:sz w:val="22"/>
          <w:szCs w:val="22"/>
          <w:lang w:val="en-GB" w:eastAsia="en-US"/>
        </w:rPr>
        <w:t xml:space="preserve">. PRISMA and DFAT also hold regular meetings to discuss program progress and challenges. PRISMA shares a monthly update report based on these discussions, which DFAT uses to communicate with Bappenas. Meanwhile, the internal governance structure includes a </w:t>
      </w:r>
      <w:r w:rsidR="1D5D45F9" w:rsidRPr="00C64064">
        <w:rPr>
          <w:rFonts w:asciiTheme="majorHAnsi" w:eastAsia="Arial" w:hAnsiTheme="majorHAnsi" w:cstheme="majorHAnsi"/>
          <w:sz w:val="22"/>
          <w:szCs w:val="22"/>
          <w:lang w:val="en-GB" w:eastAsia="en-US"/>
        </w:rPr>
        <w:t>m</w:t>
      </w:r>
      <w:r w:rsidRPr="00C64064">
        <w:rPr>
          <w:rFonts w:asciiTheme="majorHAnsi" w:eastAsia="Arial" w:hAnsiTheme="majorHAnsi" w:cstheme="majorHAnsi"/>
          <w:sz w:val="22"/>
          <w:szCs w:val="22"/>
          <w:lang w:val="en-GB" w:eastAsia="en-US"/>
        </w:rPr>
        <w:t xml:space="preserve">anagement </w:t>
      </w:r>
      <w:r w:rsidR="41257D4B" w:rsidRPr="00C64064">
        <w:rPr>
          <w:rFonts w:asciiTheme="majorHAnsi" w:eastAsia="Arial" w:hAnsiTheme="majorHAnsi" w:cstheme="majorHAnsi"/>
          <w:sz w:val="22"/>
          <w:szCs w:val="22"/>
          <w:lang w:val="en-GB" w:eastAsia="en-US"/>
        </w:rPr>
        <w:t>t</w:t>
      </w:r>
      <w:r w:rsidRPr="00C64064">
        <w:rPr>
          <w:rFonts w:asciiTheme="majorHAnsi" w:eastAsia="Arial" w:hAnsiTheme="majorHAnsi" w:cstheme="majorHAnsi"/>
          <w:sz w:val="22"/>
          <w:szCs w:val="22"/>
          <w:lang w:val="en-GB" w:eastAsia="en-US"/>
        </w:rPr>
        <w:t xml:space="preserve">eam with members from all portfolios, </w:t>
      </w:r>
      <w:r w:rsidR="722F73F7" w:rsidRPr="00C64064">
        <w:rPr>
          <w:rFonts w:asciiTheme="majorHAnsi" w:eastAsia="Arial" w:hAnsiTheme="majorHAnsi" w:cstheme="majorHAnsi"/>
          <w:sz w:val="22"/>
          <w:szCs w:val="22"/>
          <w:lang w:val="en-GB" w:eastAsia="en-US"/>
        </w:rPr>
        <w:t>a</w:t>
      </w:r>
      <w:r w:rsidR="4627C1E0" w:rsidRPr="00C64064">
        <w:rPr>
          <w:rFonts w:asciiTheme="majorHAnsi" w:eastAsia="Arial" w:hAnsiTheme="majorHAnsi" w:cstheme="majorHAnsi"/>
          <w:sz w:val="22"/>
          <w:szCs w:val="22"/>
          <w:lang w:val="en-GB" w:eastAsia="en-US"/>
        </w:rPr>
        <w:t xml:space="preserve"> </w:t>
      </w:r>
      <w:r w:rsidR="16AA3191" w:rsidRPr="00C64064">
        <w:rPr>
          <w:rFonts w:asciiTheme="majorHAnsi" w:eastAsia="Arial" w:hAnsiTheme="majorHAnsi" w:cstheme="majorHAnsi"/>
          <w:sz w:val="22"/>
          <w:szCs w:val="22"/>
          <w:lang w:val="en-GB" w:eastAsia="en-US"/>
        </w:rPr>
        <w:t>c</w:t>
      </w:r>
      <w:r w:rsidRPr="00C64064">
        <w:rPr>
          <w:rFonts w:asciiTheme="majorHAnsi" w:eastAsia="Arial" w:hAnsiTheme="majorHAnsi" w:cstheme="majorHAnsi"/>
          <w:sz w:val="22"/>
          <w:szCs w:val="22"/>
          <w:lang w:val="en-GB" w:eastAsia="en-US"/>
        </w:rPr>
        <w:t xml:space="preserve">hief </w:t>
      </w:r>
      <w:r w:rsidR="6F8CD25D" w:rsidRPr="00C64064">
        <w:rPr>
          <w:rFonts w:asciiTheme="majorHAnsi" w:eastAsia="Arial" w:hAnsiTheme="majorHAnsi" w:cstheme="majorHAnsi"/>
          <w:sz w:val="22"/>
          <w:szCs w:val="22"/>
          <w:lang w:val="en-GB" w:eastAsia="en-US"/>
        </w:rPr>
        <w:t>o</w:t>
      </w:r>
      <w:r w:rsidRPr="00C64064">
        <w:rPr>
          <w:rFonts w:asciiTheme="majorHAnsi" w:eastAsia="Arial" w:hAnsiTheme="majorHAnsi" w:cstheme="majorHAnsi"/>
          <w:sz w:val="22"/>
          <w:szCs w:val="22"/>
          <w:lang w:val="en-GB" w:eastAsia="en-US"/>
        </w:rPr>
        <w:t xml:space="preserve">perations </w:t>
      </w:r>
      <w:r w:rsidR="536260ED" w:rsidRPr="00C64064">
        <w:rPr>
          <w:rFonts w:asciiTheme="majorHAnsi" w:eastAsia="Arial" w:hAnsiTheme="majorHAnsi" w:cstheme="majorHAnsi"/>
          <w:sz w:val="22"/>
          <w:szCs w:val="22"/>
          <w:lang w:val="en-GB" w:eastAsia="en-US"/>
        </w:rPr>
        <w:t>o</w:t>
      </w:r>
      <w:r w:rsidRPr="00C64064">
        <w:rPr>
          <w:rFonts w:asciiTheme="majorHAnsi" w:eastAsia="Arial" w:hAnsiTheme="majorHAnsi" w:cstheme="majorHAnsi"/>
          <w:sz w:val="22"/>
          <w:szCs w:val="22"/>
          <w:lang w:val="en-GB" w:eastAsia="en-US"/>
        </w:rPr>
        <w:t xml:space="preserve">fficer, </w:t>
      </w:r>
      <w:r w:rsidR="33772D63" w:rsidRPr="00C64064">
        <w:rPr>
          <w:rFonts w:asciiTheme="majorHAnsi" w:eastAsia="Arial" w:hAnsiTheme="majorHAnsi" w:cstheme="majorHAnsi"/>
          <w:sz w:val="22"/>
          <w:szCs w:val="22"/>
          <w:lang w:val="en-GB" w:eastAsia="en-US"/>
        </w:rPr>
        <w:t>c</w:t>
      </w:r>
      <w:r w:rsidRPr="00C64064">
        <w:rPr>
          <w:rFonts w:asciiTheme="majorHAnsi" w:eastAsia="Arial" w:hAnsiTheme="majorHAnsi" w:cstheme="majorHAnsi"/>
          <w:sz w:val="22"/>
          <w:szCs w:val="22"/>
          <w:lang w:val="en-GB" w:eastAsia="en-US"/>
        </w:rPr>
        <w:t xml:space="preserve">hief </w:t>
      </w:r>
      <w:r w:rsidR="2513AC73" w:rsidRPr="00C64064">
        <w:rPr>
          <w:rFonts w:asciiTheme="majorHAnsi" w:eastAsia="Arial" w:hAnsiTheme="majorHAnsi" w:cstheme="majorHAnsi"/>
          <w:sz w:val="22"/>
          <w:szCs w:val="22"/>
          <w:lang w:val="en-GB" w:eastAsia="en-US"/>
        </w:rPr>
        <w:t>t</w:t>
      </w:r>
      <w:r w:rsidRPr="00C64064">
        <w:rPr>
          <w:rFonts w:asciiTheme="majorHAnsi" w:eastAsia="Arial" w:hAnsiTheme="majorHAnsi" w:cstheme="majorHAnsi"/>
          <w:sz w:val="22"/>
          <w:szCs w:val="22"/>
          <w:lang w:val="en-GB" w:eastAsia="en-US"/>
        </w:rPr>
        <w:t xml:space="preserve">echnical </w:t>
      </w:r>
      <w:r w:rsidR="056C9BEC" w:rsidRPr="00C64064">
        <w:rPr>
          <w:rFonts w:asciiTheme="majorHAnsi" w:eastAsia="Arial" w:hAnsiTheme="majorHAnsi" w:cstheme="majorHAnsi"/>
          <w:sz w:val="22"/>
          <w:szCs w:val="22"/>
          <w:lang w:val="en-GB" w:eastAsia="en-US"/>
        </w:rPr>
        <w:t>o</w:t>
      </w:r>
      <w:r w:rsidRPr="00C64064">
        <w:rPr>
          <w:rFonts w:asciiTheme="majorHAnsi" w:eastAsia="Arial" w:hAnsiTheme="majorHAnsi" w:cstheme="majorHAnsi"/>
          <w:sz w:val="22"/>
          <w:szCs w:val="22"/>
          <w:lang w:val="en-GB" w:eastAsia="en-US"/>
        </w:rPr>
        <w:t xml:space="preserve">fficers, and </w:t>
      </w:r>
      <w:r w:rsidR="02AF69B4" w:rsidRPr="00C64064">
        <w:rPr>
          <w:rFonts w:asciiTheme="majorHAnsi" w:eastAsia="Arial" w:hAnsiTheme="majorHAnsi" w:cstheme="majorHAnsi"/>
          <w:sz w:val="22"/>
          <w:szCs w:val="22"/>
          <w:lang w:val="en-GB" w:eastAsia="en-US"/>
        </w:rPr>
        <w:t>a c</w:t>
      </w:r>
      <w:r w:rsidRPr="00C64064">
        <w:rPr>
          <w:rFonts w:asciiTheme="majorHAnsi" w:eastAsia="Arial" w:hAnsiTheme="majorHAnsi" w:cstheme="majorHAnsi"/>
          <w:sz w:val="22"/>
          <w:szCs w:val="22"/>
          <w:lang w:val="en-GB" w:eastAsia="en-US"/>
        </w:rPr>
        <w:t xml:space="preserve">hief </w:t>
      </w:r>
      <w:r w:rsidR="6DE9366A" w:rsidRPr="00C64064">
        <w:rPr>
          <w:rFonts w:asciiTheme="majorHAnsi" w:eastAsia="Arial" w:hAnsiTheme="majorHAnsi" w:cstheme="majorHAnsi"/>
          <w:sz w:val="22"/>
          <w:szCs w:val="22"/>
          <w:lang w:val="en-GB" w:eastAsia="en-US"/>
        </w:rPr>
        <w:t>e</w:t>
      </w:r>
      <w:r w:rsidRPr="00C64064">
        <w:rPr>
          <w:rFonts w:asciiTheme="majorHAnsi" w:eastAsia="Arial" w:hAnsiTheme="majorHAnsi" w:cstheme="majorHAnsi"/>
          <w:sz w:val="22"/>
          <w:szCs w:val="22"/>
          <w:lang w:val="en-GB" w:eastAsia="en-US"/>
        </w:rPr>
        <w:t xml:space="preserve">xecutive </w:t>
      </w:r>
      <w:r w:rsidR="6235945A" w:rsidRPr="00C64064">
        <w:rPr>
          <w:rFonts w:asciiTheme="majorHAnsi" w:eastAsia="Arial" w:hAnsiTheme="majorHAnsi" w:cstheme="majorHAnsi"/>
          <w:sz w:val="22"/>
          <w:szCs w:val="22"/>
          <w:lang w:val="en-GB" w:eastAsia="en-US"/>
        </w:rPr>
        <w:t>o</w:t>
      </w:r>
      <w:r w:rsidRPr="00C64064">
        <w:rPr>
          <w:rFonts w:asciiTheme="majorHAnsi" w:eastAsia="Arial" w:hAnsiTheme="majorHAnsi" w:cstheme="majorHAnsi"/>
          <w:sz w:val="22"/>
          <w:szCs w:val="22"/>
          <w:lang w:val="en-GB" w:eastAsia="en-US"/>
        </w:rPr>
        <w:t xml:space="preserve">fficer. The </w:t>
      </w:r>
      <w:r w:rsidR="307B9FAD" w:rsidRPr="00C64064">
        <w:rPr>
          <w:rFonts w:asciiTheme="majorHAnsi" w:eastAsia="Arial" w:hAnsiTheme="majorHAnsi" w:cstheme="majorHAnsi"/>
          <w:sz w:val="22"/>
          <w:szCs w:val="22"/>
          <w:lang w:val="en-GB" w:eastAsia="en-US"/>
        </w:rPr>
        <w:t>m</w:t>
      </w:r>
      <w:r w:rsidRPr="00C64064">
        <w:rPr>
          <w:rFonts w:asciiTheme="majorHAnsi" w:eastAsia="Arial" w:hAnsiTheme="majorHAnsi" w:cstheme="majorHAnsi"/>
          <w:sz w:val="22"/>
          <w:szCs w:val="22"/>
          <w:lang w:val="en-GB" w:eastAsia="en-US"/>
        </w:rPr>
        <w:t xml:space="preserve">anagement </w:t>
      </w:r>
      <w:r w:rsidR="0E41D97A" w:rsidRPr="00C64064">
        <w:rPr>
          <w:rFonts w:asciiTheme="majorHAnsi" w:eastAsia="Arial" w:hAnsiTheme="majorHAnsi" w:cstheme="majorHAnsi"/>
          <w:sz w:val="22"/>
          <w:szCs w:val="22"/>
          <w:lang w:val="en-GB" w:eastAsia="en-US"/>
        </w:rPr>
        <w:t>t</w:t>
      </w:r>
      <w:r w:rsidRPr="00C64064">
        <w:rPr>
          <w:rFonts w:asciiTheme="majorHAnsi" w:eastAsia="Arial" w:hAnsiTheme="majorHAnsi" w:cstheme="majorHAnsi"/>
          <w:sz w:val="22"/>
          <w:szCs w:val="22"/>
          <w:lang w:val="en-GB" w:eastAsia="en-US"/>
        </w:rPr>
        <w:t xml:space="preserve">eam meets weekly </w:t>
      </w:r>
      <w:r w:rsidR="18BCE58E" w:rsidRPr="00C64064">
        <w:rPr>
          <w:rFonts w:asciiTheme="majorHAnsi" w:eastAsia="Arial" w:hAnsiTheme="majorHAnsi" w:cstheme="majorHAnsi"/>
          <w:sz w:val="22"/>
          <w:szCs w:val="22"/>
          <w:lang w:val="en-GB" w:eastAsia="en-US"/>
        </w:rPr>
        <w:t>to</w:t>
      </w:r>
      <w:r w:rsidR="3E73F48B" w:rsidRPr="00C64064">
        <w:rPr>
          <w:rFonts w:asciiTheme="majorHAnsi" w:eastAsia="Arial" w:hAnsiTheme="majorHAnsi" w:cstheme="majorHAnsi"/>
          <w:sz w:val="22"/>
          <w:szCs w:val="22"/>
          <w:lang w:val="en-GB" w:eastAsia="en-US"/>
        </w:rPr>
        <w:t xml:space="preserve"> discuss</w:t>
      </w:r>
      <w:r w:rsidRPr="00C64064">
        <w:rPr>
          <w:rFonts w:asciiTheme="majorHAnsi" w:eastAsia="Arial" w:hAnsiTheme="majorHAnsi" w:cstheme="majorHAnsi"/>
          <w:sz w:val="22"/>
          <w:szCs w:val="22"/>
          <w:lang w:val="en-GB" w:eastAsia="en-US"/>
        </w:rPr>
        <w:t xml:space="preserve"> the program’s progress, implementation plans, challenges, and risks.   </w:t>
      </w:r>
    </w:p>
    <w:p w14:paraId="239EBCF6" w14:textId="6C85B163" w:rsidR="00AC535B" w:rsidRPr="00C64064" w:rsidRDefault="6029C2DB" w:rsidP="005130B7">
      <w:pPr>
        <w:pStyle w:val="Head2"/>
        <w:rPr>
          <w:rStyle w:val="normaltextrun"/>
          <w:rFonts w:cstheme="majorHAnsi"/>
        </w:rPr>
      </w:pPr>
      <w:bookmarkStart w:id="43" w:name="_Toc167702243"/>
      <w:bookmarkStart w:id="44" w:name="_Toc172823283"/>
      <w:bookmarkStart w:id="45" w:name="_Toc180155154"/>
      <w:r w:rsidRPr="00C64064">
        <w:rPr>
          <w:rStyle w:val="normaltextrun"/>
          <w:rFonts w:cstheme="majorHAnsi"/>
        </w:rPr>
        <w:t xml:space="preserve">Relevance to </w:t>
      </w:r>
      <w:r w:rsidR="343397CC" w:rsidRPr="00C64064">
        <w:rPr>
          <w:rStyle w:val="normaltextrun"/>
          <w:rFonts w:cstheme="majorHAnsi"/>
        </w:rPr>
        <w:t xml:space="preserve">the </w:t>
      </w:r>
      <w:r w:rsidRPr="00C64064">
        <w:rPr>
          <w:rStyle w:val="normaltextrun"/>
          <w:rFonts w:cstheme="majorHAnsi"/>
        </w:rPr>
        <w:t>G</w:t>
      </w:r>
      <w:r w:rsidR="4713FDF0" w:rsidRPr="00C64064">
        <w:rPr>
          <w:rStyle w:val="normaltextrun"/>
          <w:rFonts w:cstheme="majorHAnsi"/>
        </w:rPr>
        <w:t xml:space="preserve">overnment of </w:t>
      </w:r>
      <w:r w:rsidRPr="00C64064">
        <w:rPr>
          <w:rStyle w:val="normaltextrun"/>
          <w:rFonts w:cstheme="majorHAnsi"/>
        </w:rPr>
        <w:t>A</w:t>
      </w:r>
      <w:r w:rsidR="4713FDF0" w:rsidRPr="00C64064">
        <w:rPr>
          <w:rStyle w:val="normaltextrun"/>
          <w:rFonts w:cstheme="majorHAnsi"/>
        </w:rPr>
        <w:t>ustralia</w:t>
      </w:r>
      <w:bookmarkEnd w:id="43"/>
      <w:bookmarkEnd w:id="44"/>
      <w:bookmarkEnd w:id="45"/>
    </w:p>
    <w:p w14:paraId="1BC3E829" w14:textId="3E1C696E" w:rsidR="00AC535B" w:rsidRPr="00C64064" w:rsidRDefault="6029C2DB" w:rsidP="0045601F">
      <w:pPr>
        <w:spacing w:line="276" w:lineRule="auto"/>
        <w:jc w:val="both"/>
        <w:rPr>
          <w:rFonts w:asciiTheme="majorHAnsi" w:hAnsiTheme="majorHAnsi" w:cstheme="majorHAnsi"/>
        </w:rPr>
      </w:pPr>
      <w:r w:rsidRPr="00C64064">
        <w:rPr>
          <w:rFonts w:asciiTheme="majorHAnsi" w:hAnsiTheme="majorHAnsi" w:cstheme="majorHAnsi"/>
        </w:rPr>
        <w:t xml:space="preserve">Australia’s development program </w:t>
      </w:r>
      <w:r w:rsidR="00523F4C" w:rsidRPr="00C64064">
        <w:rPr>
          <w:rFonts w:asciiTheme="majorHAnsi" w:hAnsiTheme="majorHAnsi" w:cstheme="majorHAnsi"/>
        </w:rPr>
        <w:t>aim</w:t>
      </w:r>
      <w:r w:rsidRPr="00C64064">
        <w:rPr>
          <w:rFonts w:asciiTheme="majorHAnsi" w:hAnsiTheme="majorHAnsi" w:cstheme="majorHAnsi"/>
        </w:rPr>
        <w:t xml:space="preserve">s to advance a peaceful, stable, prosperous Indo-Pacific region. </w:t>
      </w:r>
      <w:r w:rsidR="00F24407" w:rsidRPr="00C64064">
        <w:rPr>
          <w:rFonts w:asciiTheme="majorHAnsi" w:hAnsiTheme="majorHAnsi" w:cstheme="majorHAnsi"/>
        </w:rPr>
        <w:t>Australia’s</w:t>
      </w:r>
      <w:r w:rsidRPr="00C64064">
        <w:rPr>
          <w:rFonts w:asciiTheme="majorHAnsi" w:hAnsiTheme="majorHAnsi" w:cstheme="majorHAnsi"/>
        </w:rPr>
        <w:t xml:space="preserve"> International Development Policy outlines how this will be achieved through sustainable development, lifting people out of poverty</w:t>
      </w:r>
      <w:r w:rsidR="61F18AA4" w:rsidRPr="00C64064">
        <w:rPr>
          <w:rFonts w:asciiTheme="majorHAnsi" w:hAnsiTheme="majorHAnsi" w:cstheme="majorHAnsi"/>
        </w:rPr>
        <w:t>,</w:t>
      </w:r>
      <w:r w:rsidRPr="00C64064">
        <w:rPr>
          <w:rFonts w:asciiTheme="majorHAnsi" w:hAnsiTheme="majorHAnsi" w:cstheme="majorHAnsi"/>
        </w:rPr>
        <w:t xml:space="preserve"> the climate agenda, gender equality, disability and social inclusion, locally</w:t>
      </w:r>
      <w:r w:rsidR="7BEB8D29" w:rsidRPr="00C64064">
        <w:rPr>
          <w:rFonts w:asciiTheme="majorHAnsi" w:hAnsiTheme="majorHAnsi" w:cstheme="majorHAnsi"/>
        </w:rPr>
        <w:t>-</w:t>
      </w:r>
      <w:r w:rsidRPr="00C64064">
        <w:rPr>
          <w:rFonts w:asciiTheme="majorHAnsi" w:hAnsiTheme="majorHAnsi" w:cstheme="majorHAnsi"/>
        </w:rPr>
        <w:t>led development</w:t>
      </w:r>
      <w:r w:rsidR="51B395FE" w:rsidRPr="00C64064">
        <w:rPr>
          <w:rFonts w:asciiTheme="majorHAnsi" w:hAnsiTheme="majorHAnsi" w:cstheme="majorHAnsi"/>
        </w:rPr>
        <w:t>,</w:t>
      </w:r>
      <w:r w:rsidRPr="00C64064">
        <w:rPr>
          <w:rFonts w:asciiTheme="majorHAnsi" w:hAnsiTheme="majorHAnsi" w:cstheme="majorHAnsi"/>
        </w:rPr>
        <w:t xml:space="preserve"> and community resilience. </w:t>
      </w:r>
    </w:p>
    <w:p w14:paraId="340A635A" w14:textId="7B10623D" w:rsidR="00A028C7" w:rsidRPr="00C64064" w:rsidRDefault="00AC535B" w:rsidP="0045601F">
      <w:pPr>
        <w:spacing w:line="276" w:lineRule="auto"/>
        <w:jc w:val="both"/>
        <w:rPr>
          <w:rFonts w:asciiTheme="majorHAnsi" w:hAnsiTheme="majorHAnsi" w:cstheme="majorHAnsi"/>
        </w:rPr>
      </w:pPr>
      <w:r w:rsidRPr="00C64064">
        <w:rPr>
          <w:rFonts w:asciiTheme="majorHAnsi" w:hAnsiTheme="majorHAnsi" w:cstheme="majorHAnsi"/>
        </w:rPr>
        <w:t xml:space="preserve">PRISMA aligns strongly with </w:t>
      </w:r>
      <w:r w:rsidR="00976A63" w:rsidRPr="00C64064">
        <w:rPr>
          <w:rFonts w:asciiTheme="majorHAnsi" w:hAnsiTheme="majorHAnsi" w:cstheme="majorHAnsi"/>
        </w:rPr>
        <w:t>many</w:t>
      </w:r>
      <w:r w:rsidRPr="00C64064">
        <w:rPr>
          <w:rFonts w:asciiTheme="majorHAnsi" w:hAnsiTheme="majorHAnsi" w:cstheme="majorHAnsi"/>
        </w:rPr>
        <w:t xml:space="preserve"> aspects of DFAT’s International Development Policy. </w:t>
      </w:r>
    </w:p>
    <w:tbl>
      <w:tblPr>
        <w:tblStyle w:val="PlainTable2"/>
        <w:tblW w:w="9765" w:type="dxa"/>
        <w:tblCellMar>
          <w:top w:w="108" w:type="dxa"/>
          <w:bottom w:w="108" w:type="dxa"/>
        </w:tblCellMar>
        <w:tblLook w:val="04A0" w:firstRow="1" w:lastRow="0" w:firstColumn="1" w:lastColumn="0" w:noHBand="0" w:noVBand="1"/>
      </w:tblPr>
      <w:tblGrid>
        <w:gridCol w:w="2190"/>
        <w:gridCol w:w="7575"/>
      </w:tblGrid>
      <w:tr w:rsidR="00634E60" w:rsidRPr="00C64064" w14:paraId="557DD0D8" w14:textId="77777777" w:rsidTr="003B7D78">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190" w:type="dxa"/>
            <w:shd w:val="clear" w:color="auto" w:fill="252D65"/>
            <w:vAlign w:val="center"/>
          </w:tcPr>
          <w:p w14:paraId="3803723F" w14:textId="6A1A20BD" w:rsidR="00A028C7" w:rsidRPr="00C64064" w:rsidRDefault="008639AC" w:rsidP="00F750D8">
            <w:pPr>
              <w:spacing w:line="276" w:lineRule="auto"/>
              <w:jc w:val="center"/>
              <w:rPr>
                <w:rFonts w:asciiTheme="majorHAnsi" w:hAnsiTheme="majorHAnsi" w:cstheme="majorHAnsi"/>
              </w:rPr>
            </w:pPr>
            <w:r w:rsidRPr="00C64064">
              <w:rPr>
                <w:rFonts w:asciiTheme="majorHAnsi" w:hAnsiTheme="majorHAnsi" w:cstheme="majorHAnsi"/>
              </w:rPr>
              <w:lastRenderedPageBreak/>
              <w:t>DFAT policy aim</w:t>
            </w:r>
          </w:p>
        </w:tc>
        <w:tc>
          <w:tcPr>
            <w:tcW w:w="7575" w:type="dxa"/>
            <w:shd w:val="clear" w:color="auto" w:fill="252D65"/>
            <w:vAlign w:val="center"/>
          </w:tcPr>
          <w:p w14:paraId="7742B745" w14:textId="06758756" w:rsidR="00A028C7" w:rsidRPr="00C64064" w:rsidRDefault="008639AC" w:rsidP="00F750D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FF0000"/>
              </w:rPr>
            </w:pPr>
            <w:r w:rsidRPr="005B70DA">
              <w:rPr>
                <w:rFonts w:asciiTheme="majorHAnsi" w:hAnsiTheme="majorHAnsi" w:cstheme="majorHAnsi"/>
                <w:color w:val="FFFFFF" w:themeColor="background2"/>
              </w:rPr>
              <w:t xml:space="preserve">How PRISMA aligns with DFAT policy </w:t>
            </w:r>
            <w:r w:rsidR="15D087FA" w:rsidRPr="005B70DA">
              <w:rPr>
                <w:rFonts w:asciiTheme="majorHAnsi" w:hAnsiTheme="majorHAnsi" w:cstheme="majorHAnsi"/>
                <w:color w:val="FFFFFF" w:themeColor="background2"/>
              </w:rPr>
              <w:t>aim</w:t>
            </w:r>
            <w:r w:rsidR="4C723994" w:rsidRPr="005B70DA">
              <w:rPr>
                <w:rFonts w:asciiTheme="majorHAnsi" w:hAnsiTheme="majorHAnsi" w:cstheme="majorHAnsi"/>
                <w:color w:val="FFFFFF" w:themeColor="background2"/>
              </w:rPr>
              <w:t>s</w:t>
            </w:r>
          </w:p>
        </w:tc>
      </w:tr>
      <w:tr w:rsidR="00634E60" w:rsidRPr="00C64064" w14:paraId="1A1D4B19" w14:textId="77777777" w:rsidTr="003B7D78">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2190" w:type="dxa"/>
          </w:tcPr>
          <w:p w14:paraId="56C1D532" w14:textId="07B9056B" w:rsidR="00A028C7" w:rsidRPr="00C64064" w:rsidRDefault="007A03B0" w:rsidP="0045601F">
            <w:pPr>
              <w:spacing w:before="120" w:after="240" w:line="276" w:lineRule="auto"/>
              <w:rPr>
                <w:rFonts w:asciiTheme="majorHAnsi" w:hAnsiTheme="majorHAnsi" w:cstheme="majorHAnsi"/>
              </w:rPr>
            </w:pPr>
            <w:r w:rsidRPr="00C64064">
              <w:rPr>
                <w:rFonts w:asciiTheme="majorHAnsi" w:hAnsiTheme="majorHAnsi" w:cstheme="majorHAnsi"/>
              </w:rPr>
              <w:t>S</w:t>
            </w:r>
            <w:r w:rsidR="006412F5" w:rsidRPr="00C64064">
              <w:rPr>
                <w:rFonts w:asciiTheme="majorHAnsi" w:hAnsiTheme="majorHAnsi" w:cstheme="majorHAnsi"/>
              </w:rPr>
              <w:t>ustainable development and poverty reduction</w:t>
            </w:r>
          </w:p>
        </w:tc>
        <w:tc>
          <w:tcPr>
            <w:tcW w:w="7575" w:type="dxa"/>
          </w:tcPr>
          <w:p w14:paraId="651CBA20" w14:textId="02DC186F" w:rsidR="00A028C7" w:rsidRPr="005B70DA" w:rsidRDefault="6C8477F2" w:rsidP="0045601F">
            <w:pPr>
              <w:spacing w:before="120" w:after="240"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5B70DA">
              <w:rPr>
                <w:rFonts w:asciiTheme="majorHAnsi" w:hAnsiTheme="majorHAnsi" w:cstheme="majorHAnsi"/>
              </w:rPr>
              <w:t xml:space="preserve">PRISMA aims to increase </w:t>
            </w:r>
            <w:r w:rsidR="69E5C2AE" w:rsidRPr="005B70DA">
              <w:rPr>
                <w:rFonts w:asciiTheme="majorHAnsi" w:hAnsiTheme="majorHAnsi" w:cstheme="majorHAnsi"/>
              </w:rPr>
              <w:t xml:space="preserve">the </w:t>
            </w:r>
            <w:r w:rsidRPr="005B70DA">
              <w:rPr>
                <w:rFonts w:asciiTheme="majorHAnsi" w:hAnsiTheme="majorHAnsi" w:cstheme="majorHAnsi"/>
              </w:rPr>
              <w:t xml:space="preserve">productivity and incomes </w:t>
            </w:r>
            <w:r w:rsidR="0F2B7EDB" w:rsidRPr="005B70DA">
              <w:rPr>
                <w:rFonts w:asciiTheme="majorHAnsi" w:hAnsiTheme="majorHAnsi" w:cstheme="majorHAnsi"/>
              </w:rPr>
              <w:t>o</w:t>
            </w:r>
            <w:r w:rsidR="54902DB6" w:rsidRPr="005B70DA">
              <w:rPr>
                <w:rFonts w:asciiTheme="majorHAnsi" w:hAnsiTheme="majorHAnsi" w:cstheme="majorHAnsi"/>
              </w:rPr>
              <w:t>f</w:t>
            </w:r>
            <w:r w:rsidRPr="005B70DA">
              <w:rPr>
                <w:rFonts w:asciiTheme="majorHAnsi" w:hAnsiTheme="majorHAnsi" w:cstheme="majorHAnsi"/>
              </w:rPr>
              <w:t xml:space="preserve"> smallholder farmers, the majority of whom live below the poverty line</w:t>
            </w:r>
            <w:r w:rsidR="3A9B46D4" w:rsidRPr="005B70DA">
              <w:rPr>
                <w:rFonts w:asciiTheme="majorHAnsi" w:hAnsiTheme="majorHAnsi" w:cstheme="majorHAnsi"/>
              </w:rPr>
              <w:t xml:space="preserve">. As of </w:t>
            </w:r>
            <w:r w:rsidR="002C5533" w:rsidRPr="005B70DA">
              <w:rPr>
                <w:rFonts w:asciiTheme="majorHAnsi" w:hAnsiTheme="majorHAnsi" w:cstheme="majorHAnsi"/>
              </w:rPr>
              <w:t>June</w:t>
            </w:r>
            <w:r w:rsidR="3A9B46D4" w:rsidRPr="005B70DA">
              <w:rPr>
                <w:rFonts w:asciiTheme="majorHAnsi" w:hAnsiTheme="majorHAnsi" w:cstheme="majorHAnsi"/>
              </w:rPr>
              <w:t xml:space="preserve"> 202</w:t>
            </w:r>
            <w:r w:rsidR="002C5533" w:rsidRPr="005B70DA">
              <w:rPr>
                <w:rFonts w:asciiTheme="majorHAnsi" w:hAnsiTheme="majorHAnsi" w:cstheme="majorHAnsi"/>
              </w:rPr>
              <w:t>4</w:t>
            </w:r>
            <w:r w:rsidR="3A9B46D4" w:rsidRPr="005B70DA">
              <w:rPr>
                <w:rFonts w:asciiTheme="majorHAnsi" w:hAnsiTheme="majorHAnsi" w:cstheme="majorHAnsi"/>
              </w:rPr>
              <w:t xml:space="preserve">, </w:t>
            </w:r>
            <w:r w:rsidR="003C4AB1" w:rsidRPr="005B70DA">
              <w:rPr>
                <w:rFonts w:asciiTheme="majorHAnsi" w:hAnsiTheme="majorHAnsi" w:cstheme="majorHAnsi"/>
              </w:rPr>
              <w:t xml:space="preserve">61.9% </w:t>
            </w:r>
            <w:r w:rsidR="002839D0" w:rsidRPr="005B70DA">
              <w:rPr>
                <w:rFonts w:asciiTheme="majorHAnsi" w:hAnsiTheme="majorHAnsi" w:cstheme="majorHAnsi"/>
              </w:rPr>
              <w:t xml:space="preserve">% </w:t>
            </w:r>
            <w:r w:rsidR="3A9B46D4" w:rsidRPr="005B70DA">
              <w:rPr>
                <w:rFonts w:asciiTheme="majorHAnsi" w:hAnsiTheme="majorHAnsi" w:cstheme="majorHAnsi"/>
              </w:rPr>
              <w:t xml:space="preserve">of smallholder farming households reached by PRISMA </w:t>
            </w:r>
            <w:r w:rsidR="375D43AD" w:rsidRPr="005B70DA">
              <w:rPr>
                <w:rFonts w:asciiTheme="majorHAnsi" w:hAnsiTheme="majorHAnsi" w:cstheme="majorHAnsi"/>
              </w:rPr>
              <w:t>we</w:t>
            </w:r>
            <w:r w:rsidR="55620642" w:rsidRPr="005B70DA">
              <w:rPr>
                <w:rFonts w:asciiTheme="majorHAnsi" w:hAnsiTheme="majorHAnsi" w:cstheme="majorHAnsi"/>
              </w:rPr>
              <w:t>re</w:t>
            </w:r>
            <w:r w:rsidR="3A9B46D4" w:rsidRPr="005B70DA">
              <w:rPr>
                <w:rFonts w:asciiTheme="majorHAnsi" w:hAnsiTheme="majorHAnsi" w:cstheme="majorHAnsi"/>
              </w:rPr>
              <w:t xml:space="preserve"> under the </w:t>
            </w:r>
            <w:r w:rsidR="55620642" w:rsidRPr="005B70DA">
              <w:rPr>
                <w:rFonts w:asciiTheme="majorHAnsi" w:hAnsiTheme="majorHAnsi" w:cstheme="majorHAnsi"/>
              </w:rPr>
              <w:t>USD5</w:t>
            </w:r>
            <w:r w:rsidR="3A9B46D4" w:rsidRPr="005B70DA">
              <w:rPr>
                <w:rFonts w:asciiTheme="majorHAnsi" w:hAnsiTheme="majorHAnsi" w:cstheme="majorHAnsi"/>
              </w:rPr>
              <w:t>.50 PPP poverty line</w:t>
            </w:r>
            <w:r w:rsidR="2C00BFE7" w:rsidRPr="005B70DA">
              <w:rPr>
                <w:rFonts w:asciiTheme="majorHAnsi" w:hAnsiTheme="majorHAnsi" w:cstheme="majorHAnsi"/>
              </w:rPr>
              <w:t>,</w:t>
            </w:r>
            <w:r w:rsidR="3A9B46D4" w:rsidRPr="005B70DA">
              <w:rPr>
                <w:rFonts w:asciiTheme="majorHAnsi" w:hAnsiTheme="majorHAnsi" w:cstheme="majorHAnsi"/>
              </w:rPr>
              <w:t xml:space="preserve"> and </w:t>
            </w:r>
            <w:r w:rsidR="003C4AB1" w:rsidRPr="005B70DA">
              <w:rPr>
                <w:rFonts w:asciiTheme="majorHAnsi" w:hAnsiTheme="majorHAnsi" w:cstheme="majorHAnsi"/>
              </w:rPr>
              <w:t>36.7%</w:t>
            </w:r>
            <w:r w:rsidR="002839D0" w:rsidRPr="005B70DA">
              <w:rPr>
                <w:rFonts w:asciiTheme="majorHAnsi" w:hAnsiTheme="majorHAnsi" w:cstheme="majorHAnsi"/>
              </w:rPr>
              <w:t xml:space="preserve"> </w:t>
            </w:r>
            <w:r w:rsidR="357F3885" w:rsidRPr="005B70DA">
              <w:rPr>
                <w:rFonts w:asciiTheme="majorHAnsi" w:hAnsiTheme="majorHAnsi" w:cstheme="majorHAnsi"/>
              </w:rPr>
              <w:t xml:space="preserve">were </w:t>
            </w:r>
            <w:r w:rsidR="3A9B46D4" w:rsidRPr="005B70DA">
              <w:rPr>
                <w:rFonts w:asciiTheme="majorHAnsi" w:hAnsiTheme="majorHAnsi" w:cstheme="majorHAnsi"/>
              </w:rPr>
              <w:t>fac</w:t>
            </w:r>
            <w:r w:rsidR="1045F8E3" w:rsidRPr="005B70DA">
              <w:rPr>
                <w:rFonts w:asciiTheme="majorHAnsi" w:hAnsiTheme="majorHAnsi" w:cstheme="majorHAnsi"/>
              </w:rPr>
              <w:t>ing</w:t>
            </w:r>
            <w:r w:rsidR="3A9B46D4" w:rsidRPr="005B70DA">
              <w:rPr>
                <w:rFonts w:asciiTheme="majorHAnsi" w:hAnsiTheme="majorHAnsi" w:cstheme="majorHAnsi"/>
              </w:rPr>
              <w:t xml:space="preserve"> extreme poverty with less than </w:t>
            </w:r>
            <w:r w:rsidR="55620642" w:rsidRPr="005B70DA">
              <w:rPr>
                <w:rFonts w:asciiTheme="majorHAnsi" w:hAnsiTheme="majorHAnsi" w:cstheme="majorHAnsi"/>
              </w:rPr>
              <w:t>USD2</w:t>
            </w:r>
            <w:r w:rsidR="3A9B46D4" w:rsidRPr="005B70DA">
              <w:rPr>
                <w:rFonts w:asciiTheme="majorHAnsi" w:hAnsiTheme="majorHAnsi" w:cstheme="majorHAnsi"/>
              </w:rPr>
              <w:t>.50 PPP per day.</w:t>
            </w:r>
          </w:p>
        </w:tc>
      </w:tr>
      <w:tr w:rsidR="00634E60" w:rsidRPr="00C64064" w14:paraId="57435E1F" w14:textId="77777777" w:rsidTr="003B7D78">
        <w:trPr>
          <w:trHeight w:val="432"/>
        </w:trPr>
        <w:tc>
          <w:tcPr>
            <w:cnfStyle w:val="001000000000" w:firstRow="0" w:lastRow="0" w:firstColumn="1" w:lastColumn="0" w:oddVBand="0" w:evenVBand="0" w:oddHBand="0" w:evenHBand="0" w:firstRowFirstColumn="0" w:firstRowLastColumn="0" w:lastRowFirstColumn="0" w:lastRowLastColumn="0"/>
            <w:tcW w:w="2190" w:type="dxa"/>
          </w:tcPr>
          <w:p w14:paraId="70D6C004" w14:textId="53AB9077" w:rsidR="00A028C7" w:rsidRPr="00C64064" w:rsidRDefault="007A03B0" w:rsidP="0045601F">
            <w:pPr>
              <w:spacing w:before="120" w:after="240" w:line="276" w:lineRule="auto"/>
              <w:rPr>
                <w:rFonts w:asciiTheme="majorHAnsi" w:hAnsiTheme="majorHAnsi" w:cstheme="majorHAnsi"/>
              </w:rPr>
            </w:pPr>
            <w:r w:rsidRPr="00C64064">
              <w:rPr>
                <w:rFonts w:asciiTheme="majorHAnsi" w:hAnsiTheme="majorHAnsi" w:cstheme="majorHAnsi"/>
              </w:rPr>
              <w:t>Climate change</w:t>
            </w:r>
          </w:p>
        </w:tc>
        <w:tc>
          <w:tcPr>
            <w:tcW w:w="7575" w:type="dxa"/>
          </w:tcPr>
          <w:p w14:paraId="799153A8" w14:textId="7C41C52B" w:rsidR="00A028C7" w:rsidRPr="005B70DA" w:rsidRDefault="00610E5C" w:rsidP="0045601F">
            <w:pPr>
              <w:spacing w:before="120" w:after="240"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B70DA">
              <w:rPr>
                <w:rFonts w:asciiTheme="majorHAnsi" w:hAnsiTheme="majorHAnsi" w:cstheme="majorHAnsi"/>
              </w:rPr>
              <w:t>PRISMA supports private investment in climate-smart technologies, practices, and business models, supporting emission reductions and adaptation</w:t>
            </w:r>
            <w:r w:rsidR="4D8B89A4" w:rsidRPr="0016288D">
              <w:rPr>
                <w:rFonts w:asciiTheme="majorHAnsi" w:hAnsiTheme="majorHAnsi" w:cstheme="majorHAnsi"/>
              </w:rPr>
              <w:t>.</w:t>
            </w:r>
            <w:r w:rsidRPr="0016288D">
              <w:rPr>
                <w:rStyle w:val="FootnoteReference"/>
                <w:rFonts w:asciiTheme="majorHAnsi" w:hAnsiTheme="majorHAnsi" w:cstheme="majorHAnsi"/>
              </w:rPr>
              <w:footnoteReference w:id="10"/>
            </w:r>
            <w:r w:rsidRPr="0016288D">
              <w:rPr>
                <w:rFonts w:asciiTheme="majorHAnsi" w:hAnsiTheme="majorHAnsi" w:cstheme="majorHAnsi"/>
              </w:rPr>
              <w:t xml:space="preserve"> </w:t>
            </w:r>
          </w:p>
        </w:tc>
      </w:tr>
      <w:tr w:rsidR="00634E60" w:rsidRPr="00C64064" w14:paraId="0360856F" w14:textId="77777777" w:rsidTr="003B7D78">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190" w:type="dxa"/>
          </w:tcPr>
          <w:p w14:paraId="4E7EC279" w14:textId="165E262F" w:rsidR="00A028C7" w:rsidRPr="00C64064" w:rsidRDefault="008639AC" w:rsidP="0045601F">
            <w:pPr>
              <w:spacing w:before="120" w:after="240" w:line="276" w:lineRule="auto"/>
              <w:rPr>
                <w:rFonts w:asciiTheme="majorHAnsi" w:hAnsiTheme="majorHAnsi" w:cstheme="majorHAnsi"/>
              </w:rPr>
            </w:pPr>
            <w:r w:rsidRPr="00C64064">
              <w:rPr>
                <w:rFonts w:asciiTheme="majorHAnsi" w:hAnsiTheme="majorHAnsi" w:cstheme="majorHAnsi"/>
              </w:rPr>
              <w:t>G</w:t>
            </w:r>
            <w:r w:rsidR="007A03B0" w:rsidRPr="00C64064">
              <w:rPr>
                <w:rFonts w:asciiTheme="majorHAnsi" w:hAnsiTheme="majorHAnsi" w:cstheme="majorHAnsi"/>
              </w:rPr>
              <w:t>ender equality, disability and social inclusion</w:t>
            </w:r>
          </w:p>
        </w:tc>
        <w:tc>
          <w:tcPr>
            <w:tcW w:w="7575" w:type="dxa"/>
          </w:tcPr>
          <w:p w14:paraId="6FF7756B" w14:textId="2C4A9F4C" w:rsidR="00C60BB9" w:rsidRPr="005B70DA" w:rsidRDefault="000F5416" w:rsidP="0045601F">
            <w:pPr>
              <w:spacing w:before="120" w:after="240"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5B70DA">
              <w:rPr>
                <w:rFonts w:asciiTheme="majorHAnsi" w:hAnsiTheme="majorHAnsi" w:cstheme="majorHAnsi"/>
              </w:rPr>
              <w:t>PRISMA supports sustainable and inclusive businesses t</w:t>
            </w:r>
            <w:r w:rsidR="00523F4C" w:rsidRPr="005B70DA">
              <w:rPr>
                <w:rFonts w:asciiTheme="majorHAnsi" w:hAnsiTheme="majorHAnsi" w:cstheme="majorHAnsi"/>
              </w:rPr>
              <w:t>hat</w:t>
            </w:r>
            <w:r w:rsidRPr="005B70DA">
              <w:rPr>
                <w:rFonts w:asciiTheme="majorHAnsi" w:hAnsiTheme="majorHAnsi" w:cstheme="majorHAnsi"/>
              </w:rPr>
              <w:t xml:space="preserve"> increase </w:t>
            </w:r>
            <w:r w:rsidR="00523F4C" w:rsidRPr="005B70DA">
              <w:rPr>
                <w:rFonts w:asciiTheme="majorHAnsi" w:hAnsiTheme="majorHAnsi" w:cstheme="majorHAnsi"/>
              </w:rPr>
              <w:t xml:space="preserve">the </w:t>
            </w:r>
            <w:r w:rsidRPr="005B70DA">
              <w:rPr>
                <w:rFonts w:asciiTheme="majorHAnsi" w:hAnsiTheme="majorHAnsi" w:cstheme="majorHAnsi"/>
              </w:rPr>
              <w:t xml:space="preserve">productivity </w:t>
            </w:r>
            <w:r w:rsidR="002D465F" w:rsidRPr="005B70DA">
              <w:rPr>
                <w:rFonts w:asciiTheme="majorHAnsi" w:hAnsiTheme="majorHAnsi" w:cstheme="majorHAnsi"/>
              </w:rPr>
              <w:t>of</w:t>
            </w:r>
            <w:r w:rsidRPr="005B70DA">
              <w:rPr>
                <w:rFonts w:asciiTheme="majorHAnsi" w:hAnsiTheme="majorHAnsi" w:cstheme="majorHAnsi"/>
              </w:rPr>
              <w:t xml:space="preserve"> marginalised smallholder farmers by improving agricultural productivity.</w:t>
            </w:r>
            <w:r w:rsidR="00C60BB9" w:rsidRPr="005B70DA">
              <w:rPr>
                <w:rFonts w:asciiTheme="majorHAnsi" w:hAnsiTheme="majorHAnsi" w:cstheme="majorHAnsi"/>
              </w:rPr>
              <w:t xml:space="preserve"> PRISMA</w:t>
            </w:r>
            <w:r w:rsidR="00C17D94" w:rsidRPr="005B70DA">
              <w:rPr>
                <w:rFonts w:asciiTheme="majorHAnsi" w:hAnsiTheme="majorHAnsi" w:cstheme="majorHAnsi"/>
              </w:rPr>
              <w:t>’s</w:t>
            </w:r>
            <w:r w:rsidR="00C60BB9" w:rsidRPr="005B70DA">
              <w:rPr>
                <w:rFonts w:asciiTheme="majorHAnsi" w:hAnsiTheme="majorHAnsi" w:cstheme="majorHAnsi"/>
              </w:rPr>
              <w:t xml:space="preserve"> partners target</w:t>
            </w:r>
            <w:r w:rsidR="002B6CA6" w:rsidRPr="005B70DA">
              <w:rPr>
                <w:rFonts w:asciiTheme="majorHAnsi" w:hAnsiTheme="majorHAnsi" w:cstheme="majorHAnsi"/>
              </w:rPr>
              <w:t xml:space="preserve"> marginalised</w:t>
            </w:r>
            <w:r w:rsidR="00C60BB9" w:rsidRPr="005B70DA">
              <w:rPr>
                <w:rFonts w:asciiTheme="majorHAnsi" w:hAnsiTheme="majorHAnsi" w:cstheme="majorHAnsi"/>
              </w:rPr>
              <w:t xml:space="preserve"> farmers in marketing, outreach</w:t>
            </w:r>
            <w:r w:rsidR="25661CBC" w:rsidRPr="005B70DA">
              <w:rPr>
                <w:rFonts w:asciiTheme="majorHAnsi" w:hAnsiTheme="majorHAnsi" w:cstheme="majorHAnsi"/>
              </w:rPr>
              <w:t>,</w:t>
            </w:r>
            <w:r w:rsidR="00C60BB9" w:rsidRPr="005B70DA">
              <w:rPr>
                <w:rFonts w:asciiTheme="majorHAnsi" w:hAnsiTheme="majorHAnsi" w:cstheme="majorHAnsi"/>
              </w:rPr>
              <w:t xml:space="preserve"> and training and hold inclusive training for staff</w:t>
            </w:r>
            <w:r w:rsidR="002B6CA6" w:rsidRPr="005B70DA">
              <w:rPr>
                <w:rFonts w:asciiTheme="majorHAnsi" w:hAnsiTheme="majorHAnsi" w:cstheme="majorHAnsi"/>
              </w:rPr>
              <w:t xml:space="preserve"> </w:t>
            </w:r>
            <w:r w:rsidR="008219FB" w:rsidRPr="005B70DA">
              <w:rPr>
                <w:rFonts w:asciiTheme="majorHAnsi" w:hAnsiTheme="majorHAnsi" w:cstheme="majorHAnsi"/>
              </w:rPr>
              <w:t xml:space="preserve">to </w:t>
            </w:r>
            <w:r w:rsidR="002B6CA6" w:rsidRPr="005B70DA">
              <w:rPr>
                <w:rFonts w:asciiTheme="majorHAnsi" w:hAnsiTheme="majorHAnsi" w:cstheme="majorHAnsi"/>
              </w:rPr>
              <w:t>increas</w:t>
            </w:r>
            <w:r w:rsidR="008219FB" w:rsidRPr="005B70DA">
              <w:rPr>
                <w:rFonts w:asciiTheme="majorHAnsi" w:hAnsiTheme="majorHAnsi" w:cstheme="majorHAnsi"/>
              </w:rPr>
              <w:t>e</w:t>
            </w:r>
            <w:r w:rsidR="002B6CA6" w:rsidRPr="005B70DA">
              <w:rPr>
                <w:rFonts w:asciiTheme="majorHAnsi" w:hAnsiTheme="majorHAnsi" w:cstheme="majorHAnsi"/>
              </w:rPr>
              <w:t xml:space="preserve"> incomes and </w:t>
            </w:r>
            <w:r w:rsidR="008219FB" w:rsidRPr="005B70DA">
              <w:rPr>
                <w:rFonts w:asciiTheme="majorHAnsi" w:hAnsiTheme="majorHAnsi" w:cstheme="majorHAnsi"/>
              </w:rPr>
              <w:t>well-being</w:t>
            </w:r>
            <w:r w:rsidR="00C60BB9" w:rsidRPr="005B70DA">
              <w:rPr>
                <w:rFonts w:asciiTheme="majorHAnsi" w:hAnsiTheme="majorHAnsi" w:cstheme="majorHAnsi"/>
              </w:rPr>
              <w:t xml:space="preserve">. </w:t>
            </w:r>
          </w:p>
        </w:tc>
      </w:tr>
      <w:tr w:rsidR="00634E60" w:rsidRPr="00C64064" w14:paraId="2662C34B" w14:textId="77777777" w:rsidTr="003B7D78">
        <w:trPr>
          <w:trHeight w:val="576"/>
        </w:trPr>
        <w:tc>
          <w:tcPr>
            <w:cnfStyle w:val="001000000000" w:firstRow="0" w:lastRow="0" w:firstColumn="1" w:lastColumn="0" w:oddVBand="0" w:evenVBand="0" w:oddHBand="0" w:evenHBand="0" w:firstRowFirstColumn="0" w:firstRowLastColumn="0" w:lastRowFirstColumn="0" w:lastRowLastColumn="0"/>
            <w:tcW w:w="2190" w:type="dxa"/>
          </w:tcPr>
          <w:p w14:paraId="28EB94AB" w14:textId="1E1C7A04" w:rsidR="00A028C7" w:rsidRPr="00C64064" w:rsidRDefault="57DB1B18" w:rsidP="0045601F">
            <w:pPr>
              <w:spacing w:before="120" w:after="240" w:line="276" w:lineRule="auto"/>
              <w:rPr>
                <w:rFonts w:asciiTheme="majorHAnsi" w:hAnsiTheme="majorHAnsi" w:cstheme="majorHAnsi"/>
              </w:rPr>
            </w:pPr>
            <w:r w:rsidRPr="00C64064">
              <w:rPr>
                <w:rFonts w:asciiTheme="majorHAnsi" w:hAnsiTheme="majorHAnsi" w:cstheme="majorHAnsi"/>
              </w:rPr>
              <w:t>Locally</w:t>
            </w:r>
            <w:r w:rsidR="6A9154E1" w:rsidRPr="00C64064">
              <w:rPr>
                <w:rFonts w:asciiTheme="majorHAnsi" w:hAnsiTheme="majorHAnsi" w:cstheme="majorHAnsi"/>
              </w:rPr>
              <w:t>-</w:t>
            </w:r>
            <w:r w:rsidRPr="00C64064">
              <w:rPr>
                <w:rFonts w:asciiTheme="majorHAnsi" w:hAnsiTheme="majorHAnsi" w:cstheme="majorHAnsi"/>
              </w:rPr>
              <w:t>led development</w:t>
            </w:r>
          </w:p>
        </w:tc>
        <w:tc>
          <w:tcPr>
            <w:tcW w:w="7575" w:type="dxa"/>
          </w:tcPr>
          <w:p w14:paraId="70B33770" w14:textId="7C11E6A6" w:rsidR="00A028C7" w:rsidRPr="005B70DA" w:rsidRDefault="57DB1B18" w:rsidP="0045601F">
            <w:pPr>
              <w:spacing w:before="120" w:after="240"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B70DA">
              <w:rPr>
                <w:rFonts w:asciiTheme="majorHAnsi" w:hAnsiTheme="majorHAnsi" w:cstheme="majorHAnsi"/>
              </w:rPr>
              <w:t>To support locally</w:t>
            </w:r>
            <w:r w:rsidR="42C21A2F" w:rsidRPr="005B70DA">
              <w:rPr>
                <w:rFonts w:asciiTheme="majorHAnsi" w:hAnsiTheme="majorHAnsi" w:cstheme="majorHAnsi"/>
              </w:rPr>
              <w:t>-</w:t>
            </w:r>
            <w:r w:rsidRPr="005B70DA">
              <w:rPr>
                <w:rFonts w:asciiTheme="majorHAnsi" w:hAnsiTheme="majorHAnsi" w:cstheme="majorHAnsi"/>
              </w:rPr>
              <w:t xml:space="preserve">led development, PRISMA has co-created and co-financed </w:t>
            </w:r>
            <w:r w:rsidR="00830636" w:rsidRPr="005B70DA">
              <w:rPr>
                <w:rFonts w:asciiTheme="majorHAnsi" w:hAnsiTheme="majorHAnsi" w:cstheme="majorHAnsi"/>
              </w:rPr>
              <w:t xml:space="preserve">396 </w:t>
            </w:r>
            <w:r w:rsidRPr="005B70DA">
              <w:rPr>
                <w:rFonts w:asciiTheme="majorHAnsi" w:hAnsiTheme="majorHAnsi" w:cstheme="majorHAnsi"/>
              </w:rPr>
              <w:t xml:space="preserve">interventions with </w:t>
            </w:r>
            <w:r w:rsidR="00830636" w:rsidRPr="005B70DA">
              <w:rPr>
                <w:rFonts w:asciiTheme="majorHAnsi" w:hAnsiTheme="majorHAnsi" w:cstheme="majorHAnsi"/>
              </w:rPr>
              <w:t xml:space="preserve">273 </w:t>
            </w:r>
            <w:r w:rsidRPr="005B70DA">
              <w:rPr>
                <w:rFonts w:asciiTheme="majorHAnsi" w:hAnsiTheme="majorHAnsi" w:cstheme="majorHAnsi"/>
              </w:rPr>
              <w:t xml:space="preserve">organisations, </w:t>
            </w:r>
            <w:r w:rsidR="00830636" w:rsidRPr="005B70DA">
              <w:rPr>
                <w:rFonts w:asciiTheme="majorHAnsi" w:hAnsiTheme="majorHAnsi" w:cstheme="majorHAnsi"/>
              </w:rPr>
              <w:t xml:space="preserve">93 </w:t>
            </w:r>
            <w:r w:rsidR="002839D0" w:rsidRPr="005B70DA">
              <w:rPr>
                <w:rFonts w:asciiTheme="majorHAnsi" w:hAnsiTheme="majorHAnsi" w:cstheme="majorHAnsi"/>
              </w:rPr>
              <w:t xml:space="preserve">% </w:t>
            </w:r>
            <w:r w:rsidRPr="005B70DA">
              <w:rPr>
                <w:rFonts w:asciiTheme="majorHAnsi" w:hAnsiTheme="majorHAnsi" w:cstheme="majorHAnsi"/>
              </w:rPr>
              <w:t>of which are local. PRISMA</w:t>
            </w:r>
            <w:r w:rsidR="734AE1DD" w:rsidRPr="005B70DA">
              <w:rPr>
                <w:rFonts w:asciiTheme="majorHAnsi" w:hAnsiTheme="majorHAnsi" w:cstheme="majorHAnsi"/>
              </w:rPr>
              <w:t xml:space="preserve"> </w:t>
            </w:r>
            <w:r w:rsidR="2263FFAF" w:rsidRPr="005B70DA">
              <w:rPr>
                <w:rFonts w:asciiTheme="majorHAnsi" w:hAnsiTheme="majorHAnsi" w:cstheme="majorHAnsi"/>
              </w:rPr>
              <w:t>has</w:t>
            </w:r>
            <w:r w:rsidRPr="005B70DA">
              <w:rPr>
                <w:rFonts w:asciiTheme="majorHAnsi" w:hAnsiTheme="majorHAnsi" w:cstheme="majorHAnsi"/>
              </w:rPr>
              <w:t xml:space="preserve"> provided technical and financial support to these local entities (private companies, local governments, associations, universities, etc.) to implement interventions.</w:t>
            </w:r>
          </w:p>
        </w:tc>
      </w:tr>
      <w:tr w:rsidR="00634E60" w:rsidRPr="00C64064" w14:paraId="37F51753" w14:textId="77777777" w:rsidTr="003B7D78">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2190" w:type="dxa"/>
          </w:tcPr>
          <w:p w14:paraId="35EAD49C" w14:textId="769F2104" w:rsidR="00A028C7" w:rsidRPr="00C64064" w:rsidRDefault="007C3A8D" w:rsidP="0045601F">
            <w:pPr>
              <w:spacing w:line="276" w:lineRule="auto"/>
              <w:rPr>
                <w:rFonts w:asciiTheme="majorHAnsi" w:hAnsiTheme="majorHAnsi" w:cstheme="majorHAnsi"/>
              </w:rPr>
            </w:pPr>
            <w:r w:rsidRPr="00C64064">
              <w:rPr>
                <w:rFonts w:asciiTheme="majorHAnsi" w:hAnsiTheme="majorHAnsi" w:cstheme="majorHAnsi"/>
              </w:rPr>
              <w:t>Community resilience</w:t>
            </w:r>
          </w:p>
        </w:tc>
        <w:tc>
          <w:tcPr>
            <w:tcW w:w="7575" w:type="dxa"/>
          </w:tcPr>
          <w:p w14:paraId="0CEB3FA3" w14:textId="6FBE50F9" w:rsidR="00A028C7" w:rsidRPr="00C64064" w:rsidRDefault="57DB1B18" w:rsidP="0045601F">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C64064">
              <w:rPr>
                <w:rFonts w:asciiTheme="majorHAnsi" w:hAnsiTheme="majorHAnsi" w:cstheme="majorHAnsi"/>
              </w:rPr>
              <w:t>PRISMA works with the private sector to build smallholder farmers</w:t>
            </w:r>
            <w:r w:rsidR="0E9F9F07" w:rsidRPr="00C64064">
              <w:rPr>
                <w:rFonts w:asciiTheme="majorHAnsi" w:hAnsiTheme="majorHAnsi" w:cstheme="majorHAnsi"/>
              </w:rPr>
              <w:t>’</w:t>
            </w:r>
            <w:r w:rsidRPr="00C64064">
              <w:rPr>
                <w:rFonts w:asciiTheme="majorHAnsi" w:hAnsiTheme="majorHAnsi" w:cstheme="majorHAnsi"/>
              </w:rPr>
              <w:t xml:space="preserve"> resilience to market shocks by tackling the underlying causes of market failures, such as limited access to agricultural products and information.</w:t>
            </w:r>
          </w:p>
        </w:tc>
      </w:tr>
    </w:tbl>
    <w:p w14:paraId="7ADE3067" w14:textId="00724011" w:rsidR="00AC535B" w:rsidRPr="00C64064" w:rsidRDefault="00AC535B" w:rsidP="0045601F">
      <w:pPr>
        <w:spacing w:line="276" w:lineRule="auto"/>
        <w:rPr>
          <w:rFonts w:asciiTheme="majorHAnsi" w:hAnsiTheme="majorHAnsi" w:cstheme="majorHAnsi"/>
        </w:rPr>
      </w:pPr>
    </w:p>
    <w:p w14:paraId="3A1075B0" w14:textId="77777777" w:rsidR="003B7D78" w:rsidRPr="00C64064" w:rsidRDefault="003B7D78" w:rsidP="0045601F">
      <w:pPr>
        <w:spacing w:line="276" w:lineRule="auto"/>
        <w:rPr>
          <w:rFonts w:asciiTheme="majorHAnsi" w:hAnsiTheme="majorHAnsi" w:cstheme="majorHAnsi"/>
        </w:rPr>
      </w:pPr>
    </w:p>
    <w:p w14:paraId="38F3C64C" w14:textId="5392B895" w:rsidR="00AC535B" w:rsidRPr="00C64064" w:rsidRDefault="6029C2DB" w:rsidP="00C72B45">
      <w:pPr>
        <w:pStyle w:val="Head2"/>
        <w:rPr>
          <w:rStyle w:val="normaltextrun"/>
          <w:rFonts w:cstheme="majorHAnsi"/>
          <w:color w:val="auto"/>
        </w:rPr>
      </w:pPr>
      <w:bookmarkStart w:id="46" w:name="_Toc167702244"/>
      <w:bookmarkStart w:id="47" w:name="_Toc172823284"/>
      <w:bookmarkStart w:id="48" w:name="_Toc180155155"/>
      <w:r w:rsidRPr="00C64064">
        <w:rPr>
          <w:rFonts w:cstheme="majorHAnsi"/>
          <w:color w:val="auto"/>
        </w:rPr>
        <w:t xml:space="preserve">Relevance to </w:t>
      </w:r>
      <w:r w:rsidR="3A6E9E2F" w:rsidRPr="00C64064">
        <w:rPr>
          <w:rFonts w:cstheme="majorHAnsi"/>
          <w:color w:val="auto"/>
        </w:rPr>
        <w:t xml:space="preserve">the </w:t>
      </w:r>
      <w:r w:rsidRPr="00C64064">
        <w:rPr>
          <w:rFonts w:cstheme="majorHAnsi"/>
          <w:color w:val="auto"/>
        </w:rPr>
        <w:t>G</w:t>
      </w:r>
      <w:r w:rsidR="46E7A9A9" w:rsidRPr="00C64064">
        <w:rPr>
          <w:rFonts w:cstheme="majorHAnsi"/>
          <w:color w:val="auto"/>
        </w:rPr>
        <w:t xml:space="preserve">overnment </w:t>
      </w:r>
      <w:r w:rsidRPr="00C64064">
        <w:rPr>
          <w:rFonts w:cstheme="majorHAnsi"/>
          <w:color w:val="auto"/>
        </w:rPr>
        <w:t>o</w:t>
      </w:r>
      <w:r w:rsidR="46E7A9A9" w:rsidRPr="00C64064">
        <w:rPr>
          <w:rFonts w:cstheme="majorHAnsi"/>
          <w:color w:val="auto"/>
        </w:rPr>
        <w:t>f Indonesia</w:t>
      </w:r>
      <w:bookmarkEnd w:id="46"/>
      <w:bookmarkEnd w:id="47"/>
      <w:bookmarkEnd w:id="48"/>
      <w:r w:rsidRPr="00C64064">
        <w:rPr>
          <w:rStyle w:val="normaltextrun"/>
          <w:rFonts w:cstheme="majorHAnsi"/>
          <w:color w:val="auto"/>
        </w:rPr>
        <w:t xml:space="preserve"> </w:t>
      </w:r>
    </w:p>
    <w:p w14:paraId="7B0B1438" w14:textId="32D9828D" w:rsidR="00AC535B" w:rsidRPr="00C64064" w:rsidRDefault="6029C2DB" w:rsidP="0045601F">
      <w:pPr>
        <w:spacing w:line="276" w:lineRule="auto"/>
        <w:rPr>
          <w:rFonts w:asciiTheme="majorHAnsi" w:hAnsiTheme="majorHAnsi" w:cstheme="majorHAnsi"/>
        </w:rPr>
      </w:pPr>
      <w:r w:rsidRPr="00C64064">
        <w:rPr>
          <w:rFonts w:asciiTheme="majorHAnsi" w:hAnsiTheme="majorHAnsi" w:cstheme="majorHAnsi"/>
        </w:rPr>
        <w:t xml:space="preserve">Indonesia's National Long-Term Development Plan </w:t>
      </w:r>
      <w:r w:rsidR="37499FE8" w:rsidRPr="00C64064">
        <w:rPr>
          <w:rFonts w:asciiTheme="majorHAnsi" w:hAnsiTheme="majorHAnsi" w:cstheme="majorHAnsi"/>
        </w:rPr>
        <w:t xml:space="preserve">(RPJPN) </w:t>
      </w:r>
      <w:r w:rsidRPr="00C64064">
        <w:rPr>
          <w:rFonts w:asciiTheme="majorHAnsi" w:hAnsiTheme="majorHAnsi" w:cstheme="majorHAnsi"/>
        </w:rPr>
        <w:t xml:space="preserve">from 2005 to 2025 places rural development at the centre of addressing the interconnected issues of food security, fairness, and economic growth. </w:t>
      </w:r>
    </w:p>
    <w:p w14:paraId="7313948A" w14:textId="71C0DB75" w:rsidR="00AC535B" w:rsidRPr="00C64064" w:rsidRDefault="6029C2DB" w:rsidP="0045601F">
      <w:pPr>
        <w:spacing w:line="276" w:lineRule="auto"/>
        <w:rPr>
          <w:rFonts w:asciiTheme="majorHAnsi" w:hAnsiTheme="majorHAnsi" w:cstheme="majorHAnsi"/>
        </w:rPr>
      </w:pPr>
      <w:r w:rsidRPr="00C64064">
        <w:rPr>
          <w:rFonts w:asciiTheme="majorHAnsi" w:hAnsiTheme="majorHAnsi" w:cstheme="majorHAnsi"/>
        </w:rPr>
        <w:t xml:space="preserve">PRISMA’s </w:t>
      </w:r>
      <w:r w:rsidR="3E73F48B" w:rsidRPr="00C64064">
        <w:rPr>
          <w:rFonts w:asciiTheme="majorHAnsi" w:hAnsiTheme="majorHAnsi" w:cstheme="majorHAnsi"/>
        </w:rPr>
        <w:t>aim</w:t>
      </w:r>
      <w:r w:rsidRPr="00C64064">
        <w:rPr>
          <w:rFonts w:asciiTheme="majorHAnsi" w:hAnsiTheme="majorHAnsi" w:cstheme="majorHAnsi"/>
        </w:rPr>
        <w:t xml:space="preserve"> to improve agricultural productivity closely</w:t>
      </w:r>
      <w:r w:rsidR="22E3FDBA" w:rsidRPr="00C64064">
        <w:rPr>
          <w:rFonts w:asciiTheme="majorHAnsi" w:hAnsiTheme="majorHAnsi" w:cstheme="majorHAnsi"/>
        </w:rPr>
        <w:t xml:space="preserve"> aligns</w:t>
      </w:r>
      <w:r w:rsidRPr="00C64064">
        <w:rPr>
          <w:rFonts w:asciiTheme="majorHAnsi" w:hAnsiTheme="majorHAnsi" w:cstheme="majorHAnsi"/>
        </w:rPr>
        <w:t xml:space="preserve"> with these interconnected issues and the RPJPN’s goals. Transforming agriculture is central to economic growt</w:t>
      </w:r>
      <w:r w:rsidR="75306EF6" w:rsidRPr="00C64064">
        <w:rPr>
          <w:rFonts w:asciiTheme="majorHAnsi" w:hAnsiTheme="majorHAnsi" w:cstheme="majorHAnsi"/>
        </w:rPr>
        <w:t>h</w:t>
      </w:r>
      <w:r w:rsidRPr="00C64064">
        <w:rPr>
          <w:rFonts w:asciiTheme="majorHAnsi" w:hAnsiTheme="majorHAnsi" w:cstheme="majorHAnsi"/>
        </w:rPr>
        <w:t xml:space="preserve">. Furthermore, PRISMA’s focus on </w:t>
      </w:r>
      <w:r w:rsidR="6B90600E" w:rsidRPr="00C64064">
        <w:rPr>
          <w:rFonts w:asciiTheme="majorHAnsi" w:hAnsiTheme="majorHAnsi" w:cstheme="majorHAnsi"/>
        </w:rPr>
        <w:t>e</w:t>
      </w:r>
      <w:r w:rsidR="3E73F48B" w:rsidRPr="00C64064">
        <w:rPr>
          <w:rFonts w:asciiTheme="majorHAnsi" w:hAnsiTheme="majorHAnsi" w:cstheme="majorHAnsi"/>
        </w:rPr>
        <w:t>astern</w:t>
      </w:r>
      <w:r w:rsidRPr="00C64064">
        <w:rPr>
          <w:rFonts w:asciiTheme="majorHAnsi" w:hAnsiTheme="majorHAnsi" w:cstheme="majorHAnsi"/>
        </w:rPr>
        <w:t xml:space="preserve"> Indonesia aligns with the RPJPN’s focus on reducing regional disparities by growing the economy in rural regions. </w:t>
      </w:r>
    </w:p>
    <w:p w14:paraId="53AE7457" w14:textId="1FF26E2A" w:rsidR="0045601F" w:rsidRPr="00C64064" w:rsidRDefault="00BD2E2A" w:rsidP="0045601F">
      <w:pPr>
        <w:spacing w:line="276" w:lineRule="auto"/>
        <w:rPr>
          <w:rFonts w:asciiTheme="majorHAnsi" w:hAnsiTheme="majorHAnsi" w:cstheme="majorBidi"/>
        </w:rPr>
      </w:pPr>
      <w:r w:rsidRPr="00A94FDF">
        <w:rPr>
          <w:rFonts w:asciiTheme="majorHAnsi" w:hAnsiTheme="majorHAnsi" w:cstheme="majorBidi"/>
        </w:rPr>
        <w:lastRenderedPageBreak/>
        <w:t xml:space="preserve">PRISMA intervention aligns with the incoming </w:t>
      </w:r>
      <w:r w:rsidR="6029C2DB" w:rsidRPr="00A94FDF">
        <w:rPr>
          <w:rFonts w:asciiTheme="majorHAnsi" w:hAnsiTheme="majorHAnsi" w:cstheme="majorBidi"/>
        </w:rPr>
        <w:t>RPJPN 2025-2045</w:t>
      </w:r>
      <w:r w:rsidR="00736A91" w:rsidRPr="00A94FDF">
        <w:t xml:space="preserve"> </w:t>
      </w:r>
      <w:r w:rsidR="00736A91" w:rsidRPr="00A94FDF">
        <w:rPr>
          <w:rFonts w:asciiTheme="majorHAnsi" w:hAnsiTheme="majorHAnsi" w:cstheme="majorBidi"/>
        </w:rPr>
        <w:t>transformation goal, which focuses on strengthening food system resilience. This transformation is derived from Indonesia's focus on building social, cultural, and ecological resilience. This approach advances food, water, and energy interdependence, as well as resilience to disasters and climate change</w:t>
      </w:r>
      <w:r w:rsidR="0045601F" w:rsidRPr="00A94FDF">
        <w:rPr>
          <w:rFonts w:asciiTheme="majorHAnsi" w:hAnsiTheme="majorHAnsi" w:cstheme="majorBidi"/>
        </w:rPr>
        <w:t>.</w:t>
      </w:r>
    </w:p>
    <w:p w14:paraId="66B20977" w14:textId="57BC9D8F" w:rsidR="0045601F" w:rsidRPr="00C64064" w:rsidRDefault="0045601F" w:rsidP="00C72B45">
      <w:pPr>
        <w:pStyle w:val="Head2"/>
        <w:rPr>
          <w:rFonts w:cstheme="majorHAnsi"/>
          <w:color w:val="auto"/>
        </w:rPr>
      </w:pPr>
      <w:bookmarkStart w:id="49" w:name="_Toc167702245"/>
      <w:bookmarkStart w:id="50" w:name="_Toc172823285"/>
      <w:bookmarkStart w:id="51" w:name="_Toc180155156"/>
      <w:r w:rsidRPr="00C64064">
        <w:rPr>
          <w:rStyle w:val="normaltextrun"/>
          <w:rFonts w:cstheme="majorHAnsi"/>
          <w:color w:val="auto"/>
        </w:rPr>
        <w:t>Relevance to Sustainable Development Goals</w:t>
      </w:r>
      <w:bookmarkEnd w:id="49"/>
      <w:bookmarkEnd w:id="50"/>
      <w:bookmarkEnd w:id="51"/>
    </w:p>
    <w:p w14:paraId="57220E98" w14:textId="30A78737" w:rsidR="0045601F" w:rsidRPr="00C64064" w:rsidRDefault="0045601F" w:rsidP="0045601F">
      <w:pPr>
        <w:spacing w:line="276" w:lineRule="auto"/>
        <w:rPr>
          <w:rFonts w:asciiTheme="majorHAnsi" w:hAnsiTheme="majorHAnsi" w:cstheme="majorHAnsi"/>
        </w:rPr>
      </w:pPr>
      <w:r w:rsidRPr="00C64064">
        <w:rPr>
          <w:rFonts w:asciiTheme="majorHAnsi" w:hAnsiTheme="majorHAnsi" w:cstheme="majorHAnsi"/>
        </w:rPr>
        <w:t xml:space="preserve">Australia and Indonesia are committed to the United Nations 2030 Agenda for Sustainable Development and the Sustainable Development Goals (SDGs) as the globally agreed framework for international development. </w:t>
      </w:r>
    </w:p>
    <w:p w14:paraId="02B67F18" w14:textId="77777777" w:rsidR="005130B7" w:rsidRDefault="0045601F" w:rsidP="005130B7">
      <w:pPr>
        <w:pStyle w:val="Body"/>
        <w:rPr>
          <w:rFonts w:asciiTheme="majorHAnsi" w:hAnsiTheme="majorHAnsi" w:cstheme="majorHAnsi"/>
        </w:rPr>
      </w:pPr>
      <w:r w:rsidRPr="00C64064">
        <w:rPr>
          <w:rFonts w:asciiTheme="majorHAnsi" w:hAnsiTheme="majorHAnsi" w:cstheme="majorHAnsi"/>
        </w:rPr>
        <w:t>PRISMA’s KPIs are aligned with SDGs 1 and 2: ending poverty and hunger. PRISMA also captures data on women’s economic empowerment (WEE), which contribut</w:t>
      </w:r>
      <w:r w:rsidR="002C5614" w:rsidRPr="00C64064">
        <w:rPr>
          <w:rFonts w:asciiTheme="majorHAnsi" w:hAnsiTheme="majorHAnsi" w:cstheme="majorHAnsi"/>
        </w:rPr>
        <w:t>es</w:t>
      </w:r>
      <w:r w:rsidRPr="00C64064">
        <w:rPr>
          <w:rFonts w:asciiTheme="majorHAnsi" w:hAnsiTheme="majorHAnsi" w:cstheme="majorHAnsi"/>
        </w:rPr>
        <w:t xml:space="preserve"> to SDG 5</w:t>
      </w:r>
      <w:r w:rsidR="002C5614" w:rsidRPr="00C64064">
        <w:rPr>
          <w:rFonts w:asciiTheme="majorHAnsi" w:hAnsiTheme="majorHAnsi" w:cstheme="majorHAnsi"/>
        </w:rPr>
        <w:t>:</w:t>
      </w:r>
      <w:r w:rsidRPr="00C64064">
        <w:rPr>
          <w:rFonts w:asciiTheme="majorHAnsi" w:hAnsiTheme="majorHAnsi" w:cstheme="majorHAnsi"/>
        </w:rPr>
        <w:t xml:space="preserve"> g</w:t>
      </w:r>
      <w:r w:rsidR="000E1BBC" w:rsidRPr="00C64064">
        <w:rPr>
          <w:rFonts w:asciiTheme="majorHAnsi" w:hAnsiTheme="majorHAnsi" w:cstheme="majorHAnsi"/>
        </w:rPr>
        <w:t>e</w:t>
      </w:r>
      <w:r w:rsidRPr="00C64064">
        <w:rPr>
          <w:rFonts w:asciiTheme="majorHAnsi" w:hAnsiTheme="majorHAnsi" w:cstheme="majorHAnsi"/>
        </w:rPr>
        <w:t>nder equality.</w:t>
      </w:r>
    </w:p>
    <w:p w14:paraId="26C970DF" w14:textId="77777777" w:rsidR="00872323" w:rsidRDefault="00872323" w:rsidP="005130B7">
      <w:pPr>
        <w:pStyle w:val="Body"/>
        <w:rPr>
          <w:rFonts w:asciiTheme="majorHAnsi" w:hAnsiTheme="majorHAnsi" w:cstheme="majorHAnsi"/>
        </w:rPr>
      </w:pPr>
    </w:p>
    <w:p w14:paraId="36050F2D" w14:textId="77777777" w:rsidR="00872323" w:rsidRDefault="00872323">
      <w:pPr>
        <w:rPr>
          <w:rFonts w:asciiTheme="majorHAnsi" w:hAnsiTheme="majorHAnsi" w:cstheme="majorHAnsi"/>
        </w:rPr>
      </w:pPr>
      <w:r>
        <w:rPr>
          <w:rFonts w:asciiTheme="majorHAnsi" w:hAnsiTheme="majorHAnsi" w:cstheme="majorHAnsi"/>
        </w:rPr>
        <w:br w:type="page"/>
      </w:r>
    </w:p>
    <w:p w14:paraId="47D2CC90" w14:textId="7136C2FF" w:rsidR="006222B8" w:rsidRPr="00A8522F" w:rsidRDefault="006222B8" w:rsidP="006222B8">
      <w:pPr>
        <w:spacing w:line="276" w:lineRule="auto"/>
        <w:rPr>
          <w:rFonts w:asciiTheme="majorHAnsi" w:eastAsiaTheme="majorEastAsia" w:hAnsiTheme="majorHAnsi" w:cstheme="majorHAnsi"/>
          <w:b/>
          <w:color w:val="3BB54A"/>
        </w:rPr>
      </w:pPr>
      <w:r w:rsidRPr="00A8522F">
        <w:rPr>
          <w:rFonts w:asciiTheme="majorHAnsi" w:hAnsiTheme="majorHAnsi" w:cstheme="majorHAnsi"/>
          <w:noProof/>
          <w:color w:val="3BB54A"/>
        </w:rPr>
        <w:lastRenderedPageBreak/>
        <w:drawing>
          <wp:anchor distT="0" distB="0" distL="114300" distR="114300" simplePos="0" relativeHeight="251749888" behindDoc="0" locked="0" layoutInCell="1" allowOverlap="1" wp14:anchorId="7CFE7EFC" wp14:editId="70FA20B7">
            <wp:simplePos x="0" y="0"/>
            <wp:positionH relativeFrom="page">
              <wp:posOffset>-19050</wp:posOffset>
            </wp:positionH>
            <wp:positionV relativeFrom="paragraph">
              <wp:posOffset>5702300</wp:posOffset>
            </wp:positionV>
            <wp:extent cx="7560945" cy="4253230"/>
            <wp:effectExtent l="0" t="0" r="1905" b="0"/>
            <wp:wrapNone/>
            <wp:docPr id="1120936067"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936067" name="Picture 53">
                      <a:extLst>
                        <a:ext uri="{C183D7F6-B498-43B3-948B-1728B52AA6E4}">
                          <adec:decorative xmlns:adec="http://schemas.microsoft.com/office/drawing/2017/decorative" val="1"/>
                        </a:ext>
                      </a:extLst>
                    </pic:cNvPr>
                    <pic:cNvPicPr>
                      <a:picLocks noChangeAspect="1" noChangeArrowheads="1"/>
                    </pic:cNvPicPr>
                  </pic:nvPicPr>
                  <pic:blipFill>
                    <a:blip r:embed="rId97"/>
                    <a:stretch>
                      <a:fillRect/>
                    </a:stretch>
                  </pic:blipFill>
                  <pic:spPr bwMode="auto">
                    <a:xfrm>
                      <a:off x="0" y="0"/>
                      <a:ext cx="7560945" cy="4253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222B8">
        <w:rPr>
          <w:rFonts w:asciiTheme="majorHAnsi" w:hAnsiTheme="majorHAnsi" w:cstheme="majorHAnsi"/>
          <w:color w:val="3BB54A"/>
          <w:sz w:val="72"/>
          <w:szCs w:val="72"/>
        </w:rPr>
        <w:t xml:space="preserve"> </w:t>
      </w:r>
      <w:r w:rsidRPr="00A8522F">
        <w:rPr>
          <w:rFonts w:asciiTheme="majorHAnsi" w:hAnsiTheme="majorHAnsi" w:cstheme="majorHAnsi"/>
          <w:color w:val="3BB54A"/>
        </w:rPr>
        <w:br w:type="page"/>
      </w:r>
    </w:p>
    <w:p w14:paraId="02009F25" w14:textId="77777777" w:rsidR="00872323" w:rsidRPr="00C64064" w:rsidRDefault="00872323" w:rsidP="005130B7">
      <w:pPr>
        <w:pStyle w:val="Body"/>
        <w:rPr>
          <w:rFonts w:asciiTheme="majorHAnsi" w:hAnsiTheme="majorHAnsi" w:cstheme="majorHAnsi"/>
        </w:rPr>
        <w:sectPr w:rsidR="00872323" w:rsidRPr="00C64064" w:rsidSect="00096423">
          <w:headerReference w:type="even" r:id="rId98"/>
          <w:headerReference w:type="default" r:id="rId99"/>
          <w:footerReference w:type="even" r:id="rId100"/>
          <w:footerReference w:type="default" r:id="rId101"/>
          <w:headerReference w:type="first" r:id="rId102"/>
          <w:footerReference w:type="first" r:id="rId103"/>
          <w:type w:val="continuous"/>
          <w:pgSz w:w="11906" w:h="16838"/>
          <w:pgMar w:top="1135" w:right="1134" w:bottom="1276" w:left="1134" w:header="709" w:footer="788" w:gutter="0"/>
          <w:cols w:space="708"/>
          <w:titlePg/>
          <w:docGrid w:linePitch="360"/>
        </w:sectPr>
      </w:pPr>
    </w:p>
    <w:p w14:paraId="6799C877" w14:textId="1DE5DBEE" w:rsidR="009005FD" w:rsidRPr="00006AA7" w:rsidRDefault="00990D19" w:rsidP="00006AA7">
      <w:pPr>
        <w:pStyle w:val="Head1"/>
        <w:rPr>
          <w:rFonts w:asciiTheme="majorHAnsi" w:hAnsiTheme="majorHAnsi" w:cstheme="majorHAnsi"/>
        </w:rPr>
      </w:pPr>
      <w:bookmarkStart w:id="52" w:name="_Toc130198690"/>
      <w:bookmarkStart w:id="53" w:name="_Toc130198775"/>
      <w:r w:rsidRPr="00C64064">
        <w:rPr>
          <w:rFonts w:asciiTheme="majorHAnsi" w:hAnsiTheme="majorHAnsi" w:cstheme="majorHAnsi"/>
        </w:rPr>
        <w:lastRenderedPageBreak/>
        <w:br/>
      </w:r>
      <w:bookmarkStart w:id="54" w:name="_Toc167702246"/>
      <w:bookmarkStart w:id="55" w:name="_Toc172823286"/>
      <w:bookmarkStart w:id="56" w:name="_Toc180155157"/>
      <w:r w:rsidR="00CF79BA" w:rsidRPr="00C64064">
        <w:rPr>
          <w:rFonts w:asciiTheme="majorHAnsi" w:hAnsiTheme="majorHAnsi" w:cstheme="majorHAnsi"/>
        </w:rPr>
        <w:t>Portfolio Overview and Progress</w:t>
      </w:r>
      <w:bookmarkEnd w:id="52"/>
      <w:bookmarkEnd w:id="53"/>
      <w:bookmarkEnd w:id="54"/>
      <w:bookmarkEnd w:id="55"/>
      <w:bookmarkEnd w:id="56"/>
    </w:p>
    <w:p w14:paraId="359F2943" w14:textId="16F634F0" w:rsidR="001555A6" w:rsidRPr="00BB2BDC" w:rsidRDefault="001555A6" w:rsidP="00A342EE">
      <w:pPr>
        <w:pStyle w:val="Head2"/>
      </w:pPr>
      <w:bookmarkStart w:id="57" w:name="_Toc172823287"/>
      <w:bookmarkStart w:id="58" w:name="_Toc180155158"/>
      <w:r w:rsidRPr="00E8170E">
        <w:t>PRISMA progres</w:t>
      </w:r>
      <w:r>
        <w:t>s</w:t>
      </w:r>
      <w:bookmarkEnd w:id="57"/>
      <w:bookmarkEnd w:id="58"/>
    </w:p>
    <w:p w14:paraId="35FED0AC" w14:textId="77777777" w:rsidR="001555A6" w:rsidRDefault="001555A6" w:rsidP="00B03C3A">
      <w:pPr>
        <w:pStyle w:val="Head3"/>
      </w:pPr>
      <w:bookmarkStart w:id="59" w:name="_Toc173318302"/>
      <w:bookmarkStart w:id="60" w:name="_Toc179192294"/>
      <w:bookmarkStart w:id="61" w:name="_Toc180155159"/>
      <w:r>
        <w:t>The EOPO outcome data is derived from impact assessments of interventions in semester 2, 2023, and previous interventions that continued into semester 1, 2024. The majority of PRISMA’s interventions ceased in December 2023 to concentrate on market resilience. The outreach and income continue to increase, as documented below.</w:t>
      </w:r>
      <w:bookmarkEnd w:id="59"/>
      <w:bookmarkEnd w:id="60"/>
      <w:bookmarkEnd w:id="61"/>
      <w:r>
        <w:t xml:space="preserve">  </w:t>
      </w:r>
    </w:p>
    <w:p w14:paraId="0B982E74" w14:textId="77777777" w:rsidR="001555A6" w:rsidRPr="00394C13" w:rsidRDefault="001555A6" w:rsidP="001555A6">
      <w:pPr>
        <w:rPr>
          <w:color w:val="002060"/>
        </w:rPr>
      </w:pPr>
      <w:r w:rsidRPr="00D40BD4">
        <w:rPr>
          <w:b/>
          <w:bCs/>
          <w:color w:val="002060"/>
        </w:rPr>
        <w:t>End-of-program outcome:</w:t>
      </w:r>
      <w:r w:rsidRPr="00D40BD4">
        <w:rPr>
          <w:color w:val="002060"/>
        </w:rPr>
        <w:t xml:space="preserve"> 1,000,000 farming households increase their income </w:t>
      </w:r>
      <w:r>
        <w:rPr>
          <w:color w:val="002060"/>
        </w:rPr>
        <w:t xml:space="preserve">by 30 percent </w:t>
      </w:r>
      <w:r w:rsidRPr="00D40BD4">
        <w:rPr>
          <w:color w:val="002060"/>
        </w:rPr>
        <w:t>due to PRISMA Interventions</w:t>
      </w:r>
    </w:p>
    <w:p w14:paraId="2EB294B6" w14:textId="4A81152D" w:rsidR="00FB2C1B" w:rsidRDefault="001555A6" w:rsidP="00FB2C1B">
      <w:pPr>
        <w:spacing w:after="120" w:line="276" w:lineRule="auto"/>
        <w:rPr>
          <w:rFonts w:asciiTheme="majorHAnsi" w:hAnsiTheme="majorHAnsi" w:cstheme="majorHAnsi"/>
          <w:lang w:val="en-AU"/>
        </w:rPr>
      </w:pPr>
      <w:r w:rsidRPr="00E32EA5">
        <w:rPr>
          <w:rFonts w:cs="Arial"/>
        </w:rPr>
        <w:t>PRISMA's end-of-program outcome</w:t>
      </w:r>
      <w:r>
        <w:rPr>
          <w:rFonts w:cs="Arial"/>
        </w:rPr>
        <w:t xml:space="preserve"> is</w:t>
      </w:r>
      <w:r w:rsidRPr="00E32EA5">
        <w:rPr>
          <w:rFonts w:cs="Arial"/>
        </w:rPr>
        <w:t xml:space="preserve"> to increase the income of one million smallholder farming households by 30 per cent by December 2023. This is a cumulative outcome spanning both phases of the program. </w:t>
      </w:r>
      <w:r w:rsidRPr="00C64064">
        <w:rPr>
          <w:rFonts w:asciiTheme="majorHAnsi" w:hAnsiTheme="majorHAnsi" w:cstheme="majorHAnsi"/>
          <w:lang w:val="en-AU"/>
        </w:rPr>
        <w:t xml:space="preserve">PRISMA exceeded </w:t>
      </w:r>
      <w:r w:rsidR="00A85462">
        <w:rPr>
          <w:rFonts w:asciiTheme="majorHAnsi" w:hAnsiTheme="majorHAnsi" w:cstheme="majorHAnsi"/>
          <w:lang w:val="en-AU"/>
        </w:rPr>
        <w:t>the</w:t>
      </w:r>
      <w:r w:rsidRPr="00C64064">
        <w:rPr>
          <w:rFonts w:asciiTheme="majorHAnsi" w:hAnsiTheme="majorHAnsi" w:cstheme="majorHAnsi"/>
          <w:lang w:val="en-AU"/>
        </w:rPr>
        <w:t xml:space="preserve"> program outcome by the end of 2023 and is projected to reach over 1.48 million smallholder farmers by the end of 2024.</w:t>
      </w:r>
    </w:p>
    <w:p w14:paraId="683AD50E" w14:textId="5E8BA7D6" w:rsidR="001555A6" w:rsidRPr="00C64064" w:rsidRDefault="001555A6" w:rsidP="00FB2C1B">
      <w:pPr>
        <w:spacing w:after="120" w:line="276" w:lineRule="auto"/>
        <w:rPr>
          <w:rFonts w:asciiTheme="majorHAnsi" w:hAnsiTheme="majorHAnsi" w:cstheme="majorHAnsi"/>
          <w:lang w:val="en-AU"/>
        </w:rPr>
      </w:pPr>
      <w:r>
        <w:rPr>
          <w:rFonts w:asciiTheme="majorHAnsi" w:hAnsiTheme="majorHAnsi" w:cstheme="majorHAnsi"/>
          <w:lang w:val="en-AU"/>
        </w:rPr>
        <w:br/>
      </w:r>
      <w:r>
        <w:rPr>
          <w:rFonts w:asciiTheme="majorHAnsi" w:hAnsiTheme="majorHAnsi" w:cstheme="majorHAnsi"/>
          <w:lang w:val="en-AU"/>
        </w:rPr>
        <w:br/>
      </w:r>
      <w:r w:rsidRPr="002F4DF5">
        <w:rPr>
          <w:b/>
          <w:bCs/>
          <w:color w:val="002060"/>
        </w:rPr>
        <w:t xml:space="preserve">Outreach </w:t>
      </w:r>
    </w:p>
    <w:p w14:paraId="76AFB3F6" w14:textId="40EA747A" w:rsidR="00FB2C1B" w:rsidRPr="00FB2C1B" w:rsidRDefault="00FB2C1B" w:rsidP="00FB2C1B">
      <w:pPr>
        <w:jc w:val="both"/>
        <w:rPr>
          <w:rFonts w:asciiTheme="majorHAnsi" w:hAnsiTheme="majorHAnsi" w:cstheme="majorHAnsi"/>
          <w:noProof/>
          <w:lang w:val="en-AU"/>
        </w:rPr>
      </w:pPr>
      <w:r w:rsidRPr="00FB2C1B">
        <w:rPr>
          <w:rFonts w:asciiTheme="majorHAnsi" w:hAnsiTheme="majorHAnsi" w:cstheme="majorHAnsi"/>
          <w:b/>
          <w:bCs/>
          <w:noProof/>
        </w:rPr>
        <mc:AlternateContent>
          <mc:Choice Requires="wpg">
            <w:drawing>
              <wp:inline distT="0" distB="0" distL="0" distR="0" wp14:anchorId="532C149F" wp14:editId="5D1FF652">
                <wp:extent cx="6046470" cy="896620"/>
                <wp:effectExtent l="0" t="0" r="0" b="0"/>
                <wp:docPr id="1710781381" name="Group 66" descr="PRISMA outreach trajectory"/>
                <wp:cNvGraphicFramePr/>
                <a:graphic xmlns:a="http://schemas.openxmlformats.org/drawingml/2006/main">
                  <a:graphicData uri="http://schemas.microsoft.com/office/word/2010/wordprocessingGroup">
                    <wpg:wgp>
                      <wpg:cNvGrpSpPr/>
                      <wpg:grpSpPr>
                        <a:xfrm>
                          <a:off x="0" y="0"/>
                          <a:ext cx="6046470" cy="896620"/>
                          <a:chOff x="0" y="0"/>
                          <a:chExt cx="6046470" cy="896620"/>
                        </a:xfrm>
                      </wpg:grpSpPr>
                      <wps:wsp>
                        <wps:cNvPr id="1828564292" name="Straight Connector 2">
                          <a:extLst>
                            <a:ext uri="{C183D7F6-B498-43B3-948B-1728B52AA6E4}">
                              <adec:decorative xmlns:adec="http://schemas.microsoft.com/office/drawing/2017/decorative" val="1"/>
                            </a:ext>
                          </a:extLst>
                        </wps:cNvPr>
                        <wps:cNvCnPr/>
                        <wps:spPr>
                          <a:xfrm>
                            <a:off x="4724400" y="165100"/>
                            <a:ext cx="235585" cy="0"/>
                          </a:xfrm>
                          <a:prstGeom prst="line">
                            <a:avLst/>
                          </a:prstGeom>
                          <a:noFill/>
                          <a:ln w="9525" cap="rnd" cmpd="sng" algn="ctr">
                            <a:solidFill>
                              <a:srgbClr val="222A6A"/>
                            </a:solidFill>
                            <a:prstDash val="solid"/>
                            <a:tailEnd type="oval" w="sm" len="sm"/>
                          </a:ln>
                          <a:effectLst/>
                        </wps:spPr>
                        <wps:bodyPr/>
                      </wps:wsp>
                      <wps:wsp>
                        <wps:cNvPr id="669228527" name="Rectangle 1">
                          <a:extLst>
                            <a:ext uri="{C183D7F6-B498-43B3-948B-1728B52AA6E4}">
                              <adec:decorative xmlns:adec="http://schemas.microsoft.com/office/drawing/2017/decorative" val="1"/>
                            </a:ext>
                          </a:extLst>
                        </wps:cNvPr>
                        <wps:cNvSpPr/>
                        <wps:spPr>
                          <a:xfrm>
                            <a:off x="95250" y="139700"/>
                            <a:ext cx="1110615" cy="45719"/>
                          </a:xfrm>
                          <a:prstGeom prst="rect">
                            <a:avLst/>
                          </a:prstGeom>
                          <a:solidFill>
                            <a:srgbClr val="2391A6"/>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5672345" name="Text Box 3"/>
                        <wps:cNvSpPr txBox="1"/>
                        <wps:spPr>
                          <a:xfrm>
                            <a:off x="4959350" y="0"/>
                            <a:ext cx="1087120" cy="680720"/>
                          </a:xfrm>
                          <a:prstGeom prst="rect">
                            <a:avLst/>
                          </a:prstGeom>
                          <a:noFill/>
                          <a:ln w="6350">
                            <a:noFill/>
                          </a:ln>
                        </wps:spPr>
                        <wps:txbx>
                          <w:txbxContent>
                            <w:p w14:paraId="1B21D53A" w14:textId="77777777" w:rsidR="00FB2C1B" w:rsidRDefault="00FB2C1B" w:rsidP="00FB2C1B">
                              <w:pPr>
                                <w:spacing w:after="0"/>
                                <w:rPr>
                                  <w:sz w:val="15"/>
                                  <w:szCs w:val="15"/>
                                  <w:lang w:val="en-AU"/>
                                </w:rPr>
                              </w:pPr>
                              <w:r w:rsidRPr="00631E2E">
                                <w:rPr>
                                  <w:sz w:val="15"/>
                                  <w:szCs w:val="15"/>
                                  <w:lang w:val="en-AU"/>
                                </w:rPr>
                                <w:t>Projected cumulative end of 2</w:t>
                              </w:r>
                              <w:r w:rsidRPr="00631E2E">
                                <w:rPr>
                                  <w:sz w:val="15"/>
                                  <w:szCs w:val="15"/>
                                  <w:vertAlign w:val="superscript"/>
                                  <w:lang w:val="en-AU"/>
                                </w:rPr>
                                <w:t>nd</w:t>
                              </w:r>
                              <w:r w:rsidRPr="00631E2E">
                                <w:rPr>
                                  <w:sz w:val="15"/>
                                  <w:szCs w:val="15"/>
                                  <w:lang w:val="en-AU"/>
                                </w:rPr>
                                <w:t xml:space="preserve"> Phase (Semester 2, 2024)</w:t>
                              </w:r>
                            </w:p>
                            <w:p w14:paraId="7BFDD8A6" w14:textId="77777777" w:rsidR="00FB2C1B" w:rsidRPr="00631E2E" w:rsidRDefault="00FB2C1B" w:rsidP="00FB2C1B">
                              <w:pPr>
                                <w:spacing w:after="65"/>
                                <w:rPr>
                                  <w:b/>
                                  <w:bCs/>
                                  <w:color w:val="222A6A"/>
                                  <w:sz w:val="30"/>
                                  <w:szCs w:val="30"/>
                                  <w:lang w:val="en-AU"/>
                                </w:rPr>
                              </w:pPr>
                              <w:r w:rsidRPr="00631E2E">
                                <w:rPr>
                                  <w:b/>
                                  <w:bCs/>
                                  <w:color w:val="222A6A"/>
                                  <w:sz w:val="30"/>
                                  <w:szCs w:val="30"/>
                                  <w:lang w:val="en-AU"/>
                                </w:rPr>
                                <w:t>1,</w:t>
                              </w:r>
                              <w:r>
                                <w:rPr>
                                  <w:b/>
                                  <w:bCs/>
                                  <w:color w:val="222A6A"/>
                                  <w:sz w:val="30"/>
                                  <w:szCs w:val="30"/>
                                  <w:lang w:val="en-AU"/>
                                </w:rPr>
                                <w:t>487</w:t>
                              </w:r>
                              <w:r w:rsidRPr="00631E2E">
                                <w:rPr>
                                  <w:b/>
                                  <w:bCs/>
                                  <w:color w:val="222A6A"/>
                                  <w:sz w:val="30"/>
                                  <w:szCs w:val="30"/>
                                  <w:lang w:val="en-AU"/>
                                </w:rPr>
                                <w:t>,</w:t>
                              </w:r>
                              <w:r>
                                <w:rPr>
                                  <w:b/>
                                  <w:bCs/>
                                  <w:color w:val="222A6A"/>
                                  <w:sz w:val="30"/>
                                  <w:szCs w:val="30"/>
                                  <w:lang w:val="en-AU"/>
                                </w:rPr>
                                <w:t>364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2534047" name="Rectangle 1">
                          <a:extLst>
                            <a:ext uri="{C183D7F6-B498-43B3-948B-1728B52AA6E4}">
                              <adec:decorative xmlns:adec="http://schemas.microsoft.com/office/drawing/2017/decorative" val="1"/>
                            </a:ext>
                          </a:extLst>
                        </wps:cNvPr>
                        <wps:cNvSpPr/>
                        <wps:spPr>
                          <a:xfrm>
                            <a:off x="1206500" y="139700"/>
                            <a:ext cx="3614641" cy="45719"/>
                          </a:xfrm>
                          <a:prstGeom prst="rect">
                            <a:avLst/>
                          </a:prstGeom>
                          <a:solidFill>
                            <a:srgbClr val="F5732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8563032" name="Text Box 3"/>
                        <wps:cNvSpPr txBox="1"/>
                        <wps:spPr>
                          <a:xfrm>
                            <a:off x="0" y="215900"/>
                            <a:ext cx="1056640" cy="680720"/>
                          </a:xfrm>
                          <a:prstGeom prst="rect">
                            <a:avLst/>
                          </a:prstGeom>
                          <a:noFill/>
                          <a:ln w="6350">
                            <a:noFill/>
                          </a:ln>
                        </wps:spPr>
                        <wps:txbx>
                          <w:txbxContent>
                            <w:p w14:paraId="546D5C8D" w14:textId="77777777" w:rsidR="00FB2C1B" w:rsidRDefault="00FB2C1B" w:rsidP="00FB2C1B">
                              <w:pPr>
                                <w:spacing w:after="0"/>
                                <w:rPr>
                                  <w:sz w:val="15"/>
                                  <w:szCs w:val="15"/>
                                  <w:lang w:val="en-AU"/>
                                </w:rPr>
                              </w:pPr>
                              <w:r>
                                <w:rPr>
                                  <w:sz w:val="15"/>
                                  <w:szCs w:val="15"/>
                                  <w:lang w:val="en-AU"/>
                                </w:rPr>
                                <w:t>Cumulative</w:t>
                              </w:r>
                              <w:r>
                                <w:rPr>
                                  <w:sz w:val="15"/>
                                  <w:szCs w:val="15"/>
                                  <w:lang w:val="en-AU"/>
                                </w:rPr>
                                <w:br/>
                                <w:t>1</w:t>
                              </w:r>
                              <w:r w:rsidRPr="00631E2E">
                                <w:rPr>
                                  <w:sz w:val="15"/>
                                  <w:szCs w:val="15"/>
                                  <w:vertAlign w:val="superscript"/>
                                  <w:lang w:val="en-AU"/>
                                </w:rPr>
                                <w:t>st</w:t>
                              </w:r>
                              <w:r>
                                <w:rPr>
                                  <w:sz w:val="15"/>
                                  <w:szCs w:val="15"/>
                                  <w:lang w:val="en-AU"/>
                                </w:rPr>
                                <w:t xml:space="preserve"> Phase</w:t>
                              </w:r>
                              <w:r w:rsidRPr="00631E2E">
                                <w:rPr>
                                  <w:sz w:val="15"/>
                                  <w:szCs w:val="15"/>
                                  <w:lang w:val="en-AU"/>
                                </w:rPr>
                                <w:t xml:space="preserve"> </w:t>
                              </w:r>
                            </w:p>
                            <w:p w14:paraId="02847DFE" w14:textId="77777777" w:rsidR="00FB2C1B" w:rsidRPr="00631E2E" w:rsidRDefault="00FB2C1B" w:rsidP="00FB2C1B">
                              <w:pPr>
                                <w:spacing w:after="65"/>
                                <w:rPr>
                                  <w:b/>
                                  <w:bCs/>
                                  <w:color w:val="2391A6"/>
                                  <w:sz w:val="30"/>
                                  <w:szCs w:val="30"/>
                                  <w:lang w:val="en-AU"/>
                                </w:rPr>
                              </w:pPr>
                              <w:r w:rsidRPr="00631E2E">
                                <w:rPr>
                                  <w:b/>
                                  <w:bCs/>
                                  <w:color w:val="2391A6"/>
                                  <w:sz w:val="30"/>
                                  <w:szCs w:val="30"/>
                                  <w:lang w:val="en-AU"/>
                                </w:rPr>
                                <w:t>345,001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19854282" name="Text Box 3"/>
                        <wps:cNvSpPr txBox="1"/>
                        <wps:spPr>
                          <a:xfrm>
                            <a:off x="1111250" y="215900"/>
                            <a:ext cx="1468120" cy="680720"/>
                          </a:xfrm>
                          <a:prstGeom prst="rect">
                            <a:avLst/>
                          </a:prstGeom>
                          <a:noFill/>
                          <a:ln w="6350">
                            <a:noFill/>
                          </a:ln>
                        </wps:spPr>
                        <wps:txbx>
                          <w:txbxContent>
                            <w:p w14:paraId="2FE23AE9" w14:textId="77777777" w:rsidR="00FB2C1B" w:rsidRDefault="00FB2C1B" w:rsidP="00FB2C1B">
                              <w:pPr>
                                <w:spacing w:after="0"/>
                                <w:rPr>
                                  <w:sz w:val="15"/>
                                  <w:szCs w:val="15"/>
                                  <w:lang w:val="en-AU"/>
                                </w:rPr>
                              </w:pPr>
                              <w:r>
                                <w:rPr>
                                  <w:sz w:val="15"/>
                                  <w:szCs w:val="15"/>
                                  <w:lang w:val="en-AU"/>
                                </w:rPr>
                                <w:t>Actual cumulative 2</w:t>
                              </w:r>
                              <w:r w:rsidRPr="00631E2E">
                                <w:rPr>
                                  <w:sz w:val="15"/>
                                  <w:szCs w:val="15"/>
                                  <w:vertAlign w:val="superscript"/>
                                  <w:lang w:val="en-AU"/>
                                </w:rPr>
                                <w:t>nd</w:t>
                              </w:r>
                              <w:r>
                                <w:rPr>
                                  <w:sz w:val="15"/>
                                  <w:szCs w:val="15"/>
                                  <w:lang w:val="en-AU"/>
                                </w:rPr>
                                <w:t xml:space="preserve"> Phase</w:t>
                              </w:r>
                              <w:r w:rsidRPr="00631E2E">
                                <w:rPr>
                                  <w:sz w:val="15"/>
                                  <w:szCs w:val="15"/>
                                  <w:lang w:val="en-AU"/>
                                </w:rPr>
                                <w:t xml:space="preserve"> (Semester </w:t>
                              </w:r>
                              <w:r>
                                <w:rPr>
                                  <w:sz w:val="15"/>
                                  <w:szCs w:val="15"/>
                                  <w:lang w:val="en-AU"/>
                                </w:rPr>
                                <w:t>1</w:t>
                              </w:r>
                              <w:r w:rsidRPr="00631E2E">
                                <w:rPr>
                                  <w:sz w:val="15"/>
                                  <w:szCs w:val="15"/>
                                  <w:lang w:val="en-AU"/>
                                </w:rPr>
                                <w:t>, 202</w:t>
                              </w:r>
                              <w:r>
                                <w:rPr>
                                  <w:sz w:val="15"/>
                                  <w:szCs w:val="15"/>
                                  <w:lang w:val="en-AU"/>
                                </w:rPr>
                                <w:t>4</w:t>
                              </w:r>
                              <w:r w:rsidRPr="00631E2E">
                                <w:rPr>
                                  <w:sz w:val="15"/>
                                  <w:szCs w:val="15"/>
                                  <w:lang w:val="en-AU"/>
                                </w:rPr>
                                <w:t>)</w:t>
                              </w:r>
                            </w:p>
                            <w:p w14:paraId="14FADAFC" w14:textId="77777777" w:rsidR="00FB2C1B" w:rsidRPr="007E07CF" w:rsidRDefault="00FB2C1B" w:rsidP="00FB2C1B">
                              <w:pPr>
                                <w:spacing w:after="65"/>
                                <w:rPr>
                                  <w:b/>
                                  <w:bCs/>
                                  <w:color w:val="8B0923" w:themeColor="accent5" w:themeShade="BF"/>
                                  <w:sz w:val="30"/>
                                  <w:szCs w:val="30"/>
                                  <w:lang w:val="en-AU"/>
                                </w:rPr>
                              </w:pPr>
                              <w:r w:rsidRPr="007E07CF">
                                <w:rPr>
                                  <w:b/>
                                  <w:bCs/>
                                  <w:color w:val="8B0923" w:themeColor="accent5" w:themeShade="BF"/>
                                  <w:sz w:val="30"/>
                                  <w:szCs w:val="30"/>
                                  <w:lang w:val="en-AU"/>
                                </w:rPr>
                                <w:t>1,4</w:t>
                              </w:r>
                              <w:r>
                                <w:rPr>
                                  <w:b/>
                                  <w:bCs/>
                                  <w:color w:val="8B0923" w:themeColor="accent5" w:themeShade="BF"/>
                                  <w:sz w:val="30"/>
                                  <w:szCs w:val="30"/>
                                  <w:lang w:val="en-AU"/>
                                </w:rPr>
                                <w:t>82</w:t>
                              </w:r>
                              <w:r w:rsidRPr="007E07CF">
                                <w:rPr>
                                  <w:b/>
                                  <w:bCs/>
                                  <w:color w:val="8B0923" w:themeColor="accent5" w:themeShade="BF"/>
                                  <w:sz w:val="30"/>
                                  <w:szCs w:val="30"/>
                                  <w:lang w:val="en-AU"/>
                                </w:rPr>
                                <w:t>,7</w:t>
                              </w:r>
                              <w:r>
                                <w:rPr>
                                  <w:b/>
                                  <w:bCs/>
                                  <w:color w:val="8B0923" w:themeColor="accent5" w:themeShade="BF"/>
                                  <w:sz w:val="30"/>
                                  <w:szCs w:val="30"/>
                                  <w:lang w:val="en-AU"/>
                                </w:rPr>
                                <w:t>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32C149F" id="Group 66" o:spid="_x0000_s1048" alt="PRISMA outreach trajectory" style="width:476.1pt;height:70.6pt;mso-position-horizontal-relative:char;mso-position-vertical-relative:line" coordsize="60464,8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">
                <v:line id="Straight Connector 2" o:spid="_x0000_s1049" alt="&quot;&quot;" style="position:absolute;visibility:visible;mso-wrap-style:square" from="47244,1651" to="49599,1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" strokecolor="#222a6a">
                  <v:stroke endarrow="oval" endarrowwidth="narrow" endarrowlength="short" endcap="round"/>
                </v:line>
                <v:rect id="Rectangle 1" o:spid="_x0000_s1050" alt="&quot;&quot;" style="position:absolute;left:952;top:1397;width:11106;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" fillcolor="#2391a6" stroked="f" strokeweight="2pt"/>
                <v:shape id="_x0000_s1051" type="#_x0000_t202" style="position:absolute;left:49593;width:10871;height:6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" filled="f" stroked="f" strokeweight=".5pt">
                  <v:textbox>
                    <w:txbxContent>
                      <w:p w14:paraId="1B21D53A" w14:textId="77777777" w:rsidR="00FB2C1B" w:rsidRDefault="00FB2C1B" w:rsidP="00FB2C1B">
                        <w:pPr>
                          <w:spacing w:after="0"/>
                          <w:rPr>
                            <w:sz w:val="15"/>
                            <w:szCs w:val="15"/>
                            <w:lang w:val="en-AU"/>
                          </w:rPr>
                        </w:pPr>
                        <w:r w:rsidRPr="00631E2E">
                          <w:rPr>
                            <w:sz w:val="15"/>
                            <w:szCs w:val="15"/>
                            <w:lang w:val="en-AU"/>
                          </w:rPr>
                          <w:t>Projected cumulative end of 2</w:t>
                        </w:r>
                        <w:r w:rsidRPr="00631E2E">
                          <w:rPr>
                            <w:sz w:val="15"/>
                            <w:szCs w:val="15"/>
                            <w:vertAlign w:val="superscript"/>
                            <w:lang w:val="en-AU"/>
                          </w:rPr>
                          <w:t>nd</w:t>
                        </w:r>
                        <w:r w:rsidRPr="00631E2E">
                          <w:rPr>
                            <w:sz w:val="15"/>
                            <w:szCs w:val="15"/>
                            <w:lang w:val="en-AU"/>
                          </w:rPr>
                          <w:t xml:space="preserve"> Phase (Semester 2, 2024)</w:t>
                        </w:r>
                      </w:p>
                      <w:p w14:paraId="7BFDD8A6" w14:textId="77777777" w:rsidR="00FB2C1B" w:rsidRPr="00631E2E" w:rsidRDefault="00FB2C1B" w:rsidP="00FB2C1B">
                        <w:pPr>
                          <w:spacing w:after="65"/>
                          <w:rPr>
                            <w:b/>
                            <w:bCs/>
                            <w:color w:val="222A6A"/>
                            <w:sz w:val="30"/>
                            <w:szCs w:val="30"/>
                            <w:lang w:val="en-AU"/>
                          </w:rPr>
                        </w:pPr>
                        <w:r w:rsidRPr="00631E2E">
                          <w:rPr>
                            <w:b/>
                            <w:bCs/>
                            <w:color w:val="222A6A"/>
                            <w:sz w:val="30"/>
                            <w:szCs w:val="30"/>
                            <w:lang w:val="en-AU"/>
                          </w:rPr>
                          <w:t>1,</w:t>
                        </w:r>
                        <w:r>
                          <w:rPr>
                            <w:b/>
                            <w:bCs/>
                            <w:color w:val="222A6A"/>
                            <w:sz w:val="30"/>
                            <w:szCs w:val="30"/>
                            <w:lang w:val="en-AU"/>
                          </w:rPr>
                          <w:t>487</w:t>
                        </w:r>
                        <w:r w:rsidRPr="00631E2E">
                          <w:rPr>
                            <w:b/>
                            <w:bCs/>
                            <w:color w:val="222A6A"/>
                            <w:sz w:val="30"/>
                            <w:szCs w:val="30"/>
                            <w:lang w:val="en-AU"/>
                          </w:rPr>
                          <w:t>,</w:t>
                        </w:r>
                        <w:r>
                          <w:rPr>
                            <w:b/>
                            <w:bCs/>
                            <w:color w:val="222A6A"/>
                            <w:sz w:val="30"/>
                            <w:szCs w:val="30"/>
                            <w:lang w:val="en-AU"/>
                          </w:rPr>
                          <w:t>364</w:t>
                        </w:r>
                      </w:p>
                    </w:txbxContent>
                  </v:textbox>
                </v:shape>
                <v:rect id="Rectangle 1" o:spid="_x0000_s1052" alt="&quot;&quot;" style="position:absolute;left:12065;top:1397;width:36146;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" fillcolor="#f57321" stroked="f" strokeweight="2pt"/>
                <v:shape id="_x0000_s1053" type="#_x0000_t202" style="position:absolute;top:2159;width:10566;height:6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" filled="f" stroked="f" strokeweight=".5pt">
                  <v:textbox>
                    <w:txbxContent>
                      <w:p w14:paraId="546D5C8D" w14:textId="77777777" w:rsidR="00FB2C1B" w:rsidRDefault="00FB2C1B" w:rsidP="00FB2C1B">
                        <w:pPr>
                          <w:spacing w:after="0"/>
                          <w:rPr>
                            <w:sz w:val="15"/>
                            <w:szCs w:val="15"/>
                            <w:lang w:val="en-AU"/>
                          </w:rPr>
                        </w:pPr>
                        <w:r>
                          <w:rPr>
                            <w:sz w:val="15"/>
                            <w:szCs w:val="15"/>
                            <w:lang w:val="en-AU"/>
                          </w:rPr>
                          <w:t>Cumulative</w:t>
                        </w:r>
                        <w:r>
                          <w:rPr>
                            <w:sz w:val="15"/>
                            <w:szCs w:val="15"/>
                            <w:lang w:val="en-AU"/>
                          </w:rPr>
                          <w:br/>
                          <w:t>1</w:t>
                        </w:r>
                        <w:r w:rsidRPr="00631E2E">
                          <w:rPr>
                            <w:sz w:val="15"/>
                            <w:szCs w:val="15"/>
                            <w:vertAlign w:val="superscript"/>
                            <w:lang w:val="en-AU"/>
                          </w:rPr>
                          <w:t>st</w:t>
                        </w:r>
                        <w:r>
                          <w:rPr>
                            <w:sz w:val="15"/>
                            <w:szCs w:val="15"/>
                            <w:lang w:val="en-AU"/>
                          </w:rPr>
                          <w:t xml:space="preserve"> Phase</w:t>
                        </w:r>
                        <w:r w:rsidRPr="00631E2E">
                          <w:rPr>
                            <w:sz w:val="15"/>
                            <w:szCs w:val="15"/>
                            <w:lang w:val="en-AU"/>
                          </w:rPr>
                          <w:t xml:space="preserve"> </w:t>
                        </w:r>
                      </w:p>
                      <w:p w14:paraId="02847DFE" w14:textId="77777777" w:rsidR="00FB2C1B" w:rsidRPr="00631E2E" w:rsidRDefault="00FB2C1B" w:rsidP="00FB2C1B">
                        <w:pPr>
                          <w:spacing w:after="65"/>
                          <w:rPr>
                            <w:b/>
                            <w:bCs/>
                            <w:color w:val="2391A6"/>
                            <w:sz w:val="30"/>
                            <w:szCs w:val="30"/>
                            <w:lang w:val="en-AU"/>
                          </w:rPr>
                        </w:pPr>
                        <w:r w:rsidRPr="00631E2E">
                          <w:rPr>
                            <w:b/>
                            <w:bCs/>
                            <w:color w:val="2391A6"/>
                            <w:sz w:val="30"/>
                            <w:szCs w:val="30"/>
                            <w:lang w:val="en-AU"/>
                          </w:rPr>
                          <w:t>345,001</w:t>
                        </w:r>
                      </w:p>
                    </w:txbxContent>
                  </v:textbox>
                </v:shape>
                <v:shape id="_x0000_s1054" type="#_x0000_t202" style="position:absolute;left:11112;top:2159;width:14681;height:6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" filled="f" stroked="f" strokeweight=".5pt">
                  <v:textbox>
                    <w:txbxContent>
                      <w:p w14:paraId="2FE23AE9" w14:textId="77777777" w:rsidR="00FB2C1B" w:rsidRDefault="00FB2C1B" w:rsidP="00FB2C1B">
                        <w:pPr>
                          <w:spacing w:after="0"/>
                          <w:rPr>
                            <w:sz w:val="15"/>
                            <w:szCs w:val="15"/>
                            <w:lang w:val="en-AU"/>
                          </w:rPr>
                        </w:pPr>
                        <w:r>
                          <w:rPr>
                            <w:sz w:val="15"/>
                            <w:szCs w:val="15"/>
                            <w:lang w:val="en-AU"/>
                          </w:rPr>
                          <w:t>Actual cumulative 2</w:t>
                        </w:r>
                        <w:r w:rsidRPr="00631E2E">
                          <w:rPr>
                            <w:sz w:val="15"/>
                            <w:szCs w:val="15"/>
                            <w:vertAlign w:val="superscript"/>
                            <w:lang w:val="en-AU"/>
                          </w:rPr>
                          <w:t>nd</w:t>
                        </w:r>
                        <w:r>
                          <w:rPr>
                            <w:sz w:val="15"/>
                            <w:szCs w:val="15"/>
                            <w:lang w:val="en-AU"/>
                          </w:rPr>
                          <w:t xml:space="preserve"> Phase</w:t>
                        </w:r>
                        <w:r w:rsidRPr="00631E2E">
                          <w:rPr>
                            <w:sz w:val="15"/>
                            <w:szCs w:val="15"/>
                            <w:lang w:val="en-AU"/>
                          </w:rPr>
                          <w:t xml:space="preserve"> (Semester </w:t>
                        </w:r>
                        <w:r>
                          <w:rPr>
                            <w:sz w:val="15"/>
                            <w:szCs w:val="15"/>
                            <w:lang w:val="en-AU"/>
                          </w:rPr>
                          <w:t>1</w:t>
                        </w:r>
                        <w:r w:rsidRPr="00631E2E">
                          <w:rPr>
                            <w:sz w:val="15"/>
                            <w:szCs w:val="15"/>
                            <w:lang w:val="en-AU"/>
                          </w:rPr>
                          <w:t>, 202</w:t>
                        </w:r>
                        <w:r>
                          <w:rPr>
                            <w:sz w:val="15"/>
                            <w:szCs w:val="15"/>
                            <w:lang w:val="en-AU"/>
                          </w:rPr>
                          <w:t>4</w:t>
                        </w:r>
                        <w:r w:rsidRPr="00631E2E">
                          <w:rPr>
                            <w:sz w:val="15"/>
                            <w:szCs w:val="15"/>
                            <w:lang w:val="en-AU"/>
                          </w:rPr>
                          <w:t>)</w:t>
                        </w:r>
                      </w:p>
                      <w:p w14:paraId="14FADAFC" w14:textId="77777777" w:rsidR="00FB2C1B" w:rsidRPr="007E07CF" w:rsidRDefault="00FB2C1B" w:rsidP="00FB2C1B">
                        <w:pPr>
                          <w:spacing w:after="65"/>
                          <w:rPr>
                            <w:b/>
                            <w:bCs/>
                            <w:color w:val="8B0923" w:themeColor="accent5" w:themeShade="BF"/>
                            <w:sz w:val="30"/>
                            <w:szCs w:val="30"/>
                            <w:lang w:val="en-AU"/>
                          </w:rPr>
                        </w:pPr>
                        <w:r w:rsidRPr="007E07CF">
                          <w:rPr>
                            <w:b/>
                            <w:bCs/>
                            <w:color w:val="8B0923" w:themeColor="accent5" w:themeShade="BF"/>
                            <w:sz w:val="30"/>
                            <w:szCs w:val="30"/>
                            <w:lang w:val="en-AU"/>
                          </w:rPr>
                          <w:t>1,4</w:t>
                        </w:r>
                        <w:r>
                          <w:rPr>
                            <w:b/>
                            <w:bCs/>
                            <w:color w:val="8B0923" w:themeColor="accent5" w:themeShade="BF"/>
                            <w:sz w:val="30"/>
                            <w:szCs w:val="30"/>
                            <w:lang w:val="en-AU"/>
                          </w:rPr>
                          <w:t>82</w:t>
                        </w:r>
                        <w:r w:rsidRPr="007E07CF">
                          <w:rPr>
                            <w:b/>
                            <w:bCs/>
                            <w:color w:val="8B0923" w:themeColor="accent5" w:themeShade="BF"/>
                            <w:sz w:val="30"/>
                            <w:szCs w:val="30"/>
                            <w:lang w:val="en-AU"/>
                          </w:rPr>
                          <w:t>,7</w:t>
                        </w:r>
                        <w:r>
                          <w:rPr>
                            <w:b/>
                            <w:bCs/>
                            <w:color w:val="8B0923" w:themeColor="accent5" w:themeShade="BF"/>
                            <w:sz w:val="30"/>
                            <w:szCs w:val="30"/>
                            <w:lang w:val="en-AU"/>
                          </w:rPr>
                          <w:t>78</w:t>
                        </w:r>
                      </w:p>
                    </w:txbxContent>
                  </v:textbox>
                </v:shape>
                <w10:anchorlock/>
              </v:group>
            </w:pict>
          </mc:Fallback>
        </mc:AlternateContent>
      </w:r>
    </w:p>
    <w:p w14:paraId="4D97C9F8" w14:textId="14552580" w:rsidR="00FB2C1B" w:rsidRPr="00FB2C1B" w:rsidRDefault="00FB2C1B" w:rsidP="00FB2C1B">
      <w:pPr>
        <w:jc w:val="both"/>
        <w:rPr>
          <w:rFonts w:asciiTheme="majorHAnsi" w:hAnsiTheme="majorHAnsi" w:cstheme="majorHAnsi"/>
          <w:noProof/>
          <w:lang w:val="en-AU"/>
        </w:rPr>
      </w:pPr>
      <w:r w:rsidRPr="00FB2C1B">
        <w:rPr>
          <w:rFonts w:asciiTheme="majorHAnsi" w:hAnsiTheme="majorHAnsi" w:cstheme="majorHAnsi"/>
          <w:noProof/>
        </w:rPr>
        <w:drawing>
          <wp:inline distT="0" distB="0" distL="0" distR="0" wp14:anchorId="2E398A79" wp14:editId="32B943C1">
            <wp:extent cx="6120130" cy="2800983"/>
            <wp:effectExtent l="0" t="0" r="13970" b="6350"/>
            <wp:docPr id="2118139097" name="Chart 67" descr="PRISMA Incremental Outreach&#10;">
              <a:extLst xmlns:a="http://schemas.openxmlformats.org/drawingml/2006/main">
                <a:ext uri="{FF2B5EF4-FFF2-40B4-BE49-F238E27FC236}">
                  <a16:creationId xmlns:a16="http://schemas.microsoft.com/office/drawing/2014/main" id="{0AB25BEF-37F6-66B3-8451-02922397DF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694BAAF3" w14:textId="43BFF177" w:rsidR="00AD5756" w:rsidRPr="00C64064" w:rsidRDefault="00AD5756" w:rsidP="00AD5756">
      <w:pPr>
        <w:jc w:val="both"/>
        <w:rPr>
          <w:rFonts w:asciiTheme="majorHAnsi" w:hAnsiTheme="majorHAnsi" w:cstheme="majorHAnsi"/>
          <w:lang w:val="en-AU"/>
        </w:rPr>
      </w:pPr>
    </w:p>
    <w:p w14:paraId="2451A275" w14:textId="50E1AFB3" w:rsidR="006F0A03" w:rsidRPr="00C64064" w:rsidRDefault="00934647" w:rsidP="5583D54B">
      <w:pPr>
        <w:jc w:val="both"/>
        <w:rPr>
          <w:rStyle w:val="cf01"/>
          <w:rFonts w:asciiTheme="majorHAnsi" w:hAnsiTheme="majorHAnsi" w:cstheme="majorBidi"/>
          <w:i/>
          <w:iCs/>
          <w:sz w:val="22"/>
          <w:szCs w:val="22"/>
        </w:rPr>
      </w:pPr>
      <w:r w:rsidRPr="5583D54B">
        <w:rPr>
          <w:rStyle w:val="cf01"/>
          <w:rFonts w:asciiTheme="majorHAnsi" w:hAnsiTheme="majorHAnsi" w:cstheme="majorBidi"/>
          <w:i/>
          <w:iCs/>
          <w:sz w:val="22"/>
          <w:szCs w:val="22"/>
        </w:rPr>
        <w:lastRenderedPageBreak/>
        <w:t xml:space="preserve">Note </w:t>
      </w:r>
      <w:r w:rsidR="00E16A63" w:rsidRPr="5583D54B">
        <w:rPr>
          <w:rStyle w:val="cf01"/>
          <w:rFonts w:asciiTheme="majorHAnsi" w:hAnsiTheme="majorHAnsi" w:cstheme="majorBidi"/>
          <w:i/>
          <w:iCs/>
          <w:sz w:val="22"/>
          <w:szCs w:val="22"/>
        </w:rPr>
        <w:t>that i</w:t>
      </w:r>
      <w:r w:rsidRPr="5583D54B">
        <w:rPr>
          <w:rStyle w:val="cf01"/>
          <w:rFonts w:asciiTheme="majorHAnsi" w:hAnsiTheme="majorHAnsi" w:cstheme="majorBidi"/>
          <w:i/>
          <w:iCs/>
          <w:sz w:val="22"/>
          <w:szCs w:val="22"/>
        </w:rPr>
        <w:t xml:space="preserve">n the </w:t>
      </w:r>
      <w:r w:rsidR="00D711D8" w:rsidRPr="5583D54B">
        <w:rPr>
          <w:rStyle w:val="cf01"/>
          <w:rFonts w:asciiTheme="majorHAnsi" w:hAnsiTheme="majorHAnsi" w:cstheme="majorBidi"/>
          <w:i/>
          <w:iCs/>
          <w:sz w:val="22"/>
          <w:szCs w:val="22"/>
        </w:rPr>
        <w:t>updated figure for the end</w:t>
      </w:r>
      <w:r w:rsidR="00764FD0" w:rsidRPr="5583D54B">
        <w:rPr>
          <w:rStyle w:val="cf01"/>
          <w:rFonts w:asciiTheme="majorHAnsi" w:hAnsiTheme="majorHAnsi" w:cstheme="majorBidi"/>
          <w:i/>
          <w:iCs/>
          <w:sz w:val="22"/>
          <w:szCs w:val="22"/>
        </w:rPr>
        <w:t>-</w:t>
      </w:r>
      <w:r w:rsidR="00D711D8" w:rsidRPr="5583D54B">
        <w:rPr>
          <w:rStyle w:val="cf01"/>
          <w:rFonts w:asciiTheme="majorHAnsi" w:hAnsiTheme="majorHAnsi" w:cstheme="majorBidi"/>
          <w:i/>
          <w:iCs/>
          <w:sz w:val="22"/>
          <w:szCs w:val="22"/>
        </w:rPr>
        <w:t>of</w:t>
      </w:r>
      <w:r w:rsidR="00764FD0" w:rsidRPr="5583D54B">
        <w:rPr>
          <w:rStyle w:val="cf01"/>
          <w:rFonts w:asciiTheme="majorHAnsi" w:hAnsiTheme="majorHAnsi" w:cstheme="majorBidi"/>
          <w:i/>
          <w:iCs/>
          <w:sz w:val="22"/>
          <w:szCs w:val="22"/>
        </w:rPr>
        <w:t>-</w:t>
      </w:r>
      <w:r w:rsidR="00D711D8" w:rsidRPr="5583D54B">
        <w:rPr>
          <w:rStyle w:val="cf01"/>
          <w:rFonts w:asciiTheme="majorHAnsi" w:hAnsiTheme="majorHAnsi" w:cstheme="majorBidi"/>
          <w:i/>
          <w:iCs/>
          <w:sz w:val="22"/>
          <w:szCs w:val="22"/>
        </w:rPr>
        <w:t>program outreach</w:t>
      </w:r>
      <w:r w:rsidR="00764FD0" w:rsidRPr="5583D54B">
        <w:rPr>
          <w:rStyle w:val="cf01"/>
          <w:rFonts w:asciiTheme="majorHAnsi" w:hAnsiTheme="majorHAnsi" w:cstheme="majorBidi"/>
          <w:i/>
          <w:iCs/>
          <w:sz w:val="22"/>
          <w:szCs w:val="22"/>
        </w:rPr>
        <w:t>, t</w:t>
      </w:r>
      <w:r w:rsidR="006F0A03" w:rsidRPr="5583D54B">
        <w:rPr>
          <w:rStyle w:val="cf01"/>
          <w:rFonts w:asciiTheme="majorHAnsi" w:hAnsiTheme="majorHAnsi" w:cstheme="majorBidi"/>
          <w:i/>
          <w:iCs/>
          <w:sz w:val="22"/>
          <w:szCs w:val="22"/>
        </w:rPr>
        <w:t>he projected end</w:t>
      </w:r>
      <w:r w:rsidR="00764FD0" w:rsidRPr="5583D54B">
        <w:rPr>
          <w:rStyle w:val="cf01"/>
          <w:rFonts w:asciiTheme="majorHAnsi" w:hAnsiTheme="majorHAnsi" w:cstheme="majorBidi"/>
          <w:i/>
          <w:iCs/>
          <w:sz w:val="22"/>
          <w:szCs w:val="22"/>
        </w:rPr>
        <w:t>-</w:t>
      </w:r>
      <w:r w:rsidR="006F0A03" w:rsidRPr="5583D54B">
        <w:rPr>
          <w:rStyle w:val="cf01"/>
          <w:rFonts w:asciiTheme="majorHAnsi" w:hAnsiTheme="majorHAnsi" w:cstheme="majorBidi"/>
          <w:i/>
          <w:iCs/>
          <w:sz w:val="22"/>
          <w:szCs w:val="22"/>
        </w:rPr>
        <w:t>of</w:t>
      </w:r>
      <w:r w:rsidR="00764FD0" w:rsidRPr="5583D54B">
        <w:rPr>
          <w:rStyle w:val="cf01"/>
          <w:rFonts w:asciiTheme="majorHAnsi" w:hAnsiTheme="majorHAnsi" w:cstheme="majorBidi"/>
          <w:i/>
          <w:iCs/>
          <w:sz w:val="22"/>
          <w:szCs w:val="22"/>
        </w:rPr>
        <w:t>-</w:t>
      </w:r>
      <w:r w:rsidR="006F0A03" w:rsidRPr="5583D54B">
        <w:rPr>
          <w:rStyle w:val="cf01"/>
          <w:rFonts w:asciiTheme="majorHAnsi" w:hAnsiTheme="majorHAnsi" w:cstheme="majorBidi"/>
          <w:i/>
          <w:iCs/>
          <w:sz w:val="22"/>
          <w:szCs w:val="22"/>
        </w:rPr>
        <w:t xml:space="preserve">program outreach is 1,487,634 farming households, down from 1,582,147 the previous semester. There are </w:t>
      </w:r>
      <w:r w:rsidR="00764FD0" w:rsidRPr="5583D54B">
        <w:rPr>
          <w:rStyle w:val="cf01"/>
          <w:rFonts w:asciiTheme="majorHAnsi" w:hAnsiTheme="majorHAnsi" w:cstheme="majorBidi"/>
          <w:i/>
          <w:iCs/>
          <w:sz w:val="22"/>
          <w:szCs w:val="22"/>
        </w:rPr>
        <w:t>2</w:t>
      </w:r>
      <w:r w:rsidR="006F0A03" w:rsidRPr="5583D54B">
        <w:rPr>
          <w:rStyle w:val="cf01"/>
          <w:rFonts w:asciiTheme="majorHAnsi" w:hAnsiTheme="majorHAnsi" w:cstheme="majorBidi"/>
          <w:i/>
          <w:iCs/>
          <w:sz w:val="22"/>
          <w:szCs w:val="22"/>
        </w:rPr>
        <w:t xml:space="preserve"> major contributing factors for this reduction: (i) High level of overlaps: during semester Y23S2, outreach overlap </w:t>
      </w:r>
      <w:r w:rsidR="00047BF1" w:rsidRPr="5583D54B">
        <w:rPr>
          <w:rStyle w:val="cf01"/>
          <w:rFonts w:asciiTheme="majorHAnsi" w:hAnsiTheme="majorHAnsi" w:cstheme="majorBidi"/>
          <w:i/>
          <w:iCs/>
          <w:sz w:val="22"/>
          <w:szCs w:val="22"/>
        </w:rPr>
        <w:t>reached</w:t>
      </w:r>
      <w:r w:rsidR="006F0A03" w:rsidRPr="5583D54B">
        <w:rPr>
          <w:rStyle w:val="cf01"/>
          <w:rFonts w:asciiTheme="majorHAnsi" w:hAnsiTheme="majorHAnsi" w:cstheme="majorBidi"/>
          <w:i/>
          <w:iCs/>
          <w:sz w:val="22"/>
          <w:szCs w:val="22"/>
        </w:rPr>
        <w:t xml:space="preserve"> 51%</w:t>
      </w:r>
      <w:r w:rsidR="00523F4C" w:rsidRPr="5583D54B">
        <w:rPr>
          <w:rStyle w:val="cf01"/>
          <w:rFonts w:asciiTheme="majorHAnsi" w:hAnsiTheme="majorHAnsi" w:cstheme="majorBidi"/>
          <w:i/>
          <w:iCs/>
          <w:sz w:val="22"/>
          <w:szCs w:val="22"/>
        </w:rPr>
        <w:t>,</w:t>
      </w:r>
      <w:r w:rsidR="006F0A03" w:rsidRPr="5583D54B">
        <w:rPr>
          <w:rStyle w:val="cf01"/>
          <w:rFonts w:asciiTheme="majorHAnsi" w:hAnsiTheme="majorHAnsi" w:cstheme="majorBidi"/>
          <w:i/>
          <w:iCs/>
          <w:sz w:val="22"/>
          <w:szCs w:val="22"/>
        </w:rPr>
        <w:t xml:space="preserve"> and during semester Y24S1, the overlap shot up to over </w:t>
      </w:r>
      <w:r w:rsidR="004B2D0C" w:rsidRPr="5583D54B">
        <w:rPr>
          <w:rStyle w:val="cf01"/>
          <w:rFonts w:asciiTheme="majorHAnsi" w:hAnsiTheme="majorHAnsi" w:cstheme="majorBidi"/>
          <w:i/>
          <w:iCs/>
          <w:sz w:val="22"/>
          <w:szCs w:val="22"/>
        </w:rPr>
        <w:t>61.1</w:t>
      </w:r>
      <w:r w:rsidR="2C0C87C5" w:rsidRPr="5583D54B">
        <w:rPr>
          <w:rStyle w:val="cf01"/>
          <w:rFonts w:asciiTheme="majorHAnsi" w:hAnsiTheme="majorHAnsi" w:cstheme="majorBidi"/>
          <w:i/>
          <w:iCs/>
          <w:sz w:val="22"/>
          <w:szCs w:val="22"/>
        </w:rPr>
        <w:t>%,</w:t>
      </w:r>
      <w:r w:rsidR="006F0A03" w:rsidRPr="5583D54B">
        <w:rPr>
          <w:rStyle w:val="cf01"/>
          <w:rFonts w:asciiTheme="majorHAnsi" w:hAnsiTheme="majorHAnsi" w:cstheme="majorBidi"/>
          <w:i/>
          <w:iCs/>
          <w:sz w:val="22"/>
          <w:szCs w:val="22"/>
        </w:rPr>
        <w:t xml:space="preserve"> and (ii) As partnerships ended with the private sector,</w:t>
      </w:r>
      <w:r w:rsidR="006B3CFE" w:rsidRPr="5583D54B">
        <w:rPr>
          <w:rStyle w:val="cf01"/>
          <w:rFonts w:asciiTheme="majorHAnsi" w:hAnsiTheme="majorHAnsi" w:cstheme="majorBidi"/>
          <w:i/>
          <w:iCs/>
          <w:sz w:val="22"/>
          <w:szCs w:val="22"/>
        </w:rPr>
        <w:t xml:space="preserve"> it</w:t>
      </w:r>
      <w:r w:rsidR="006F0A03" w:rsidRPr="5583D54B">
        <w:rPr>
          <w:rStyle w:val="cf01"/>
          <w:rFonts w:asciiTheme="majorHAnsi" w:hAnsiTheme="majorHAnsi" w:cstheme="majorBidi"/>
          <w:i/>
          <w:iCs/>
          <w:sz w:val="22"/>
          <w:szCs w:val="22"/>
        </w:rPr>
        <w:t xml:space="preserve"> is increas</w:t>
      </w:r>
      <w:r w:rsidR="006B3CFE" w:rsidRPr="5583D54B">
        <w:rPr>
          <w:rStyle w:val="cf01"/>
          <w:rFonts w:asciiTheme="majorHAnsi" w:hAnsiTheme="majorHAnsi" w:cstheme="majorBidi"/>
          <w:i/>
          <w:iCs/>
          <w:sz w:val="22"/>
          <w:szCs w:val="22"/>
        </w:rPr>
        <w:t>ingly</w:t>
      </w:r>
      <w:r w:rsidR="006F0A03" w:rsidRPr="5583D54B">
        <w:rPr>
          <w:rStyle w:val="cf01"/>
          <w:rFonts w:asciiTheme="majorHAnsi" w:hAnsiTheme="majorHAnsi" w:cstheme="majorBidi"/>
          <w:i/>
          <w:iCs/>
          <w:sz w:val="22"/>
          <w:szCs w:val="22"/>
        </w:rPr>
        <w:t xml:space="preserve"> difficulty to conduct impact assessments, which are dependent on partners’ confidential data like sales information. </w:t>
      </w:r>
    </w:p>
    <w:p w14:paraId="2E1E5A5C" w14:textId="4E1B8B60" w:rsidR="00AD5756" w:rsidRPr="00C64064" w:rsidRDefault="00AD5756" w:rsidP="00AD5756">
      <w:pPr>
        <w:jc w:val="both"/>
        <w:rPr>
          <w:rFonts w:asciiTheme="majorHAnsi" w:hAnsiTheme="majorHAnsi" w:cstheme="majorHAnsi"/>
          <w:lang w:val="en-AU"/>
        </w:rPr>
      </w:pPr>
      <w:r w:rsidRPr="00C64064">
        <w:rPr>
          <w:rFonts w:asciiTheme="majorHAnsi" w:hAnsiTheme="majorHAnsi" w:cstheme="majorHAnsi"/>
          <w:lang w:val="en-AU"/>
        </w:rPr>
        <w:t xml:space="preserve">In this reporting period, PRISMA's interventions reached an additional </w:t>
      </w:r>
      <w:r w:rsidR="009849CD">
        <w:rPr>
          <w:rFonts w:asciiTheme="majorHAnsi" w:hAnsiTheme="majorHAnsi" w:cstheme="majorHAnsi"/>
          <w:lang w:val="en-AU"/>
        </w:rPr>
        <w:t>26,993</w:t>
      </w:r>
      <w:r w:rsidRPr="00C64064">
        <w:rPr>
          <w:rFonts w:asciiTheme="majorHAnsi" w:hAnsiTheme="majorHAnsi" w:cstheme="majorHAnsi"/>
          <w:lang w:val="en-AU"/>
        </w:rPr>
        <w:t xml:space="preserve"> smallholder farming households. Over </w:t>
      </w:r>
      <w:r w:rsidR="00ED0934">
        <w:rPr>
          <w:rFonts w:asciiTheme="majorHAnsi" w:hAnsiTheme="majorHAnsi" w:cstheme="majorHAnsi"/>
          <w:lang w:val="en-AU"/>
        </w:rPr>
        <w:t>66.4</w:t>
      </w:r>
      <w:r w:rsidR="002839D0" w:rsidRPr="00C64064">
        <w:rPr>
          <w:rFonts w:asciiTheme="majorHAnsi" w:hAnsiTheme="majorHAnsi" w:cstheme="majorHAnsi"/>
          <w:lang w:val="en-AU"/>
        </w:rPr>
        <w:t>%</w:t>
      </w:r>
      <w:r w:rsidRPr="00C64064">
        <w:rPr>
          <w:rFonts w:asciiTheme="majorHAnsi" w:hAnsiTheme="majorHAnsi" w:cstheme="majorHAnsi"/>
          <w:lang w:val="en-AU"/>
        </w:rPr>
        <w:t xml:space="preserve"> of these households are currently living below the USD5.50 PPP poverty line, and more than </w:t>
      </w:r>
      <w:r w:rsidR="00ED0934">
        <w:rPr>
          <w:rFonts w:asciiTheme="majorHAnsi" w:hAnsiTheme="majorHAnsi" w:cstheme="majorHAnsi"/>
          <w:lang w:val="en-AU"/>
        </w:rPr>
        <w:t>39.9</w:t>
      </w:r>
      <w:r w:rsidR="002839D0" w:rsidRPr="00C64064">
        <w:rPr>
          <w:rFonts w:asciiTheme="majorHAnsi" w:hAnsiTheme="majorHAnsi" w:cstheme="majorHAnsi"/>
          <w:lang w:val="en-AU"/>
        </w:rPr>
        <w:t>%</w:t>
      </w:r>
      <w:r w:rsidRPr="00C64064">
        <w:rPr>
          <w:rFonts w:asciiTheme="majorHAnsi" w:hAnsiTheme="majorHAnsi" w:cstheme="majorHAnsi"/>
          <w:lang w:val="en-AU"/>
        </w:rPr>
        <w:t xml:space="preserve"> live under the USD2.50 PPP poverty line.</w:t>
      </w:r>
    </w:p>
    <w:p w14:paraId="5D7D51D0" w14:textId="4F668E10" w:rsidR="00AD5756" w:rsidRPr="00C64064" w:rsidRDefault="00AD5756" w:rsidP="00AD5756">
      <w:pPr>
        <w:jc w:val="both"/>
        <w:rPr>
          <w:rFonts w:asciiTheme="majorHAnsi" w:hAnsiTheme="majorHAnsi" w:cstheme="majorHAnsi"/>
          <w:lang w:val="en-AU"/>
        </w:rPr>
      </w:pPr>
      <w:r w:rsidRPr="00C64064">
        <w:rPr>
          <w:rFonts w:asciiTheme="majorHAnsi" w:hAnsiTheme="majorHAnsi" w:cstheme="majorHAnsi"/>
          <w:lang w:val="en-AU"/>
        </w:rPr>
        <w:t xml:space="preserve">The increase in outreach this semester </w:t>
      </w:r>
      <w:r w:rsidR="000B494A" w:rsidRPr="00C64064">
        <w:rPr>
          <w:rFonts w:asciiTheme="majorHAnsi" w:hAnsiTheme="majorHAnsi" w:cstheme="majorHAnsi"/>
          <w:lang w:val="en-AU"/>
        </w:rPr>
        <w:t>wa</w:t>
      </w:r>
      <w:r w:rsidRPr="00C64064">
        <w:rPr>
          <w:rFonts w:asciiTheme="majorHAnsi" w:hAnsiTheme="majorHAnsi" w:cstheme="majorHAnsi"/>
          <w:lang w:val="en-AU"/>
        </w:rPr>
        <w:t>s largely attributed to PRISMA's interventions in the mechanisation and beef sectors, which account for 6,699 and 6,089 households, respectively. The remaining households impacted by PRISMA's interventions were in 6 active sectors (mungbean, soil treatment, dairy, vegetable, rice, and pig)</w:t>
      </w:r>
      <w:r w:rsidR="000B494A" w:rsidRPr="00C64064">
        <w:rPr>
          <w:rFonts w:asciiTheme="majorHAnsi" w:hAnsiTheme="majorHAnsi" w:cstheme="majorHAnsi"/>
          <w:lang w:val="en-AU"/>
        </w:rPr>
        <w:t>.</w:t>
      </w:r>
      <w:r w:rsidRPr="00C64064">
        <w:rPr>
          <w:rFonts w:asciiTheme="majorHAnsi" w:hAnsiTheme="majorHAnsi" w:cstheme="majorHAnsi"/>
          <w:lang w:val="en-AU"/>
        </w:rPr>
        <w:t xml:space="preserve"> </w:t>
      </w:r>
    </w:p>
    <w:p w14:paraId="2BB882F6" w14:textId="5D2B8D8A" w:rsidR="00AD5756" w:rsidRPr="00C64064" w:rsidRDefault="00AD5756" w:rsidP="00AD5756">
      <w:pPr>
        <w:jc w:val="both"/>
        <w:rPr>
          <w:rFonts w:asciiTheme="majorHAnsi" w:hAnsiTheme="majorHAnsi" w:cstheme="majorHAnsi"/>
          <w:lang w:val="en-AU"/>
        </w:rPr>
      </w:pPr>
      <w:r w:rsidRPr="00C64064">
        <w:rPr>
          <w:rFonts w:asciiTheme="majorHAnsi" w:hAnsiTheme="majorHAnsi" w:cstheme="majorHAnsi"/>
          <w:lang w:val="en-AU"/>
        </w:rPr>
        <w:t xml:space="preserve">To attribute the results in this semester, PRISMA conducted 7 impact assessments and </w:t>
      </w:r>
      <w:r w:rsidR="00ED0934">
        <w:rPr>
          <w:rFonts w:asciiTheme="majorHAnsi" w:hAnsiTheme="majorHAnsi" w:cstheme="majorHAnsi"/>
          <w:lang w:val="en-AU"/>
        </w:rPr>
        <w:t>1</w:t>
      </w:r>
      <w:r w:rsidR="000A2205">
        <w:rPr>
          <w:rFonts w:asciiTheme="majorHAnsi" w:hAnsiTheme="majorHAnsi" w:cstheme="majorHAnsi"/>
          <w:lang w:val="en-AU"/>
        </w:rPr>
        <w:t>2</w:t>
      </w:r>
      <w:r w:rsidR="00ED0934" w:rsidRPr="00C64064">
        <w:rPr>
          <w:rFonts w:asciiTheme="majorHAnsi" w:hAnsiTheme="majorHAnsi" w:cstheme="majorHAnsi"/>
          <w:lang w:val="en-AU"/>
        </w:rPr>
        <w:t xml:space="preserve"> </w:t>
      </w:r>
      <w:r w:rsidRPr="00C64064">
        <w:rPr>
          <w:rFonts w:asciiTheme="majorHAnsi" w:hAnsiTheme="majorHAnsi" w:cstheme="majorHAnsi"/>
          <w:lang w:val="en-AU"/>
        </w:rPr>
        <w:t>extrapolations.</w:t>
      </w:r>
      <w:r w:rsidRPr="00C64064">
        <w:rPr>
          <w:rFonts w:asciiTheme="majorHAnsi" w:hAnsiTheme="majorHAnsi" w:cstheme="majorHAnsi"/>
        </w:rPr>
        <w:t xml:space="preserve"> </w:t>
      </w:r>
      <w:r w:rsidRPr="00C64064">
        <w:rPr>
          <w:rFonts w:asciiTheme="majorHAnsi" w:hAnsiTheme="majorHAnsi" w:cstheme="majorHAnsi"/>
          <w:lang w:val="en-AU"/>
        </w:rPr>
        <w:t xml:space="preserve">The number of beneficiaries decreased compared to last semester due to a staggering </w:t>
      </w:r>
      <w:r w:rsidR="00ED0934">
        <w:rPr>
          <w:rFonts w:asciiTheme="majorHAnsi" w:hAnsiTheme="majorHAnsi" w:cstheme="majorHAnsi"/>
          <w:lang w:val="en-AU"/>
        </w:rPr>
        <w:t>61.1</w:t>
      </w:r>
      <w:r w:rsidR="002839D0" w:rsidRPr="00C64064">
        <w:rPr>
          <w:rFonts w:asciiTheme="majorHAnsi" w:hAnsiTheme="majorHAnsi" w:cstheme="majorHAnsi"/>
          <w:lang w:val="en-AU"/>
        </w:rPr>
        <w:t>%</w:t>
      </w:r>
      <w:r w:rsidRPr="00C64064">
        <w:rPr>
          <w:rFonts w:asciiTheme="majorHAnsi" w:hAnsiTheme="majorHAnsi" w:cstheme="majorHAnsi"/>
          <w:lang w:val="en-AU"/>
        </w:rPr>
        <w:t xml:space="preserve"> overlap</w:t>
      </w:r>
      <w:r w:rsidRPr="00C64064">
        <w:rPr>
          <w:rStyle w:val="FootnoteReference"/>
          <w:rFonts w:asciiTheme="majorHAnsi" w:hAnsiTheme="majorHAnsi" w:cstheme="majorHAnsi"/>
          <w:lang w:val="en-AU"/>
        </w:rPr>
        <w:footnoteReference w:id="11"/>
      </w:r>
      <w:r w:rsidRPr="00C64064">
        <w:rPr>
          <w:rFonts w:asciiTheme="majorHAnsi" w:hAnsiTheme="majorHAnsi" w:cstheme="majorHAnsi"/>
          <w:lang w:val="en-AU"/>
        </w:rPr>
        <w:t xml:space="preserve"> in beneficiaries this semester, indicating </w:t>
      </w:r>
      <w:r w:rsidR="00E361A8" w:rsidRPr="00C64064">
        <w:rPr>
          <w:rFonts w:asciiTheme="majorHAnsi" w:hAnsiTheme="majorHAnsi" w:cstheme="majorHAnsi"/>
          <w:lang w:val="en-AU"/>
        </w:rPr>
        <w:t xml:space="preserve">that </w:t>
      </w:r>
      <w:r w:rsidRPr="00C64064">
        <w:rPr>
          <w:rFonts w:asciiTheme="majorHAnsi" w:hAnsiTheme="majorHAnsi" w:cstheme="majorHAnsi"/>
          <w:lang w:val="en-AU"/>
        </w:rPr>
        <w:t>more farm</w:t>
      </w:r>
      <w:r w:rsidR="00FE0E18" w:rsidRPr="00C64064">
        <w:rPr>
          <w:rFonts w:asciiTheme="majorHAnsi" w:hAnsiTheme="majorHAnsi" w:cstheme="majorHAnsi"/>
          <w:lang w:val="en-AU"/>
        </w:rPr>
        <w:t>ing</w:t>
      </w:r>
      <w:r w:rsidRPr="00C64064">
        <w:rPr>
          <w:rFonts w:asciiTheme="majorHAnsi" w:hAnsiTheme="majorHAnsi" w:cstheme="majorHAnsi"/>
          <w:lang w:val="en-AU"/>
        </w:rPr>
        <w:t xml:space="preserve"> household</w:t>
      </w:r>
      <w:r w:rsidR="00E361A8" w:rsidRPr="00C64064">
        <w:rPr>
          <w:rFonts w:asciiTheme="majorHAnsi" w:hAnsiTheme="majorHAnsi" w:cstheme="majorHAnsi"/>
          <w:lang w:val="en-AU"/>
        </w:rPr>
        <w:t>s</w:t>
      </w:r>
      <w:r w:rsidRPr="00C64064">
        <w:rPr>
          <w:rFonts w:asciiTheme="majorHAnsi" w:hAnsiTheme="majorHAnsi" w:cstheme="majorHAnsi"/>
          <w:lang w:val="en-AU"/>
        </w:rPr>
        <w:t xml:space="preserve"> access and benefit </w:t>
      </w:r>
      <w:r w:rsidR="00E361A8" w:rsidRPr="00C64064">
        <w:rPr>
          <w:rFonts w:asciiTheme="majorHAnsi" w:hAnsiTheme="majorHAnsi" w:cstheme="majorHAnsi"/>
          <w:lang w:val="en-AU"/>
        </w:rPr>
        <w:t>from</w:t>
      </w:r>
      <w:r w:rsidRPr="00C64064">
        <w:rPr>
          <w:rFonts w:asciiTheme="majorHAnsi" w:hAnsiTheme="majorHAnsi" w:cstheme="majorHAnsi"/>
          <w:lang w:val="en-AU"/>
        </w:rPr>
        <w:t xml:space="preserve"> multiple innovations from PRISMA’s partners. </w:t>
      </w:r>
    </w:p>
    <w:p w14:paraId="6084EE82" w14:textId="6AE1CCE2" w:rsidR="00AD5756" w:rsidRPr="00C64064" w:rsidRDefault="00AD5756" w:rsidP="00AD5756">
      <w:pPr>
        <w:jc w:val="both"/>
        <w:rPr>
          <w:rFonts w:asciiTheme="majorHAnsi" w:hAnsiTheme="majorHAnsi" w:cstheme="majorHAnsi"/>
          <w:lang w:val="en-AU"/>
        </w:rPr>
      </w:pPr>
      <w:r w:rsidRPr="00C64064">
        <w:rPr>
          <w:rFonts w:asciiTheme="majorHAnsi" w:hAnsiTheme="majorHAnsi" w:cstheme="majorHAnsi"/>
          <w:lang w:val="en-AU"/>
        </w:rPr>
        <w:t xml:space="preserve">This semester, </w:t>
      </w:r>
      <w:r w:rsidR="00ED0934">
        <w:rPr>
          <w:rFonts w:asciiTheme="majorHAnsi" w:hAnsiTheme="majorHAnsi" w:cstheme="majorHAnsi"/>
          <w:lang w:val="en-AU"/>
        </w:rPr>
        <w:t>19.6</w:t>
      </w:r>
      <w:r w:rsidR="002839D0" w:rsidRPr="00C64064">
        <w:rPr>
          <w:rFonts w:asciiTheme="majorHAnsi" w:hAnsiTheme="majorHAnsi" w:cstheme="majorHAnsi"/>
          <w:lang w:val="en-AU"/>
        </w:rPr>
        <w:t>%</w:t>
      </w:r>
      <w:r w:rsidRPr="00C64064">
        <w:rPr>
          <w:rFonts w:asciiTheme="majorHAnsi" w:hAnsiTheme="majorHAnsi" w:cstheme="majorHAnsi"/>
          <w:lang w:val="en-AU"/>
        </w:rPr>
        <w:t xml:space="preserve"> of overall outreach came from the wider market as PRISMA’s partners in the beef, mechanisation, vegetable, rice, and dairy sectors independently expanded their businesses beyond PRISMA’s intervention areas. </w:t>
      </w:r>
    </w:p>
    <w:p w14:paraId="66BED494" w14:textId="737DED90" w:rsidR="00AD5756" w:rsidRPr="00C64064" w:rsidRDefault="00AD5756" w:rsidP="00AD5756">
      <w:pPr>
        <w:jc w:val="both"/>
        <w:rPr>
          <w:rFonts w:asciiTheme="majorHAnsi" w:hAnsiTheme="majorHAnsi" w:cstheme="majorHAnsi"/>
          <w:lang w:val="en-AU"/>
        </w:rPr>
      </w:pPr>
      <w:r w:rsidRPr="00450972">
        <w:rPr>
          <w:rFonts w:asciiTheme="majorHAnsi" w:hAnsiTheme="majorHAnsi" w:cstheme="majorHAnsi"/>
          <w:lang w:val="en-AU"/>
        </w:rPr>
        <w:t xml:space="preserve">The overall proportion of wider outreach reached </w:t>
      </w:r>
      <w:r w:rsidR="00ED0934" w:rsidRPr="00450972">
        <w:rPr>
          <w:rFonts w:asciiTheme="majorHAnsi" w:hAnsiTheme="majorHAnsi" w:cstheme="majorHAnsi"/>
          <w:lang w:val="en-AU"/>
        </w:rPr>
        <w:t>48.7</w:t>
      </w:r>
      <w:r w:rsidR="002839D0" w:rsidRPr="00450972">
        <w:rPr>
          <w:rFonts w:asciiTheme="majorHAnsi" w:hAnsiTheme="majorHAnsi" w:cstheme="majorHAnsi"/>
          <w:lang w:val="en-AU"/>
        </w:rPr>
        <w:t>%</w:t>
      </w:r>
      <w:r w:rsidRPr="00450972">
        <w:rPr>
          <w:rFonts w:asciiTheme="majorHAnsi" w:hAnsiTheme="majorHAnsi" w:cstheme="majorHAnsi"/>
          <w:lang w:val="en-AU"/>
        </w:rPr>
        <w:t>, indicating that PRISMA’s interventions have led to sustainable and scalable outcomes.</w:t>
      </w:r>
    </w:p>
    <w:p w14:paraId="6D508429" w14:textId="579EE14D" w:rsidR="00006AA7" w:rsidRPr="000919C1" w:rsidRDefault="00006AA7" w:rsidP="00AD5756">
      <w:pPr>
        <w:jc w:val="both"/>
        <w:rPr>
          <w:b/>
          <w:bCs/>
          <w:color w:val="002060"/>
        </w:rPr>
      </w:pPr>
      <w:r>
        <w:rPr>
          <w:b/>
          <w:bCs/>
          <w:color w:val="002060"/>
        </w:rPr>
        <w:t>Income</w:t>
      </w:r>
    </w:p>
    <w:p w14:paraId="692B1255" w14:textId="410FAA12" w:rsidR="00AD5756" w:rsidRPr="00C64064" w:rsidRDefault="00AD5756" w:rsidP="00AD5756">
      <w:pPr>
        <w:jc w:val="both"/>
        <w:rPr>
          <w:rFonts w:asciiTheme="majorHAnsi" w:hAnsiTheme="majorHAnsi" w:cstheme="majorHAnsi"/>
          <w:lang w:val="en-AU"/>
        </w:rPr>
      </w:pPr>
      <w:r w:rsidRPr="00C64064">
        <w:rPr>
          <w:rFonts w:asciiTheme="majorHAnsi" w:hAnsiTheme="majorHAnsi" w:cstheme="majorHAnsi"/>
          <w:lang w:val="en-AU"/>
        </w:rPr>
        <w:t xml:space="preserve">This semester's average </w:t>
      </w:r>
      <w:r w:rsidR="00FA11EF" w:rsidRPr="00C64064">
        <w:rPr>
          <w:rFonts w:asciiTheme="majorHAnsi" w:hAnsiTheme="majorHAnsi" w:cstheme="majorHAnsi"/>
          <w:lang w:val="en-AU"/>
        </w:rPr>
        <w:t>NAIC</w:t>
      </w:r>
      <w:r w:rsidRPr="00C64064">
        <w:rPr>
          <w:rFonts w:asciiTheme="majorHAnsi" w:hAnsiTheme="majorHAnsi" w:cstheme="majorHAnsi"/>
          <w:lang w:val="en-AU"/>
        </w:rPr>
        <w:t xml:space="preserve"> percentage was </w:t>
      </w:r>
      <w:r w:rsidR="00ED0934">
        <w:rPr>
          <w:rFonts w:asciiTheme="majorHAnsi" w:hAnsiTheme="majorHAnsi" w:cstheme="majorHAnsi"/>
          <w:lang w:val="en-AU"/>
        </w:rPr>
        <w:t>33.3</w:t>
      </w:r>
      <w:r w:rsidR="002839D0" w:rsidRPr="00C64064">
        <w:rPr>
          <w:rFonts w:asciiTheme="majorHAnsi" w:hAnsiTheme="majorHAnsi" w:cstheme="majorHAnsi"/>
          <w:lang w:val="en-AU"/>
        </w:rPr>
        <w:t>%</w:t>
      </w:r>
      <w:r w:rsidRPr="00C64064">
        <w:rPr>
          <w:rFonts w:asciiTheme="majorHAnsi" w:hAnsiTheme="majorHAnsi" w:cstheme="majorHAnsi"/>
          <w:lang w:val="en-AU"/>
        </w:rPr>
        <w:t>, contributing to a cumulative percentage of net attributable income of 123</w:t>
      </w:r>
      <w:r w:rsidR="002839D0" w:rsidRPr="00C64064">
        <w:rPr>
          <w:rFonts w:asciiTheme="majorHAnsi" w:hAnsiTheme="majorHAnsi" w:cstheme="majorHAnsi"/>
          <w:lang w:val="en-AU"/>
        </w:rPr>
        <w:t>%</w:t>
      </w:r>
      <w:r w:rsidRPr="00C64064">
        <w:rPr>
          <w:rFonts w:asciiTheme="majorHAnsi" w:hAnsiTheme="majorHAnsi" w:cstheme="majorHAnsi"/>
          <w:lang w:val="en-AU"/>
        </w:rPr>
        <w:t>, a change from 149</w:t>
      </w:r>
      <w:r w:rsidR="00012D28" w:rsidRPr="00C64064">
        <w:rPr>
          <w:rFonts w:asciiTheme="majorHAnsi" w:hAnsiTheme="majorHAnsi" w:cstheme="majorHAnsi"/>
          <w:lang w:val="en-AU"/>
        </w:rPr>
        <w:t>%</w:t>
      </w:r>
      <w:r w:rsidRPr="00C64064">
        <w:rPr>
          <w:rFonts w:asciiTheme="majorHAnsi" w:hAnsiTheme="majorHAnsi" w:cstheme="majorHAnsi"/>
          <w:lang w:val="en-AU"/>
        </w:rPr>
        <w:t xml:space="preserve"> in the previous semester. As outreach grows, a slight decrease in </w:t>
      </w:r>
      <w:r w:rsidR="00FA11EF" w:rsidRPr="00C64064">
        <w:rPr>
          <w:rFonts w:asciiTheme="majorHAnsi" w:hAnsiTheme="majorHAnsi" w:cstheme="majorHAnsi"/>
          <w:lang w:val="en-AU"/>
        </w:rPr>
        <w:t>NAIC</w:t>
      </w:r>
      <w:r w:rsidRPr="00C64064">
        <w:rPr>
          <w:rFonts w:asciiTheme="majorHAnsi" w:hAnsiTheme="majorHAnsi" w:cstheme="majorHAnsi"/>
          <w:lang w:val="en-AU"/>
        </w:rPr>
        <w:t xml:space="preserve"> percentage is expected as the innovations reach more households further along the spectrum of innovation diffusion, as these households tend to have less capital and skill than early adopters of innovations.</w:t>
      </w:r>
    </w:p>
    <w:p w14:paraId="346B44AF" w14:textId="10FC38A7" w:rsidR="00AD5756" w:rsidRPr="00C64064" w:rsidRDefault="00AD5756" w:rsidP="00AD5756">
      <w:pPr>
        <w:jc w:val="both"/>
        <w:rPr>
          <w:rFonts w:asciiTheme="majorHAnsi" w:hAnsiTheme="majorHAnsi" w:cstheme="majorHAnsi"/>
          <w:lang w:val="en-AU"/>
        </w:rPr>
      </w:pPr>
      <w:r w:rsidRPr="00C64064">
        <w:rPr>
          <w:rFonts w:asciiTheme="majorHAnsi" w:hAnsiTheme="majorHAnsi" w:cstheme="majorHAnsi"/>
          <w:lang w:val="en-AU"/>
        </w:rPr>
        <w:t>Meanwhile,  the net attributable income increased by 4.65</w:t>
      </w:r>
      <w:r w:rsidR="00012D28" w:rsidRPr="00C64064">
        <w:rPr>
          <w:rFonts w:asciiTheme="majorHAnsi" w:hAnsiTheme="majorHAnsi" w:cstheme="majorHAnsi"/>
          <w:lang w:val="en-AU"/>
        </w:rPr>
        <w:t>%</w:t>
      </w:r>
      <w:r w:rsidRPr="00C64064">
        <w:rPr>
          <w:rFonts w:asciiTheme="majorHAnsi" w:hAnsiTheme="majorHAnsi" w:cstheme="majorHAnsi"/>
          <w:lang w:val="en-AU"/>
        </w:rPr>
        <w:t xml:space="preserve"> per household</w:t>
      </w:r>
      <w:r w:rsidR="00FE0E18" w:rsidRPr="00C64064">
        <w:rPr>
          <w:rFonts w:asciiTheme="majorHAnsi" w:hAnsiTheme="majorHAnsi" w:cstheme="majorHAnsi"/>
          <w:lang w:val="en-AU"/>
        </w:rPr>
        <w:t xml:space="preserve"> this semester</w:t>
      </w:r>
      <w:r w:rsidRPr="00C64064">
        <w:rPr>
          <w:rFonts w:asciiTheme="majorHAnsi" w:hAnsiTheme="majorHAnsi" w:cstheme="majorHAnsi"/>
          <w:lang w:val="en-AU"/>
        </w:rPr>
        <w:t xml:space="preserve">, from IDR3.49 million the previous semester to IDR3.65 million per household. The total </w:t>
      </w:r>
      <w:r w:rsidR="00FA11EF" w:rsidRPr="00C64064">
        <w:rPr>
          <w:rFonts w:asciiTheme="majorHAnsi" w:hAnsiTheme="majorHAnsi" w:cstheme="majorHAnsi"/>
          <w:lang w:val="en-AU"/>
        </w:rPr>
        <w:t>NAIC</w:t>
      </w:r>
      <w:r w:rsidRPr="00C64064">
        <w:rPr>
          <w:rFonts w:asciiTheme="majorHAnsi" w:hAnsiTheme="majorHAnsi" w:cstheme="majorHAnsi"/>
          <w:lang w:val="en-AU"/>
        </w:rPr>
        <w:t xml:space="preserve"> for this semester from all PRISMA beneficiary farming households amounted to IDR253 billion, bringing the cumulative </w:t>
      </w:r>
      <w:r w:rsidR="00FA11EF" w:rsidRPr="00C64064">
        <w:rPr>
          <w:rFonts w:asciiTheme="majorHAnsi" w:hAnsiTheme="majorHAnsi" w:cstheme="majorHAnsi"/>
          <w:lang w:val="en-AU"/>
        </w:rPr>
        <w:t>NAIC</w:t>
      </w:r>
      <w:r w:rsidRPr="00C64064">
        <w:rPr>
          <w:rFonts w:asciiTheme="majorHAnsi" w:hAnsiTheme="majorHAnsi" w:cstheme="majorHAnsi"/>
          <w:lang w:val="en-AU"/>
        </w:rPr>
        <w:t xml:space="preserve"> to IDR</w:t>
      </w:r>
      <w:r w:rsidR="00ED0934">
        <w:rPr>
          <w:rFonts w:asciiTheme="majorHAnsi" w:hAnsiTheme="majorHAnsi" w:cstheme="majorHAnsi"/>
          <w:lang w:val="en-AU"/>
        </w:rPr>
        <w:t xml:space="preserve">9.27 </w:t>
      </w:r>
      <w:r w:rsidRPr="00C64064">
        <w:rPr>
          <w:rFonts w:asciiTheme="majorHAnsi" w:hAnsiTheme="majorHAnsi" w:cstheme="majorHAnsi"/>
          <w:lang w:val="en-AU"/>
        </w:rPr>
        <w:t>trillion or approximately AUD927 million. These figures demonstrate the continuous positive impact and progress generated by PRISMA’s interventions.</w:t>
      </w:r>
    </w:p>
    <w:p w14:paraId="4B57E24F" w14:textId="26D2B405" w:rsidR="00CE1041" w:rsidRPr="00C64064" w:rsidRDefault="00CE1041" w:rsidP="00B03C3A">
      <w:pPr>
        <w:pStyle w:val="Head3"/>
      </w:pPr>
      <w:bookmarkStart w:id="62" w:name="_Toc173318303"/>
      <w:bookmarkStart w:id="63" w:name="_Toc179192295"/>
      <w:bookmarkStart w:id="64" w:name="_Toc180155160"/>
      <w:r w:rsidRPr="00C64064">
        <w:t>Intermediary Outcomes</w:t>
      </w:r>
      <w:bookmarkEnd w:id="62"/>
      <w:bookmarkEnd w:id="63"/>
      <w:bookmarkEnd w:id="64"/>
      <w:r w:rsidRPr="00C64064">
        <w:t> </w:t>
      </w:r>
    </w:p>
    <w:p w14:paraId="0591C140" w14:textId="2ED774C7" w:rsidR="00CE1041" w:rsidRPr="00C64064" w:rsidRDefault="00CE1041" w:rsidP="00CE1041">
      <w:pPr>
        <w:pStyle w:val="Body"/>
        <w:rPr>
          <w:rFonts w:asciiTheme="majorHAnsi" w:hAnsiTheme="majorHAnsi" w:cstheme="majorHAnsi"/>
          <w:lang w:val="en-US" w:eastAsia="en-US"/>
        </w:rPr>
      </w:pPr>
      <w:r w:rsidRPr="00C64064">
        <w:rPr>
          <w:rFonts w:asciiTheme="majorHAnsi" w:hAnsiTheme="majorHAnsi" w:cstheme="majorHAnsi"/>
          <w:lang w:val="en-AU" w:eastAsia="en-US"/>
        </w:rPr>
        <w:t>PRISMA has 3 intermediary outcomes. The intermediary outcomes do not have individual targets but collectively contribute to the program achievement of the end-of-program outcomes.</w:t>
      </w:r>
      <w:r w:rsidRPr="00C64064">
        <w:rPr>
          <w:rFonts w:asciiTheme="majorHAnsi" w:hAnsiTheme="majorHAnsi" w:cstheme="majorHAnsi"/>
          <w:lang w:val="en-US" w:eastAsia="en-US"/>
        </w:rPr>
        <w:t> </w:t>
      </w:r>
    </w:p>
    <w:p w14:paraId="43AF71D7" w14:textId="0902984A" w:rsidR="00CE1041" w:rsidRPr="00C64064" w:rsidRDefault="00CE1041" w:rsidP="00685A03">
      <w:pPr>
        <w:pStyle w:val="Head4"/>
        <w:rPr>
          <w:rFonts w:asciiTheme="majorHAnsi" w:hAnsiTheme="majorHAnsi" w:cstheme="majorHAnsi"/>
          <w:szCs w:val="22"/>
          <w:lang w:val="en-US" w:eastAsia="en-US"/>
        </w:rPr>
      </w:pPr>
      <w:r w:rsidRPr="00C64064">
        <w:rPr>
          <w:rFonts w:asciiTheme="majorHAnsi" w:hAnsiTheme="majorHAnsi" w:cstheme="majorHAnsi"/>
          <w:szCs w:val="22"/>
          <w:lang w:eastAsia="en-US"/>
        </w:rPr>
        <w:t xml:space="preserve">Progress towards intermediate outcome 1: Targeted farming households achieve greater access to and improved use of new services, inputs, and technologies supplied by </w:t>
      </w:r>
      <w:r w:rsidRPr="00C64064">
        <w:rPr>
          <w:rFonts w:asciiTheme="majorHAnsi" w:hAnsiTheme="majorHAnsi" w:cstheme="majorHAnsi"/>
          <w:szCs w:val="22"/>
          <w:lang w:eastAsia="en-US"/>
        </w:rPr>
        <w:lastRenderedPageBreak/>
        <w:t>private sector partners and their intermediate agents or service providers, such as retailers, traders, and brokers.</w:t>
      </w:r>
      <w:r w:rsidRPr="00C64064">
        <w:rPr>
          <w:rFonts w:asciiTheme="majorHAnsi" w:hAnsiTheme="majorHAnsi" w:cstheme="majorHAnsi"/>
          <w:szCs w:val="22"/>
          <w:lang w:val="en-US" w:eastAsia="en-US"/>
        </w:rPr>
        <w:t> </w:t>
      </w:r>
    </w:p>
    <w:p w14:paraId="3CAF2AC9" w14:textId="5C410C57" w:rsidR="00CE1041" w:rsidRPr="00C64064" w:rsidRDefault="00CE1041" w:rsidP="00CE1041">
      <w:pPr>
        <w:pStyle w:val="Body"/>
        <w:rPr>
          <w:rFonts w:asciiTheme="majorHAnsi" w:hAnsiTheme="majorHAnsi" w:cstheme="majorHAnsi"/>
          <w:lang w:val="en-US" w:eastAsia="en-US"/>
        </w:rPr>
      </w:pPr>
      <w:r w:rsidRPr="00C64064">
        <w:rPr>
          <w:rFonts w:asciiTheme="majorHAnsi" w:hAnsiTheme="majorHAnsi" w:cstheme="majorHAnsi"/>
          <w:lang w:val="en-AU" w:eastAsia="en-US"/>
        </w:rPr>
        <w:t>Greater access and improved use refer to the number of farming households that received and used new services, inputs, and technologies attributed to a PRISMA intervention (for example, high-quality rice or maize seeds, fertilisers, pig breeding or cattle health services).</w:t>
      </w:r>
      <w:r w:rsidRPr="00C64064">
        <w:rPr>
          <w:rFonts w:asciiTheme="majorHAnsi" w:hAnsiTheme="majorHAnsi" w:cstheme="majorHAnsi"/>
          <w:lang w:val="en-US" w:eastAsia="en-US"/>
        </w:rPr>
        <w:t> </w:t>
      </w:r>
    </w:p>
    <w:p w14:paraId="7A50A0B6" w14:textId="77777777" w:rsidR="005130B7" w:rsidRPr="00C64064" w:rsidRDefault="005130B7" w:rsidP="00CE1041">
      <w:pPr>
        <w:pStyle w:val="Body"/>
        <w:rPr>
          <w:rFonts w:asciiTheme="majorHAnsi" w:hAnsiTheme="majorHAnsi" w:cstheme="majorHAnsi"/>
          <w:lang w:val="en-AU" w:eastAsia="en-US"/>
        </w:rPr>
      </w:pPr>
    </w:p>
    <w:p w14:paraId="5827A836" w14:textId="3716166A" w:rsidR="00B457F7" w:rsidRPr="00C64064" w:rsidRDefault="00CE1041" w:rsidP="00B457F7">
      <w:pPr>
        <w:pStyle w:val="Body"/>
        <w:rPr>
          <w:rFonts w:asciiTheme="majorHAnsi" w:hAnsiTheme="majorHAnsi" w:cstheme="majorHAnsi"/>
          <w:lang w:val="en-US" w:eastAsia="en-US"/>
        </w:rPr>
      </w:pPr>
      <w:r w:rsidRPr="00C64064">
        <w:rPr>
          <w:rFonts w:asciiTheme="majorHAnsi" w:hAnsiTheme="majorHAnsi" w:cstheme="majorHAnsi"/>
          <w:lang w:val="en-AU" w:eastAsia="en-US"/>
        </w:rPr>
        <w:t xml:space="preserve">This semester, 72,912 farming households accessed and used new products and services, bringing the cumulative total to 2,741,236 smallholder farming households. The new services, inputs and technologies have been provided by 273 private and public sector partners and </w:t>
      </w:r>
      <w:r w:rsidR="007900F9">
        <w:rPr>
          <w:rFonts w:asciiTheme="majorHAnsi" w:hAnsiTheme="majorHAnsi" w:cstheme="majorHAnsi"/>
          <w:lang w:val="en-AU" w:eastAsia="en-US"/>
        </w:rPr>
        <w:t>15,107</w:t>
      </w:r>
      <w:r w:rsidRPr="00C64064">
        <w:rPr>
          <w:rFonts w:asciiTheme="majorHAnsi" w:hAnsiTheme="majorHAnsi" w:cstheme="majorHAnsi"/>
          <w:lang w:val="en-AU" w:eastAsia="en-US"/>
        </w:rPr>
        <w:t xml:space="preserve"> intermediary service providers, including agri-kiosks and traders.</w:t>
      </w:r>
    </w:p>
    <w:tbl>
      <w:tblPr>
        <w:tblStyle w:val="TableGrid"/>
        <w:tblW w:w="0" w:type="auto"/>
        <w:tblLook w:val="04A0" w:firstRow="1" w:lastRow="0" w:firstColumn="1" w:lastColumn="0" w:noHBand="0" w:noVBand="1"/>
      </w:tblPr>
      <w:tblGrid>
        <w:gridCol w:w="9376"/>
      </w:tblGrid>
      <w:tr w:rsidR="00B457F7" w:rsidRPr="00C64064" w14:paraId="5558FEFD" w14:textId="77777777" w:rsidTr="00B457F7">
        <w:trPr>
          <w:cnfStyle w:val="100000000000" w:firstRow="1" w:lastRow="0" w:firstColumn="0" w:lastColumn="0" w:oddVBand="0" w:evenVBand="0" w:oddHBand="0" w:evenHBand="0" w:firstRowFirstColumn="0" w:firstRowLastColumn="0" w:lastRowFirstColumn="0" w:lastRowLastColumn="0"/>
        </w:trPr>
        <w:tc>
          <w:tcPr>
            <w:tcW w:w="9376" w:type="dxa"/>
          </w:tcPr>
          <w:p w14:paraId="51F594C4" w14:textId="30C5CAF9" w:rsidR="00B457F7" w:rsidRPr="00C64064" w:rsidRDefault="00B457F7" w:rsidP="00B457F7">
            <w:pPr>
              <w:pStyle w:val="BodyNoSpace"/>
              <w:rPr>
                <w:rFonts w:asciiTheme="majorHAnsi" w:hAnsiTheme="majorHAnsi" w:cstheme="majorHAnsi"/>
              </w:rPr>
            </w:pPr>
            <w:r w:rsidRPr="00302B4E">
              <w:rPr>
                <w:rFonts w:asciiTheme="majorHAnsi" w:hAnsiTheme="majorHAnsi" w:cstheme="majorHAnsi"/>
                <w:color w:val="005C71"/>
              </w:rPr>
              <w:t>Around 18,467 smallholder farming households involved in the rice and maize sectors have reduced their production costs by using combine harvester machinery services offered by PRISMA’s partners and service providers. This was achieved through partners scaling up their online and offline marketing activities and offering machinery services in new areas. To date, partnerships with 11 machinery service providers have benefitted 69,960 rice and maize smallholder farmers in East Java, Central Java, NTT, NTB and 4 other provinces beyond PRISMA’s working areas. </w:t>
            </w:r>
          </w:p>
        </w:tc>
      </w:tr>
    </w:tbl>
    <w:p w14:paraId="3855665D" w14:textId="4972DEC8" w:rsidR="00CE1041" w:rsidRPr="00C64064" w:rsidRDefault="00CE1041" w:rsidP="00FD3F4B">
      <w:pPr>
        <w:pStyle w:val="Head4"/>
        <w:rPr>
          <w:rFonts w:asciiTheme="majorHAnsi" w:hAnsiTheme="majorHAnsi" w:cstheme="majorHAnsi"/>
          <w:szCs w:val="22"/>
          <w:lang w:val="en-US" w:eastAsia="en-US"/>
        </w:rPr>
      </w:pPr>
      <w:r w:rsidRPr="00C64064">
        <w:rPr>
          <w:rFonts w:asciiTheme="majorHAnsi" w:hAnsiTheme="majorHAnsi" w:cstheme="majorHAnsi"/>
          <w:szCs w:val="22"/>
          <w:lang w:eastAsia="en-US"/>
        </w:rPr>
        <w:t>Progress towards intermediate outcome 2: An expanded pool of private sector actors systematically target smallholder farming households in their business growth strategies and increas</w:t>
      </w:r>
      <w:r w:rsidR="00991A22" w:rsidRPr="00C64064">
        <w:rPr>
          <w:rFonts w:asciiTheme="majorHAnsi" w:hAnsiTheme="majorHAnsi" w:cstheme="majorHAnsi"/>
          <w:szCs w:val="22"/>
          <w:lang w:eastAsia="en-US"/>
        </w:rPr>
        <w:t>e</w:t>
      </w:r>
      <w:r w:rsidRPr="00C64064">
        <w:rPr>
          <w:rFonts w:asciiTheme="majorHAnsi" w:hAnsiTheme="majorHAnsi" w:cstheme="majorHAnsi"/>
          <w:szCs w:val="22"/>
          <w:lang w:eastAsia="en-US"/>
        </w:rPr>
        <w:t xml:space="preserve"> their profit.</w:t>
      </w:r>
      <w:r w:rsidRPr="00C64064">
        <w:rPr>
          <w:rFonts w:asciiTheme="majorHAnsi" w:hAnsiTheme="majorHAnsi" w:cstheme="majorHAnsi"/>
          <w:szCs w:val="22"/>
          <w:lang w:val="en-US" w:eastAsia="en-US"/>
        </w:rPr>
        <w:t> </w:t>
      </w:r>
    </w:p>
    <w:p w14:paraId="3F44DC92" w14:textId="31D6B0B2" w:rsidR="00CE1041" w:rsidRPr="00C64064" w:rsidRDefault="00CE1041" w:rsidP="00CE1041">
      <w:pPr>
        <w:pStyle w:val="Body"/>
        <w:rPr>
          <w:rFonts w:asciiTheme="majorHAnsi" w:hAnsiTheme="majorHAnsi" w:cstheme="majorHAnsi"/>
          <w:lang w:val="en-US" w:eastAsia="en-US"/>
        </w:rPr>
      </w:pPr>
      <w:r w:rsidRPr="00C64064">
        <w:rPr>
          <w:rFonts w:asciiTheme="majorHAnsi" w:hAnsiTheme="majorHAnsi" w:cstheme="majorHAnsi"/>
          <w:lang w:val="en-AU" w:eastAsia="en-US"/>
        </w:rPr>
        <w:t>During the reporting semester, PRISMA identified 95 intermediary service providers</w:t>
      </w:r>
      <w:r w:rsidR="00B87AD9" w:rsidRPr="00C64064">
        <w:rPr>
          <w:rFonts w:asciiTheme="majorHAnsi" w:hAnsiTheme="majorHAnsi" w:cstheme="majorHAnsi"/>
          <w:lang w:val="en-AU" w:eastAsia="en-US"/>
        </w:rPr>
        <w:t xml:space="preserve"> serving smallholder farmers</w:t>
      </w:r>
      <w:r w:rsidRPr="00C64064">
        <w:rPr>
          <w:rFonts w:asciiTheme="majorHAnsi" w:hAnsiTheme="majorHAnsi" w:cstheme="majorHAnsi"/>
          <w:lang w:val="en-AU" w:eastAsia="en-US"/>
        </w:rPr>
        <w:t>, including agri-kiosks and traders, new services, inputs, and technologies, bring</w:t>
      </w:r>
      <w:r w:rsidR="001C6B57" w:rsidRPr="00C64064">
        <w:rPr>
          <w:rFonts w:asciiTheme="majorHAnsi" w:hAnsiTheme="majorHAnsi" w:cstheme="majorHAnsi"/>
          <w:lang w:val="en-AU" w:eastAsia="en-US"/>
        </w:rPr>
        <w:t>ing</w:t>
      </w:r>
      <w:r w:rsidRPr="00C64064">
        <w:rPr>
          <w:rFonts w:asciiTheme="majorHAnsi" w:hAnsiTheme="majorHAnsi" w:cstheme="majorHAnsi"/>
          <w:lang w:val="en-AU" w:eastAsia="en-US"/>
        </w:rPr>
        <w:t xml:space="preserve"> the cumulative </w:t>
      </w:r>
      <w:r w:rsidR="001C6B57" w:rsidRPr="00C64064">
        <w:rPr>
          <w:rFonts w:asciiTheme="majorHAnsi" w:hAnsiTheme="majorHAnsi" w:cstheme="majorHAnsi"/>
          <w:lang w:val="en-AU" w:eastAsia="en-US"/>
        </w:rPr>
        <w:t xml:space="preserve">number </w:t>
      </w:r>
      <w:r w:rsidRPr="00C64064">
        <w:rPr>
          <w:rFonts w:asciiTheme="majorHAnsi" w:hAnsiTheme="majorHAnsi" w:cstheme="majorHAnsi"/>
          <w:lang w:val="en-AU" w:eastAsia="en-US"/>
        </w:rPr>
        <w:t xml:space="preserve">of intermediary service providers </w:t>
      </w:r>
      <w:r w:rsidR="001C6B57" w:rsidRPr="00C64064">
        <w:rPr>
          <w:rFonts w:asciiTheme="majorHAnsi" w:hAnsiTheme="majorHAnsi" w:cstheme="majorHAnsi"/>
          <w:lang w:val="en-AU" w:eastAsia="en-US"/>
        </w:rPr>
        <w:t>to</w:t>
      </w:r>
      <w:r w:rsidRPr="00C64064">
        <w:rPr>
          <w:rFonts w:asciiTheme="majorHAnsi" w:hAnsiTheme="majorHAnsi" w:cstheme="majorHAnsi"/>
          <w:lang w:val="en-AU" w:eastAsia="en-US"/>
        </w:rPr>
        <w:t xml:space="preserve"> 15,107. As a strong indication of systemic change, 2 competing agribusinesses started copying innovations introduced by PRISMA’s partners in the rice and vegetables sectors. In addition, </w:t>
      </w:r>
      <w:r w:rsidR="00A43FA0">
        <w:rPr>
          <w:rFonts w:asciiTheme="majorHAnsi" w:hAnsiTheme="majorHAnsi" w:cstheme="majorHAnsi"/>
          <w:lang w:val="en-AU" w:eastAsia="en-US"/>
        </w:rPr>
        <w:t>6</w:t>
      </w:r>
      <w:r w:rsidRPr="00C64064">
        <w:rPr>
          <w:rFonts w:asciiTheme="majorHAnsi" w:hAnsiTheme="majorHAnsi" w:cstheme="majorHAnsi"/>
          <w:lang w:val="en-AU" w:eastAsia="en-US"/>
        </w:rPr>
        <w:t xml:space="preserve"> other businesses responded to the growing opportunities in the soil treatment sector.</w:t>
      </w:r>
      <w:r w:rsidRPr="00C64064">
        <w:rPr>
          <w:rFonts w:asciiTheme="majorHAnsi" w:hAnsiTheme="majorHAnsi" w:cstheme="majorHAnsi"/>
          <w:lang w:val="en-US" w:eastAsia="en-US"/>
        </w:rPr>
        <w:t> </w:t>
      </w:r>
    </w:p>
    <w:p w14:paraId="100A5399" w14:textId="4395F5F0" w:rsidR="0053143C" w:rsidRPr="00C64064" w:rsidRDefault="00CE1041" w:rsidP="00CE1041">
      <w:pPr>
        <w:pStyle w:val="Body"/>
        <w:rPr>
          <w:rFonts w:asciiTheme="majorHAnsi" w:hAnsiTheme="majorHAnsi" w:cstheme="majorHAnsi"/>
          <w:lang w:val="en-US" w:eastAsia="en-US"/>
        </w:rPr>
      </w:pPr>
      <w:r w:rsidRPr="00C64064">
        <w:rPr>
          <w:rFonts w:asciiTheme="majorHAnsi" w:hAnsiTheme="majorHAnsi" w:cstheme="majorHAnsi"/>
          <w:lang w:val="en-AU" w:eastAsia="en-US"/>
        </w:rPr>
        <w:t xml:space="preserve">Overall, 273 partners (including 91 government and public agencies) invested nearly </w:t>
      </w:r>
      <w:r w:rsidR="000048DE" w:rsidRPr="00C64064">
        <w:rPr>
          <w:rFonts w:asciiTheme="majorHAnsi" w:hAnsiTheme="majorHAnsi" w:cstheme="majorHAnsi"/>
          <w:lang w:val="en-AU" w:eastAsia="en-US"/>
        </w:rPr>
        <w:t>AUD</w:t>
      </w:r>
      <w:r w:rsidR="000048DE">
        <w:rPr>
          <w:rFonts w:asciiTheme="majorHAnsi" w:hAnsiTheme="majorHAnsi" w:cstheme="majorHAnsi"/>
          <w:lang w:val="en-AU" w:eastAsia="en-US"/>
        </w:rPr>
        <w:t>35.1</w:t>
      </w:r>
      <w:r w:rsidR="000048DE" w:rsidRPr="00C64064">
        <w:rPr>
          <w:rFonts w:asciiTheme="majorHAnsi" w:hAnsiTheme="majorHAnsi" w:cstheme="majorHAnsi"/>
          <w:lang w:val="en-AU" w:eastAsia="en-US"/>
        </w:rPr>
        <w:t xml:space="preserve"> </w:t>
      </w:r>
      <w:r w:rsidRPr="00C64064">
        <w:rPr>
          <w:rFonts w:asciiTheme="majorHAnsi" w:hAnsiTheme="majorHAnsi" w:cstheme="majorHAnsi"/>
          <w:lang w:val="en-AU" w:eastAsia="en-US"/>
        </w:rPr>
        <w:t>million</w:t>
      </w:r>
      <w:r w:rsidR="00E16A63" w:rsidRPr="00C64064">
        <w:rPr>
          <w:rFonts w:asciiTheme="majorHAnsi" w:hAnsiTheme="majorHAnsi" w:cstheme="majorHAnsi"/>
          <w:lang w:val="en-AU" w:eastAsia="en-US"/>
        </w:rPr>
        <w:t>,</w:t>
      </w:r>
      <w:r w:rsidRPr="00C64064">
        <w:rPr>
          <w:rFonts w:asciiTheme="majorHAnsi" w:hAnsiTheme="majorHAnsi" w:cstheme="majorHAnsi"/>
          <w:lang w:val="en-AU" w:eastAsia="en-US"/>
        </w:rPr>
        <w:t xml:space="preserve"> resulting in a turnover of AUD</w:t>
      </w:r>
      <w:r w:rsidR="000048DE">
        <w:rPr>
          <w:rFonts w:asciiTheme="majorHAnsi" w:hAnsiTheme="majorHAnsi" w:cstheme="majorHAnsi"/>
          <w:lang w:val="en-AU" w:eastAsia="en-US"/>
        </w:rPr>
        <w:t>146</w:t>
      </w:r>
      <w:r w:rsidRPr="00C64064">
        <w:rPr>
          <w:rFonts w:asciiTheme="majorHAnsi" w:hAnsiTheme="majorHAnsi" w:cstheme="majorHAnsi"/>
          <w:lang w:val="en-AU" w:eastAsia="en-US"/>
        </w:rPr>
        <w:t xml:space="preserve"> million</w:t>
      </w:r>
      <w:r w:rsidR="00E16A63" w:rsidRPr="00C64064">
        <w:rPr>
          <w:rFonts w:asciiTheme="majorHAnsi" w:hAnsiTheme="majorHAnsi" w:cstheme="majorHAnsi"/>
          <w:lang w:val="en-AU" w:eastAsia="en-US"/>
        </w:rPr>
        <w:t>. This</w:t>
      </w:r>
      <w:r w:rsidRPr="00C64064">
        <w:rPr>
          <w:rFonts w:asciiTheme="majorHAnsi" w:hAnsiTheme="majorHAnsi" w:cstheme="majorHAnsi"/>
          <w:lang w:val="en-AU" w:eastAsia="en-US"/>
        </w:rPr>
        <w:t xml:space="preserve"> signif</w:t>
      </w:r>
      <w:r w:rsidR="00E16A63" w:rsidRPr="00C64064">
        <w:rPr>
          <w:rFonts w:asciiTheme="majorHAnsi" w:hAnsiTheme="majorHAnsi" w:cstheme="majorHAnsi"/>
          <w:lang w:val="en-AU" w:eastAsia="en-US"/>
        </w:rPr>
        <w:t>ies</w:t>
      </w:r>
      <w:r w:rsidRPr="00C64064">
        <w:rPr>
          <w:rFonts w:asciiTheme="majorHAnsi" w:hAnsiTheme="majorHAnsi" w:cstheme="majorHAnsi"/>
          <w:lang w:val="en-AU" w:eastAsia="en-US"/>
        </w:rPr>
        <w:t xml:space="preserve"> high demand from smallholder farmers and a willingness of agribusinesses to tap into this potential market.</w:t>
      </w:r>
      <w:r w:rsidRPr="00C64064">
        <w:rPr>
          <w:rFonts w:asciiTheme="majorHAnsi" w:hAnsiTheme="majorHAnsi" w:cstheme="majorHAnsi"/>
          <w:lang w:val="en-US" w:eastAsia="en-US"/>
        </w:rPr>
        <w:t> </w:t>
      </w:r>
    </w:p>
    <w:tbl>
      <w:tblPr>
        <w:tblStyle w:val="PlainTable2"/>
        <w:tblW w:w="0" w:type="auto"/>
        <w:tblCellMar>
          <w:top w:w="108" w:type="dxa"/>
          <w:bottom w:w="108" w:type="dxa"/>
        </w:tblCellMar>
        <w:tblLook w:val="04A0" w:firstRow="1" w:lastRow="0" w:firstColumn="1" w:lastColumn="0" w:noHBand="0" w:noVBand="1"/>
      </w:tblPr>
      <w:tblGrid>
        <w:gridCol w:w="9376"/>
      </w:tblGrid>
      <w:tr w:rsidR="00B457F7" w:rsidRPr="00C64064" w14:paraId="4D5F9086" w14:textId="77777777" w:rsidTr="5583D5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76" w:type="dxa"/>
          </w:tcPr>
          <w:p w14:paraId="727F8831" w14:textId="77777777" w:rsidR="00B457F7" w:rsidRPr="00302B4E" w:rsidRDefault="05DFD2DF" w:rsidP="5583D54B">
            <w:pPr>
              <w:spacing w:line="276" w:lineRule="auto"/>
              <w:rPr>
                <w:rFonts w:asciiTheme="majorHAnsi" w:hAnsiTheme="majorHAnsi" w:cstheme="majorBidi"/>
                <w:b w:val="0"/>
                <w:bCs w:val="0"/>
                <w:color w:val="005C71"/>
              </w:rPr>
            </w:pPr>
            <w:r w:rsidRPr="5583D54B">
              <w:rPr>
                <w:rFonts w:asciiTheme="majorHAnsi" w:hAnsiTheme="majorHAnsi" w:cstheme="majorBidi"/>
                <w:b w:val="0"/>
                <w:bCs w:val="0"/>
                <w:color w:val="005C71"/>
              </w:rPr>
              <w:t>In the dairy sector, CV Sinar Mentari Indonesia (SMG), a cattle feed producer, continued to collaborate with other stakeholders, including pharmaceutical and dairy processing companies. The collaboration aims to conduct farmers' meetings to promote and educate cattle farmers on the benefits of quality cattle feed and animal health products. During this semester, the company organised farmers’ meetings in Boyolali, Malang, Ponorogo, and Pasuruan districts in Central and East Java. </w:t>
            </w:r>
          </w:p>
          <w:p w14:paraId="2198A9FA" w14:textId="77777777" w:rsidR="00B457F7" w:rsidRPr="00302B4E" w:rsidRDefault="00B457F7" w:rsidP="00B457F7">
            <w:pPr>
              <w:spacing w:line="276" w:lineRule="auto"/>
              <w:rPr>
                <w:rFonts w:asciiTheme="majorHAnsi" w:hAnsiTheme="majorHAnsi" w:cstheme="majorHAnsi"/>
                <w:b w:val="0"/>
                <w:bCs w:val="0"/>
                <w:color w:val="005C71"/>
              </w:rPr>
            </w:pPr>
          </w:p>
          <w:p w14:paraId="2B0DD98C" w14:textId="468FDABA" w:rsidR="00B457F7" w:rsidRPr="00C64064" w:rsidRDefault="05DFD2DF" w:rsidP="5583D54B">
            <w:pPr>
              <w:spacing w:line="276" w:lineRule="auto"/>
              <w:rPr>
                <w:rFonts w:asciiTheme="majorHAnsi" w:hAnsiTheme="majorHAnsi" w:cstheme="majorBidi"/>
                <w:lang w:val="en-US" w:eastAsia="en-US"/>
              </w:rPr>
            </w:pPr>
            <w:r w:rsidRPr="5583D54B">
              <w:rPr>
                <w:rFonts w:asciiTheme="majorHAnsi" w:hAnsiTheme="majorHAnsi" w:cstheme="majorBidi"/>
                <w:b w:val="0"/>
                <w:bCs w:val="0"/>
                <w:color w:val="005C71"/>
              </w:rPr>
              <w:t>Due to PRISMA’s intervention, SMG is also aware of behavioural differences between men and women farmers and has adjusted its training schedules and message delivery to effectively reach both men and women farmers with its product information.</w:t>
            </w:r>
          </w:p>
        </w:tc>
      </w:tr>
    </w:tbl>
    <w:p w14:paraId="36E4F62F" w14:textId="77777777" w:rsidR="00B457F7" w:rsidRPr="00C64064" w:rsidRDefault="00B457F7" w:rsidP="00F63D1D">
      <w:pPr>
        <w:pStyle w:val="Head4"/>
        <w:rPr>
          <w:rFonts w:asciiTheme="majorHAnsi" w:hAnsiTheme="majorHAnsi" w:cstheme="majorHAnsi"/>
          <w:lang w:eastAsia="en-US"/>
        </w:rPr>
      </w:pPr>
    </w:p>
    <w:p w14:paraId="0A3A8104" w14:textId="0039725C" w:rsidR="00CE1041" w:rsidRPr="00C64064" w:rsidRDefault="00CE1041" w:rsidP="00F63D1D">
      <w:pPr>
        <w:pStyle w:val="Head4"/>
        <w:rPr>
          <w:rFonts w:asciiTheme="majorHAnsi" w:hAnsiTheme="majorHAnsi" w:cstheme="majorHAnsi"/>
          <w:sz w:val="18"/>
          <w:szCs w:val="18"/>
          <w:lang w:val="en-US" w:eastAsia="en-US"/>
        </w:rPr>
      </w:pPr>
      <w:r w:rsidRPr="00C64064">
        <w:rPr>
          <w:rFonts w:asciiTheme="majorHAnsi" w:hAnsiTheme="majorHAnsi" w:cstheme="majorHAnsi"/>
          <w:lang w:eastAsia="en-US"/>
        </w:rPr>
        <w:lastRenderedPageBreak/>
        <w:t>Progress towards intermediate outcome 3: Selected decision makers and policy influencers are equipped with evidence to influence changes in the Indonesian business-enabling environment at national and local levels.</w:t>
      </w:r>
      <w:r w:rsidRPr="00C64064">
        <w:rPr>
          <w:rFonts w:asciiTheme="majorHAnsi" w:hAnsiTheme="majorHAnsi" w:cstheme="majorHAnsi"/>
          <w:lang w:val="en-US" w:eastAsia="en-US"/>
        </w:rPr>
        <w:t> </w:t>
      </w:r>
    </w:p>
    <w:p w14:paraId="01741C39" w14:textId="705D9CF9" w:rsidR="00CE1041" w:rsidRPr="00C64064" w:rsidRDefault="00CE1041" w:rsidP="00CE1041">
      <w:pPr>
        <w:pStyle w:val="Body"/>
        <w:rPr>
          <w:rFonts w:asciiTheme="majorHAnsi" w:hAnsiTheme="majorHAnsi" w:cstheme="majorHAnsi"/>
          <w:lang w:val="en-US" w:eastAsia="en-US"/>
        </w:rPr>
      </w:pPr>
      <w:r w:rsidRPr="00C64064">
        <w:rPr>
          <w:rFonts w:asciiTheme="majorHAnsi" w:hAnsiTheme="majorHAnsi" w:cstheme="majorHAnsi"/>
          <w:lang w:val="en-AU" w:eastAsia="en-US"/>
        </w:rPr>
        <w:t xml:space="preserve">During the reporting period, PRISMA was involved in 48 policy initiatives </w:t>
      </w:r>
      <w:r w:rsidR="00606106" w:rsidRPr="00C64064">
        <w:rPr>
          <w:rFonts w:asciiTheme="majorHAnsi" w:hAnsiTheme="majorHAnsi" w:cstheme="majorHAnsi"/>
          <w:lang w:val="en-AU" w:eastAsia="en-US"/>
        </w:rPr>
        <w:t xml:space="preserve">that used evidence from its interventions </w:t>
      </w:r>
      <w:r w:rsidRPr="00C64064">
        <w:rPr>
          <w:rFonts w:asciiTheme="majorHAnsi" w:hAnsiTheme="majorHAnsi" w:cstheme="majorHAnsi"/>
          <w:lang w:val="en-AU" w:eastAsia="en-US"/>
        </w:rPr>
        <w:t>to inform and influence key decision-makers and stakeholders.  </w:t>
      </w:r>
      <w:r w:rsidRPr="00C64064">
        <w:rPr>
          <w:rFonts w:asciiTheme="majorHAnsi" w:hAnsiTheme="majorHAnsi" w:cstheme="majorHAnsi"/>
          <w:lang w:val="en-US" w:eastAsia="en-US"/>
        </w:rPr>
        <w:t> </w:t>
      </w:r>
    </w:p>
    <w:p w14:paraId="271A6D05" w14:textId="53F7595A" w:rsidR="00E07578" w:rsidRPr="00C64064" w:rsidRDefault="00E07578" w:rsidP="00CE1041">
      <w:pPr>
        <w:pStyle w:val="Body"/>
        <w:rPr>
          <w:rFonts w:asciiTheme="majorHAnsi" w:hAnsiTheme="majorHAnsi" w:cstheme="majorHAnsi"/>
          <w:sz w:val="18"/>
          <w:szCs w:val="18"/>
          <w:lang w:val="en-US" w:eastAsia="en-US"/>
        </w:rPr>
      </w:pPr>
    </w:p>
    <w:p w14:paraId="5E6B58CC" w14:textId="7B2A0201" w:rsidR="00CE1041" w:rsidRPr="00C64064" w:rsidRDefault="00CE1041" w:rsidP="00CE1041">
      <w:pPr>
        <w:pStyle w:val="Body"/>
        <w:rPr>
          <w:rFonts w:asciiTheme="majorHAnsi" w:hAnsiTheme="majorHAnsi" w:cstheme="majorHAnsi"/>
          <w:sz w:val="18"/>
          <w:szCs w:val="18"/>
          <w:lang w:val="en-US" w:eastAsia="en-US"/>
        </w:rPr>
      </w:pPr>
      <w:r w:rsidRPr="00C64064">
        <w:rPr>
          <w:rFonts w:asciiTheme="majorHAnsi" w:hAnsiTheme="majorHAnsi" w:cstheme="majorHAnsi"/>
          <w:lang w:val="en-AU" w:eastAsia="en-US"/>
        </w:rPr>
        <w:t xml:space="preserve">At the national level, PRISMA made notable progress in supporting the development of </w:t>
      </w:r>
      <w:r w:rsidR="001D6489" w:rsidRPr="00C64064">
        <w:rPr>
          <w:rFonts w:asciiTheme="majorHAnsi" w:hAnsiTheme="majorHAnsi" w:cstheme="majorHAnsi"/>
          <w:lang w:val="en-AU" w:eastAsia="en-US"/>
        </w:rPr>
        <w:t xml:space="preserve">the </w:t>
      </w:r>
      <w:r w:rsidRPr="00C64064">
        <w:rPr>
          <w:rFonts w:asciiTheme="majorHAnsi" w:hAnsiTheme="majorHAnsi" w:cstheme="majorHAnsi"/>
          <w:lang w:val="en-AU" w:eastAsia="en-US"/>
        </w:rPr>
        <w:t xml:space="preserve">2025-2029 </w:t>
      </w:r>
      <w:r w:rsidR="001D6489" w:rsidRPr="00C64064">
        <w:rPr>
          <w:rFonts w:asciiTheme="majorHAnsi" w:hAnsiTheme="majorHAnsi" w:cstheme="majorHAnsi"/>
          <w:lang w:eastAsia="en-US"/>
        </w:rPr>
        <w:t>National Medium-Term Development Plan (</w:t>
      </w:r>
      <w:r w:rsidRPr="00C64064">
        <w:rPr>
          <w:rFonts w:asciiTheme="majorHAnsi" w:hAnsiTheme="majorHAnsi" w:cstheme="majorHAnsi"/>
          <w:lang w:val="en-AU" w:eastAsia="en-US"/>
        </w:rPr>
        <w:t>RPJMN</w:t>
      </w:r>
      <w:r w:rsidR="001D6489" w:rsidRPr="00C64064">
        <w:rPr>
          <w:rFonts w:asciiTheme="majorHAnsi" w:hAnsiTheme="majorHAnsi" w:cstheme="majorHAnsi"/>
          <w:lang w:val="en-AU" w:eastAsia="en-US"/>
        </w:rPr>
        <w:t>)</w:t>
      </w:r>
      <w:r w:rsidRPr="00C64064">
        <w:rPr>
          <w:rFonts w:asciiTheme="majorHAnsi" w:hAnsiTheme="majorHAnsi" w:cstheme="majorHAnsi"/>
          <w:lang w:val="en-AU" w:eastAsia="en-US"/>
        </w:rPr>
        <w:t xml:space="preserve">. PRISMA has handed over the background paper on agriculture modernisation and resilience in Indonesia. It also conducted </w:t>
      </w:r>
      <w:r w:rsidR="00E87783" w:rsidRPr="00C64064">
        <w:rPr>
          <w:rFonts w:asciiTheme="majorHAnsi" w:hAnsiTheme="majorHAnsi" w:cstheme="majorHAnsi"/>
          <w:lang w:val="en-AU" w:eastAsia="en-US"/>
        </w:rPr>
        <w:t>a focus group discussion (</w:t>
      </w:r>
      <w:r w:rsidRPr="00C64064">
        <w:rPr>
          <w:rFonts w:asciiTheme="majorHAnsi" w:hAnsiTheme="majorHAnsi" w:cstheme="majorHAnsi"/>
          <w:lang w:val="en-AU" w:eastAsia="en-US"/>
        </w:rPr>
        <w:t>FGD</w:t>
      </w:r>
      <w:r w:rsidR="00E87783" w:rsidRPr="00C64064">
        <w:rPr>
          <w:rFonts w:asciiTheme="majorHAnsi" w:hAnsiTheme="majorHAnsi" w:cstheme="majorHAnsi"/>
          <w:lang w:val="en-AU" w:eastAsia="en-US"/>
        </w:rPr>
        <w:t>)</w:t>
      </w:r>
      <w:r w:rsidRPr="00C64064">
        <w:rPr>
          <w:rFonts w:asciiTheme="majorHAnsi" w:hAnsiTheme="majorHAnsi" w:cstheme="majorHAnsi"/>
          <w:lang w:val="en-AU" w:eastAsia="en-US"/>
        </w:rPr>
        <w:t xml:space="preserve"> with related directorates in Bappenas and the Ministry of Agriculture </w:t>
      </w:r>
      <w:r w:rsidR="00682A51" w:rsidRPr="00C64064">
        <w:rPr>
          <w:rFonts w:asciiTheme="majorHAnsi" w:hAnsiTheme="majorHAnsi" w:cstheme="majorHAnsi"/>
          <w:lang w:val="en-AU" w:eastAsia="en-US"/>
        </w:rPr>
        <w:t xml:space="preserve">(MoA) </w:t>
      </w:r>
      <w:r w:rsidRPr="00C64064">
        <w:rPr>
          <w:rFonts w:asciiTheme="majorHAnsi" w:hAnsiTheme="majorHAnsi" w:cstheme="majorHAnsi"/>
          <w:lang w:val="en-AU" w:eastAsia="en-US"/>
        </w:rPr>
        <w:t>to develop and hand over the final indicators for the background document. PRISMA also conducted a</w:t>
      </w:r>
      <w:r w:rsidR="00C567E8">
        <w:rPr>
          <w:rFonts w:asciiTheme="majorHAnsi" w:hAnsiTheme="majorHAnsi" w:cstheme="majorHAnsi"/>
          <w:lang w:val="en-AU" w:eastAsia="en-US"/>
        </w:rPr>
        <w:t>n</w:t>
      </w:r>
      <w:r w:rsidRPr="00C64064">
        <w:rPr>
          <w:rFonts w:asciiTheme="majorHAnsi" w:hAnsiTheme="majorHAnsi" w:cstheme="majorHAnsi"/>
          <w:lang w:val="en-AU" w:eastAsia="en-US"/>
        </w:rPr>
        <w:t xml:space="preserve"> MSD training for participants from Bappenas, </w:t>
      </w:r>
      <w:r w:rsidR="00682A51" w:rsidRPr="00C64064">
        <w:rPr>
          <w:rFonts w:asciiTheme="majorHAnsi" w:hAnsiTheme="majorHAnsi" w:cstheme="majorHAnsi"/>
          <w:lang w:val="en-AU" w:eastAsia="en-US"/>
        </w:rPr>
        <w:t xml:space="preserve">the </w:t>
      </w:r>
      <w:r w:rsidRPr="00C64064">
        <w:rPr>
          <w:rFonts w:asciiTheme="majorHAnsi" w:hAnsiTheme="majorHAnsi" w:cstheme="majorHAnsi"/>
          <w:lang w:val="en-AU" w:eastAsia="en-US"/>
        </w:rPr>
        <w:t xml:space="preserve">MoA, Bappeda </w:t>
      </w:r>
      <w:r w:rsidR="00B87AD9" w:rsidRPr="00C64064">
        <w:rPr>
          <w:rFonts w:asciiTheme="majorHAnsi" w:hAnsiTheme="majorHAnsi" w:cstheme="majorHAnsi"/>
          <w:lang w:val="en-AU" w:eastAsia="en-US"/>
        </w:rPr>
        <w:t>in</w:t>
      </w:r>
      <w:r w:rsidRPr="00C64064">
        <w:rPr>
          <w:rFonts w:asciiTheme="majorHAnsi" w:hAnsiTheme="majorHAnsi" w:cstheme="majorHAnsi"/>
          <w:lang w:val="en-AU" w:eastAsia="en-US"/>
        </w:rPr>
        <w:t xml:space="preserve"> Central Java, NTT, and NTB </w:t>
      </w:r>
      <w:r w:rsidR="00682A51" w:rsidRPr="00C64064">
        <w:rPr>
          <w:rFonts w:asciiTheme="majorHAnsi" w:hAnsiTheme="majorHAnsi" w:cstheme="majorHAnsi"/>
          <w:lang w:val="en-AU" w:eastAsia="en-US"/>
        </w:rPr>
        <w:t>p</w:t>
      </w:r>
      <w:r w:rsidRPr="00C64064">
        <w:rPr>
          <w:rFonts w:asciiTheme="majorHAnsi" w:hAnsiTheme="majorHAnsi" w:cstheme="majorHAnsi"/>
          <w:lang w:val="en-AU" w:eastAsia="en-US"/>
        </w:rPr>
        <w:t xml:space="preserve">rovinces, </w:t>
      </w:r>
      <w:r w:rsidR="00B87AD9" w:rsidRPr="00C64064">
        <w:rPr>
          <w:rFonts w:asciiTheme="majorHAnsi" w:hAnsiTheme="majorHAnsi" w:cstheme="majorHAnsi"/>
          <w:lang w:val="en-AU" w:eastAsia="en-US"/>
        </w:rPr>
        <w:t xml:space="preserve">the Sumenep District </w:t>
      </w:r>
      <w:r w:rsidRPr="00C64064">
        <w:rPr>
          <w:rFonts w:asciiTheme="majorHAnsi" w:hAnsiTheme="majorHAnsi" w:cstheme="majorHAnsi"/>
          <w:lang w:val="en-AU" w:eastAsia="en-US"/>
        </w:rPr>
        <w:t xml:space="preserve">Food Security and Agriculture Service, </w:t>
      </w:r>
      <w:r w:rsidR="00BE0FF7" w:rsidRPr="00C64064">
        <w:rPr>
          <w:rFonts w:asciiTheme="majorHAnsi" w:hAnsiTheme="majorHAnsi" w:cstheme="majorHAnsi"/>
          <w:lang w:val="en-AU" w:eastAsia="en-US"/>
        </w:rPr>
        <w:t xml:space="preserve">the Manokwari District </w:t>
      </w:r>
      <w:r w:rsidRPr="00C64064">
        <w:rPr>
          <w:rFonts w:asciiTheme="majorHAnsi" w:hAnsiTheme="majorHAnsi" w:cstheme="majorHAnsi"/>
          <w:lang w:val="en-AU" w:eastAsia="en-US"/>
        </w:rPr>
        <w:t xml:space="preserve">Village Community Empowerment Service, </w:t>
      </w:r>
      <w:r w:rsidR="00BE0FF7" w:rsidRPr="00C64064">
        <w:rPr>
          <w:rFonts w:asciiTheme="majorHAnsi" w:hAnsiTheme="majorHAnsi" w:cstheme="majorHAnsi"/>
          <w:lang w:val="en-AU" w:eastAsia="en-US"/>
        </w:rPr>
        <w:t xml:space="preserve">the </w:t>
      </w:r>
      <w:r w:rsidRPr="00C64064">
        <w:rPr>
          <w:rFonts w:asciiTheme="majorHAnsi" w:hAnsiTheme="majorHAnsi" w:cstheme="majorHAnsi"/>
          <w:lang w:val="en-AU" w:eastAsia="en-US"/>
        </w:rPr>
        <w:t>Bogor Agricultural Institute, Gadjah Mada University, Brawijaya University, and Nahdlatul Wathan University.</w:t>
      </w:r>
      <w:r w:rsidRPr="00C64064">
        <w:rPr>
          <w:rFonts w:asciiTheme="majorHAnsi" w:hAnsiTheme="majorHAnsi" w:cstheme="majorHAnsi"/>
          <w:lang w:val="en-US" w:eastAsia="en-US"/>
        </w:rPr>
        <w:t> </w:t>
      </w:r>
    </w:p>
    <w:p w14:paraId="573A7CC0" w14:textId="710FE4E0" w:rsidR="00CE1041" w:rsidRPr="00C64064" w:rsidRDefault="00CE1041" w:rsidP="00CE1041">
      <w:pPr>
        <w:pStyle w:val="Body"/>
        <w:rPr>
          <w:rFonts w:asciiTheme="majorHAnsi" w:hAnsiTheme="majorHAnsi" w:cstheme="majorHAnsi"/>
          <w:lang w:val="en-US" w:eastAsia="en-US"/>
        </w:rPr>
      </w:pPr>
      <w:r w:rsidRPr="00C64064">
        <w:rPr>
          <w:rFonts w:asciiTheme="majorHAnsi" w:hAnsiTheme="majorHAnsi" w:cstheme="majorHAnsi"/>
          <w:lang w:val="en-AU" w:eastAsia="en-US"/>
        </w:rPr>
        <w:t xml:space="preserve">At the sub-national level, PRISMA engaged in initiatives across various sectors, including beef, maize, mechanisation, </w:t>
      </w:r>
      <w:r w:rsidR="001729FF" w:rsidRPr="00C64064">
        <w:rPr>
          <w:rFonts w:asciiTheme="majorHAnsi" w:hAnsiTheme="majorHAnsi" w:cstheme="majorHAnsi"/>
          <w:lang w:val="en-AU" w:eastAsia="en-US"/>
        </w:rPr>
        <w:t>information and communications technology (</w:t>
      </w:r>
      <w:r w:rsidRPr="00C64064">
        <w:rPr>
          <w:rFonts w:asciiTheme="majorHAnsi" w:hAnsiTheme="majorHAnsi" w:cstheme="majorHAnsi"/>
          <w:lang w:val="en-AU" w:eastAsia="en-US"/>
        </w:rPr>
        <w:t>ICT</w:t>
      </w:r>
      <w:r w:rsidR="001729FF" w:rsidRPr="00C64064">
        <w:rPr>
          <w:rFonts w:asciiTheme="majorHAnsi" w:hAnsiTheme="majorHAnsi" w:cstheme="majorHAnsi"/>
          <w:lang w:val="en-AU" w:eastAsia="en-US"/>
        </w:rPr>
        <w:t>)</w:t>
      </w:r>
      <w:r w:rsidRPr="00C64064">
        <w:rPr>
          <w:rFonts w:asciiTheme="majorHAnsi" w:hAnsiTheme="majorHAnsi" w:cstheme="majorHAnsi"/>
          <w:lang w:val="en-AU" w:eastAsia="en-US"/>
        </w:rPr>
        <w:t xml:space="preserve">, dairy, mungbean, soil treatment, vegetable, and pig, to enhance local rules, regulations, and practices. Additionally, PRISMA continued </w:t>
      </w:r>
      <w:r w:rsidR="00083CEC" w:rsidRPr="00C64064">
        <w:rPr>
          <w:rFonts w:asciiTheme="majorHAnsi" w:hAnsiTheme="majorHAnsi" w:cstheme="majorHAnsi"/>
          <w:lang w:val="en-AU" w:eastAsia="en-US"/>
        </w:rPr>
        <w:t xml:space="preserve">to </w:t>
      </w:r>
      <w:r w:rsidRPr="00C64064">
        <w:rPr>
          <w:rFonts w:asciiTheme="majorHAnsi" w:hAnsiTheme="majorHAnsi" w:cstheme="majorHAnsi"/>
          <w:lang w:val="en-AU" w:eastAsia="en-US"/>
        </w:rPr>
        <w:t>influenc</w:t>
      </w:r>
      <w:r w:rsidR="00083CEC" w:rsidRPr="00C64064">
        <w:rPr>
          <w:rFonts w:asciiTheme="majorHAnsi" w:hAnsiTheme="majorHAnsi" w:cstheme="majorHAnsi"/>
          <w:lang w:val="en-AU" w:eastAsia="en-US"/>
        </w:rPr>
        <w:t>e</w:t>
      </w:r>
      <w:r w:rsidRPr="00C64064">
        <w:rPr>
          <w:rFonts w:asciiTheme="majorHAnsi" w:hAnsiTheme="majorHAnsi" w:cstheme="majorHAnsi"/>
          <w:lang w:val="en-AU" w:eastAsia="en-US"/>
        </w:rPr>
        <w:t xml:space="preserve"> key stakeholders, informing them on inclusive business practices and contributing to the development of national guidelines. The engagement with Bappenas remained strong, </w:t>
      </w:r>
      <w:r w:rsidR="00083CEC" w:rsidRPr="00C64064">
        <w:rPr>
          <w:rFonts w:asciiTheme="majorHAnsi" w:hAnsiTheme="majorHAnsi" w:cstheme="majorHAnsi"/>
          <w:lang w:val="en-AU" w:eastAsia="en-US"/>
        </w:rPr>
        <w:t>as evidenced</w:t>
      </w:r>
      <w:r w:rsidRPr="00C64064">
        <w:rPr>
          <w:rFonts w:asciiTheme="majorHAnsi" w:hAnsiTheme="majorHAnsi" w:cstheme="majorHAnsi"/>
          <w:lang w:val="en-AU" w:eastAsia="en-US"/>
        </w:rPr>
        <w:t xml:space="preserve"> by regular meetings, showcasing PRISMA's achievements and garnering support for its activities.</w:t>
      </w:r>
      <w:r w:rsidRPr="00C64064">
        <w:rPr>
          <w:rFonts w:asciiTheme="majorHAnsi" w:hAnsiTheme="majorHAnsi" w:cstheme="majorHAnsi"/>
          <w:lang w:val="en-US" w:eastAsia="en-US"/>
        </w:rPr>
        <w:t> </w:t>
      </w:r>
    </w:p>
    <w:p w14:paraId="09CC48A9" w14:textId="77777777" w:rsidR="007228C9" w:rsidRPr="00C64064" w:rsidRDefault="007228C9" w:rsidP="00CE1041">
      <w:pPr>
        <w:pStyle w:val="Body"/>
        <w:rPr>
          <w:rFonts w:asciiTheme="majorHAnsi" w:hAnsiTheme="majorHAnsi" w:cstheme="majorHAnsi"/>
          <w:lang w:val="en-US" w:eastAsia="en-US"/>
        </w:rPr>
      </w:pPr>
    </w:p>
    <w:p w14:paraId="79D0B39A" w14:textId="7C09E076" w:rsidR="00CE1041" w:rsidRPr="00C64064" w:rsidRDefault="009B127C" w:rsidP="003C727B">
      <w:pPr>
        <w:pStyle w:val="Body"/>
        <w:pBdr>
          <w:top w:val="single" w:sz="4" w:space="10" w:color="auto"/>
          <w:left w:val="single" w:sz="4" w:space="10" w:color="auto"/>
          <w:bottom w:val="single" w:sz="4" w:space="10" w:color="auto"/>
          <w:right w:val="single" w:sz="4" w:space="10" w:color="auto"/>
        </w:pBdr>
        <w:rPr>
          <w:rFonts w:asciiTheme="majorHAnsi" w:hAnsiTheme="majorHAnsi" w:cstheme="majorHAnsi"/>
          <w:sz w:val="18"/>
          <w:szCs w:val="18"/>
          <w:lang w:val="en-US" w:eastAsia="en-US"/>
        </w:rPr>
      </w:pPr>
      <w:r w:rsidRPr="00C64064">
        <w:rPr>
          <w:rFonts w:asciiTheme="majorHAnsi" w:hAnsiTheme="majorHAnsi" w:cstheme="majorHAnsi"/>
          <w:lang w:val="en-US" w:eastAsia="en-US"/>
        </w:rPr>
        <w:t>A</w:t>
      </w:r>
      <w:r w:rsidR="00CE1041" w:rsidRPr="00C64064">
        <w:rPr>
          <w:rFonts w:asciiTheme="majorHAnsi" w:hAnsiTheme="majorHAnsi" w:cstheme="majorHAnsi"/>
          <w:lang w:val="en-US" w:eastAsia="en-US"/>
        </w:rPr>
        <w:t>rtificial insemination (AI) technology has become crucial to ensure pig restock</w:t>
      </w:r>
      <w:r w:rsidR="000F2C37" w:rsidRPr="00C64064">
        <w:rPr>
          <w:rFonts w:asciiTheme="majorHAnsi" w:hAnsiTheme="majorHAnsi" w:cstheme="majorHAnsi"/>
          <w:lang w:val="en-US" w:eastAsia="en-US"/>
        </w:rPr>
        <w:t>ing</w:t>
      </w:r>
      <w:r w:rsidR="00CE1041" w:rsidRPr="00C64064">
        <w:rPr>
          <w:rFonts w:asciiTheme="majorHAnsi" w:hAnsiTheme="majorHAnsi" w:cstheme="majorHAnsi"/>
          <w:lang w:val="en-US" w:eastAsia="en-US"/>
        </w:rPr>
        <w:t xml:space="preserve"> and recovery </w:t>
      </w:r>
      <w:r w:rsidR="000F2C37" w:rsidRPr="00C64064">
        <w:rPr>
          <w:rFonts w:asciiTheme="majorHAnsi" w:hAnsiTheme="majorHAnsi" w:cstheme="majorHAnsi"/>
          <w:lang w:val="en-US" w:eastAsia="en-US"/>
        </w:rPr>
        <w:t>of</w:t>
      </w:r>
      <w:r w:rsidR="00CE1041" w:rsidRPr="00C64064">
        <w:rPr>
          <w:rFonts w:asciiTheme="majorHAnsi" w:hAnsiTheme="majorHAnsi" w:cstheme="majorHAnsi"/>
          <w:lang w:val="en-US" w:eastAsia="en-US"/>
        </w:rPr>
        <w:t xml:space="preserve"> smallholder farm</w:t>
      </w:r>
      <w:r w:rsidR="00FE0E18" w:rsidRPr="00C64064">
        <w:rPr>
          <w:rFonts w:asciiTheme="majorHAnsi" w:hAnsiTheme="majorHAnsi" w:cstheme="majorHAnsi"/>
          <w:lang w:val="en-US" w:eastAsia="en-US"/>
        </w:rPr>
        <w:t>ing</w:t>
      </w:r>
      <w:r w:rsidR="00CE1041" w:rsidRPr="00C64064">
        <w:rPr>
          <w:rFonts w:asciiTheme="majorHAnsi" w:hAnsiTheme="majorHAnsi" w:cstheme="majorHAnsi"/>
          <w:lang w:val="en-US" w:eastAsia="en-US"/>
        </w:rPr>
        <w:t xml:space="preserve"> households in NTT. PRISMA has collaborated with </w:t>
      </w:r>
      <w:r w:rsidR="000F2C37" w:rsidRPr="00C64064">
        <w:rPr>
          <w:rFonts w:asciiTheme="majorHAnsi" w:hAnsiTheme="majorHAnsi" w:cstheme="majorHAnsi"/>
          <w:lang w:val="en-US" w:eastAsia="en-US"/>
        </w:rPr>
        <w:t xml:space="preserve">the </w:t>
      </w:r>
      <w:r w:rsidR="007A64C8" w:rsidRPr="00C64064">
        <w:rPr>
          <w:rFonts w:asciiTheme="majorHAnsi" w:hAnsiTheme="majorHAnsi" w:cstheme="majorHAnsi"/>
          <w:lang w:val="en-US" w:eastAsia="en-US"/>
        </w:rPr>
        <w:t>Kupang</w:t>
      </w:r>
      <w:r w:rsidR="007A64C8" w:rsidRPr="00C64064" w:rsidDel="000F2C37">
        <w:rPr>
          <w:rFonts w:asciiTheme="majorHAnsi" w:hAnsiTheme="majorHAnsi" w:cstheme="majorHAnsi"/>
          <w:lang w:val="en-US" w:eastAsia="en-US"/>
        </w:rPr>
        <w:t xml:space="preserve"> </w:t>
      </w:r>
      <w:r w:rsidR="00CE1041" w:rsidRPr="00C64064">
        <w:rPr>
          <w:rFonts w:asciiTheme="majorHAnsi" w:hAnsiTheme="majorHAnsi" w:cstheme="majorHAnsi"/>
          <w:lang w:val="en-US" w:eastAsia="en-US"/>
        </w:rPr>
        <w:t>Animal Husbandry Training Center</w:t>
      </w:r>
      <w:r w:rsidR="007A64C8" w:rsidRPr="00C64064">
        <w:rPr>
          <w:rFonts w:asciiTheme="majorHAnsi" w:hAnsiTheme="majorHAnsi" w:cstheme="majorHAnsi"/>
          <w:lang w:val="en-US" w:eastAsia="en-US"/>
        </w:rPr>
        <w:t xml:space="preserve"> (BBPP)</w:t>
      </w:r>
      <w:r w:rsidR="00CE1041" w:rsidRPr="00C64064">
        <w:rPr>
          <w:rFonts w:asciiTheme="majorHAnsi" w:hAnsiTheme="majorHAnsi" w:cstheme="majorHAnsi"/>
          <w:lang w:val="en-US" w:eastAsia="en-US"/>
        </w:rPr>
        <w:t xml:space="preserve"> </w:t>
      </w:r>
      <w:r w:rsidR="00D966FF" w:rsidRPr="00C64064">
        <w:rPr>
          <w:rFonts w:asciiTheme="majorHAnsi" w:hAnsiTheme="majorHAnsi" w:cstheme="majorHAnsi"/>
          <w:lang w:val="en-US" w:eastAsia="en-US"/>
        </w:rPr>
        <w:t>under</w:t>
      </w:r>
      <w:r w:rsidR="00CE1041" w:rsidRPr="00C64064">
        <w:rPr>
          <w:rFonts w:asciiTheme="majorHAnsi" w:hAnsiTheme="majorHAnsi" w:cstheme="majorHAnsi"/>
          <w:lang w:val="en-US" w:eastAsia="en-US"/>
        </w:rPr>
        <w:t xml:space="preserve"> the M</w:t>
      </w:r>
      <w:r w:rsidR="00682A51" w:rsidRPr="00C64064">
        <w:rPr>
          <w:rFonts w:asciiTheme="majorHAnsi" w:hAnsiTheme="majorHAnsi" w:cstheme="majorHAnsi"/>
          <w:lang w:val="en-US" w:eastAsia="en-US"/>
        </w:rPr>
        <w:t>oA</w:t>
      </w:r>
      <w:r w:rsidR="007A64C8" w:rsidRPr="00C64064">
        <w:rPr>
          <w:rFonts w:asciiTheme="majorHAnsi" w:hAnsiTheme="majorHAnsi" w:cstheme="majorHAnsi"/>
          <w:lang w:val="en-US" w:eastAsia="en-US"/>
        </w:rPr>
        <w:t>,</w:t>
      </w:r>
      <w:r w:rsidR="000F2C37" w:rsidRPr="00C64064">
        <w:rPr>
          <w:rFonts w:asciiTheme="majorHAnsi" w:hAnsiTheme="majorHAnsi" w:cstheme="majorHAnsi"/>
          <w:lang w:val="en-US" w:eastAsia="en-US"/>
        </w:rPr>
        <w:t xml:space="preserve"> </w:t>
      </w:r>
      <w:r w:rsidR="000E7BCB" w:rsidRPr="00C64064">
        <w:rPr>
          <w:rFonts w:asciiTheme="majorHAnsi" w:hAnsiTheme="majorHAnsi" w:cstheme="majorHAnsi"/>
          <w:lang w:val="en-US" w:eastAsia="en-US"/>
        </w:rPr>
        <w:t xml:space="preserve">the </w:t>
      </w:r>
      <w:r w:rsidR="00CE1041" w:rsidRPr="00C64064">
        <w:rPr>
          <w:rFonts w:asciiTheme="majorHAnsi" w:hAnsiTheme="majorHAnsi" w:cstheme="majorHAnsi"/>
          <w:lang w:val="en-US" w:eastAsia="en-US"/>
        </w:rPr>
        <w:t xml:space="preserve">Agricultural Human Resources Extension and Development Agency </w:t>
      </w:r>
      <w:r w:rsidR="00D966FF" w:rsidRPr="00C64064">
        <w:rPr>
          <w:rFonts w:asciiTheme="majorHAnsi" w:hAnsiTheme="majorHAnsi" w:cstheme="majorHAnsi"/>
          <w:lang w:val="en-US" w:eastAsia="en-US"/>
        </w:rPr>
        <w:t>under</w:t>
      </w:r>
      <w:r w:rsidR="00CE1041" w:rsidRPr="00C64064">
        <w:rPr>
          <w:rFonts w:asciiTheme="majorHAnsi" w:hAnsiTheme="majorHAnsi" w:cstheme="majorHAnsi"/>
          <w:lang w:val="en-US" w:eastAsia="en-US"/>
        </w:rPr>
        <w:t xml:space="preserve"> the MoA</w:t>
      </w:r>
      <w:r w:rsidR="000E7BCB" w:rsidRPr="00C64064">
        <w:rPr>
          <w:rFonts w:asciiTheme="majorHAnsi" w:hAnsiTheme="majorHAnsi" w:cstheme="majorHAnsi"/>
          <w:lang w:val="en-US" w:eastAsia="en-US"/>
        </w:rPr>
        <w:t xml:space="preserve"> (BPPSDMP</w:t>
      </w:r>
      <w:r w:rsidR="00CE1041" w:rsidRPr="00C64064">
        <w:rPr>
          <w:rFonts w:asciiTheme="majorHAnsi" w:hAnsiTheme="majorHAnsi" w:cstheme="majorHAnsi"/>
          <w:lang w:val="en-US" w:eastAsia="en-US"/>
        </w:rPr>
        <w:t xml:space="preserve">), associations, universities, and experts, and developed a curriculum for pig inseminator training and competency standards for the inseminators. The curriculum was approved and signed by the </w:t>
      </w:r>
      <w:r w:rsidR="000E7BCB" w:rsidRPr="00C64064">
        <w:rPr>
          <w:rFonts w:asciiTheme="majorHAnsi" w:hAnsiTheme="majorHAnsi" w:cstheme="majorHAnsi"/>
          <w:lang w:val="en-US" w:eastAsia="en-US"/>
        </w:rPr>
        <w:t>h</w:t>
      </w:r>
      <w:r w:rsidR="00CE1041" w:rsidRPr="00C64064">
        <w:rPr>
          <w:rFonts w:asciiTheme="majorHAnsi" w:hAnsiTheme="majorHAnsi" w:cstheme="majorHAnsi"/>
          <w:lang w:val="en-US" w:eastAsia="en-US"/>
        </w:rPr>
        <w:t xml:space="preserve">ead of </w:t>
      </w:r>
      <w:r w:rsidR="000E7BCB" w:rsidRPr="00C64064">
        <w:rPr>
          <w:rFonts w:asciiTheme="majorHAnsi" w:hAnsiTheme="majorHAnsi" w:cstheme="majorHAnsi"/>
          <w:lang w:val="en-US" w:eastAsia="en-US"/>
        </w:rPr>
        <w:t xml:space="preserve">the </w:t>
      </w:r>
      <w:r w:rsidR="00CE1041" w:rsidRPr="00C64064">
        <w:rPr>
          <w:rFonts w:asciiTheme="majorHAnsi" w:hAnsiTheme="majorHAnsi" w:cstheme="majorHAnsi"/>
          <w:lang w:val="en-US" w:eastAsia="en-US"/>
        </w:rPr>
        <w:t>BPPSDMP on 30 May 2024. </w:t>
      </w:r>
    </w:p>
    <w:p w14:paraId="568723B0" w14:textId="670E9E8D" w:rsidR="00CE1041" w:rsidRPr="00C64064" w:rsidRDefault="00CE1041" w:rsidP="00CE1041">
      <w:pPr>
        <w:pStyle w:val="Body"/>
        <w:rPr>
          <w:rFonts w:asciiTheme="majorHAnsi" w:hAnsiTheme="majorHAnsi" w:cstheme="majorHAnsi"/>
          <w:sz w:val="18"/>
          <w:szCs w:val="18"/>
          <w:lang w:val="en-US" w:eastAsia="en-US"/>
        </w:rPr>
      </w:pPr>
      <w:r w:rsidRPr="00C64064">
        <w:rPr>
          <w:rFonts w:asciiTheme="majorHAnsi" w:hAnsiTheme="majorHAnsi" w:cstheme="majorHAnsi"/>
          <w:lang w:val="en-US" w:eastAsia="en-US"/>
        </w:rPr>
        <w:t> </w:t>
      </w:r>
    </w:p>
    <w:p w14:paraId="7F1DCED2" w14:textId="54B8531D" w:rsidR="004D0BAF" w:rsidRPr="00C64064" w:rsidRDefault="00CE1041" w:rsidP="00E07578">
      <w:pPr>
        <w:pStyle w:val="Body"/>
        <w:rPr>
          <w:rFonts w:asciiTheme="majorHAnsi" w:hAnsiTheme="majorHAnsi" w:cstheme="majorHAnsi"/>
          <w:lang w:val="en-US" w:eastAsia="en-US"/>
        </w:rPr>
      </w:pPr>
      <w:r w:rsidRPr="00C64064">
        <w:rPr>
          <w:rFonts w:asciiTheme="majorHAnsi" w:hAnsiTheme="majorHAnsi" w:cstheme="majorHAnsi"/>
          <w:lang w:val="en-AU" w:eastAsia="en-US"/>
        </w:rPr>
        <w:t xml:space="preserve">More </w:t>
      </w:r>
      <w:r w:rsidR="000E7BCB" w:rsidRPr="00C64064">
        <w:rPr>
          <w:rFonts w:asciiTheme="majorHAnsi" w:hAnsiTheme="majorHAnsi" w:cstheme="majorHAnsi"/>
          <w:lang w:val="en-AU" w:eastAsia="en-US"/>
        </w:rPr>
        <w:t xml:space="preserve">detailed information </w:t>
      </w:r>
      <w:r w:rsidRPr="00C64064">
        <w:rPr>
          <w:rFonts w:asciiTheme="majorHAnsi" w:hAnsiTheme="majorHAnsi" w:cstheme="majorHAnsi"/>
          <w:lang w:val="en-AU" w:eastAsia="en-US"/>
        </w:rPr>
        <w:t xml:space="preserve">is available in </w:t>
      </w:r>
      <w:r w:rsidR="00213FD2" w:rsidRPr="00C64064">
        <w:rPr>
          <w:rFonts w:asciiTheme="majorHAnsi" w:hAnsiTheme="majorHAnsi" w:cstheme="majorHAnsi"/>
          <w:lang w:val="en-AU" w:eastAsia="en-US"/>
        </w:rPr>
        <w:t>S</w:t>
      </w:r>
      <w:r w:rsidR="00D654E8" w:rsidRPr="00C64064">
        <w:rPr>
          <w:rFonts w:asciiTheme="majorHAnsi" w:hAnsiTheme="majorHAnsi" w:cstheme="majorHAnsi"/>
          <w:lang w:val="en-AU" w:eastAsia="en-US"/>
        </w:rPr>
        <w:t>ection 2.</w:t>
      </w:r>
      <w:r w:rsidR="00213FD2" w:rsidRPr="00C64064">
        <w:rPr>
          <w:rFonts w:asciiTheme="majorHAnsi" w:hAnsiTheme="majorHAnsi" w:cstheme="majorHAnsi"/>
          <w:lang w:val="en-AU" w:eastAsia="en-US"/>
        </w:rPr>
        <w:t>3.1</w:t>
      </w:r>
      <w:r w:rsidR="00E07578" w:rsidRPr="00C64064">
        <w:rPr>
          <w:rFonts w:asciiTheme="majorHAnsi" w:hAnsiTheme="majorHAnsi" w:cstheme="majorHAnsi"/>
          <w:lang w:val="en-AU" w:eastAsia="en-US"/>
        </w:rPr>
        <w:t xml:space="preserve">. </w:t>
      </w:r>
      <w:r w:rsidRPr="00C64064">
        <w:rPr>
          <w:rFonts w:asciiTheme="majorHAnsi" w:hAnsiTheme="majorHAnsi" w:cstheme="majorHAnsi"/>
          <w:lang w:val="en-US" w:eastAsia="en-US"/>
        </w:rPr>
        <w:t> </w:t>
      </w:r>
    </w:p>
    <w:p w14:paraId="3E595C4C" w14:textId="0536A482" w:rsidR="007228C9" w:rsidRPr="00C64064" w:rsidRDefault="007228C9" w:rsidP="00E07578">
      <w:pPr>
        <w:pStyle w:val="Body"/>
        <w:rPr>
          <w:rFonts w:asciiTheme="majorHAnsi" w:hAnsiTheme="majorHAnsi" w:cstheme="majorHAnsi"/>
          <w:lang w:val="en-US" w:eastAsia="en-US"/>
        </w:rPr>
      </w:pPr>
    </w:p>
    <w:p w14:paraId="1C51BAFD" w14:textId="5A8A643B" w:rsidR="007228C9" w:rsidRPr="00C64064" w:rsidRDefault="007228C9" w:rsidP="00E07578">
      <w:pPr>
        <w:pStyle w:val="Body"/>
        <w:rPr>
          <w:rFonts w:asciiTheme="majorHAnsi" w:hAnsiTheme="majorHAnsi" w:cstheme="majorHAnsi"/>
          <w:lang w:val="en-US" w:eastAsia="en-US"/>
        </w:rPr>
      </w:pPr>
    </w:p>
    <w:p w14:paraId="0A3408A6" w14:textId="626C1F17" w:rsidR="007228C9" w:rsidRPr="00C64064" w:rsidRDefault="007228C9" w:rsidP="00E07578">
      <w:pPr>
        <w:pStyle w:val="Body"/>
        <w:rPr>
          <w:rFonts w:asciiTheme="majorHAnsi" w:hAnsiTheme="majorHAnsi" w:cstheme="majorHAnsi"/>
          <w:lang w:val="en-US" w:eastAsia="en-US"/>
        </w:rPr>
      </w:pPr>
    </w:p>
    <w:p w14:paraId="68F1A286" w14:textId="4BE2EBE4" w:rsidR="007228C9" w:rsidRPr="00C64064" w:rsidRDefault="007228C9" w:rsidP="00E07578">
      <w:pPr>
        <w:pStyle w:val="Body"/>
        <w:rPr>
          <w:rFonts w:asciiTheme="majorHAnsi" w:hAnsiTheme="majorHAnsi" w:cstheme="majorHAnsi"/>
          <w:lang w:val="en-US" w:eastAsia="en-US"/>
        </w:rPr>
      </w:pPr>
    </w:p>
    <w:p w14:paraId="5B8061B8" w14:textId="41BDA0AB" w:rsidR="007228C9" w:rsidRPr="00C64064" w:rsidRDefault="007228C9" w:rsidP="00E07578">
      <w:pPr>
        <w:pStyle w:val="Body"/>
        <w:rPr>
          <w:rFonts w:asciiTheme="majorHAnsi" w:hAnsiTheme="majorHAnsi" w:cstheme="majorHAnsi"/>
          <w:lang w:val="en-US" w:eastAsia="en-US"/>
        </w:rPr>
      </w:pPr>
    </w:p>
    <w:p w14:paraId="22C99ADD" w14:textId="19BB2FD7" w:rsidR="007228C9" w:rsidRPr="00C64064" w:rsidRDefault="007228C9" w:rsidP="00E07578">
      <w:pPr>
        <w:pStyle w:val="Body"/>
        <w:rPr>
          <w:rFonts w:asciiTheme="majorHAnsi" w:hAnsiTheme="majorHAnsi" w:cstheme="majorHAnsi"/>
          <w:lang w:val="en-US" w:eastAsia="en-US"/>
        </w:rPr>
      </w:pPr>
    </w:p>
    <w:p w14:paraId="3D2712F6" w14:textId="50B8D3A9" w:rsidR="007228C9" w:rsidRPr="00C64064" w:rsidRDefault="007228C9" w:rsidP="00E07578">
      <w:pPr>
        <w:pStyle w:val="Body"/>
        <w:rPr>
          <w:rFonts w:asciiTheme="majorHAnsi" w:hAnsiTheme="majorHAnsi" w:cstheme="majorHAnsi"/>
          <w:lang w:val="en-US" w:eastAsia="en-US"/>
        </w:rPr>
      </w:pPr>
    </w:p>
    <w:p w14:paraId="5D9CEDB5" w14:textId="4EDAC5B6" w:rsidR="007228C9" w:rsidRPr="00C64064" w:rsidRDefault="007228C9" w:rsidP="00E07578">
      <w:pPr>
        <w:pStyle w:val="Body"/>
        <w:rPr>
          <w:rFonts w:asciiTheme="majorHAnsi" w:hAnsiTheme="majorHAnsi" w:cstheme="majorHAnsi"/>
          <w:lang w:val="en-US" w:eastAsia="en-US"/>
        </w:rPr>
      </w:pPr>
    </w:p>
    <w:p w14:paraId="39DFC124" w14:textId="581DC42F" w:rsidR="007228C9" w:rsidRPr="00C64064" w:rsidRDefault="007228C9" w:rsidP="00E07578">
      <w:pPr>
        <w:pStyle w:val="Body"/>
        <w:rPr>
          <w:rFonts w:asciiTheme="majorHAnsi" w:hAnsiTheme="majorHAnsi" w:cstheme="majorHAnsi"/>
          <w:lang w:val="en-US" w:eastAsia="en-US"/>
        </w:rPr>
      </w:pPr>
    </w:p>
    <w:p w14:paraId="28353363" w14:textId="7964D0AC" w:rsidR="004D0BAF" w:rsidRPr="00A342EE" w:rsidRDefault="004D0BAF" w:rsidP="00A342EE">
      <w:pPr>
        <w:pStyle w:val="Head2"/>
      </w:pPr>
      <w:bookmarkStart w:id="65" w:name="_Toc172823288"/>
      <w:bookmarkStart w:id="66" w:name="_Toc180155161"/>
      <w:r w:rsidRPr="00A342EE">
        <w:lastRenderedPageBreak/>
        <w:t xml:space="preserve">Other </w:t>
      </w:r>
      <w:r w:rsidR="008A5111" w:rsidRPr="00A342EE">
        <w:t>K</w:t>
      </w:r>
      <w:r w:rsidRPr="00A342EE">
        <w:t xml:space="preserve">ey </w:t>
      </w:r>
      <w:r w:rsidR="008A5111" w:rsidRPr="00A342EE">
        <w:t>P</w:t>
      </w:r>
      <w:r w:rsidRPr="00A342EE">
        <w:t xml:space="preserve">erformance </w:t>
      </w:r>
      <w:r w:rsidR="008A5111" w:rsidRPr="00A342EE">
        <w:t>I</w:t>
      </w:r>
      <w:r w:rsidRPr="00A342EE">
        <w:t>ndicators</w:t>
      </w:r>
      <w:bookmarkEnd w:id="65"/>
      <w:bookmarkEnd w:id="66"/>
      <w:r w:rsidRPr="00A342EE">
        <w:tab/>
      </w:r>
    </w:p>
    <w:p w14:paraId="1D202ECC" w14:textId="4A84AAB5" w:rsidR="00C07FE6" w:rsidRPr="00C64064" w:rsidRDefault="00C07FE6" w:rsidP="00C07FE6">
      <w:pPr>
        <w:pStyle w:val="Body"/>
        <w:rPr>
          <w:rFonts w:asciiTheme="majorHAnsi" w:hAnsiTheme="majorHAnsi" w:cstheme="majorHAnsi"/>
          <w:sz w:val="18"/>
          <w:szCs w:val="18"/>
          <w:lang w:val="en-US" w:eastAsia="en-US"/>
        </w:rPr>
      </w:pPr>
      <w:r w:rsidRPr="00C64064">
        <w:rPr>
          <w:rFonts w:asciiTheme="majorHAnsi" w:hAnsiTheme="majorHAnsi" w:cstheme="majorHAnsi"/>
          <w:lang w:val="en-AU" w:eastAsia="en-US"/>
        </w:rPr>
        <w:t>Other key performance indicators demonstrate progress in achieving scale, sustainability, and inclusion in PRISMA's commodity and livestock sectors. Details of the progress against the KPIs can be found in Annex 2 and are summarised in the following table: </w:t>
      </w:r>
      <w:r w:rsidRPr="00C64064">
        <w:rPr>
          <w:rFonts w:asciiTheme="majorHAnsi" w:hAnsiTheme="majorHAnsi" w:cstheme="majorHAnsi"/>
          <w:lang w:val="en-US" w:eastAsia="en-US"/>
        </w:rPr>
        <w:t> </w:t>
      </w:r>
    </w:p>
    <w:tbl>
      <w:tblPr>
        <w:tblW w:w="9498" w:type="dxa"/>
        <w:tblBorders>
          <w:insideH w:val="single" w:sz="6" w:space="0" w:color="8EAADB"/>
        </w:tblBorders>
        <w:tblCellMar>
          <w:top w:w="57" w:type="dxa"/>
          <w:left w:w="57" w:type="dxa"/>
          <w:bottom w:w="57" w:type="dxa"/>
          <w:right w:w="57" w:type="dxa"/>
        </w:tblCellMar>
        <w:tblLook w:val="04A0" w:firstRow="1" w:lastRow="0" w:firstColumn="1" w:lastColumn="0" w:noHBand="0" w:noVBand="1"/>
      </w:tblPr>
      <w:tblGrid>
        <w:gridCol w:w="983"/>
        <w:gridCol w:w="3383"/>
        <w:gridCol w:w="454"/>
        <w:gridCol w:w="1843"/>
        <w:gridCol w:w="2835"/>
      </w:tblGrid>
      <w:tr w:rsidR="00C07FE6" w:rsidRPr="00C64064" w14:paraId="3CF400BD" w14:textId="77777777" w:rsidTr="5583D54B">
        <w:trPr>
          <w:trHeight w:val="300"/>
        </w:trPr>
        <w:tc>
          <w:tcPr>
            <w:tcW w:w="4366" w:type="dxa"/>
            <w:gridSpan w:val="2"/>
            <w:shd w:val="clear" w:color="auto" w:fill="0070C0"/>
            <w:hideMark/>
          </w:tcPr>
          <w:p w14:paraId="76AFF9DC" w14:textId="4325BFDB" w:rsidR="00C07FE6" w:rsidRPr="00C64064" w:rsidRDefault="00C07FE6" w:rsidP="00AB55CC">
            <w:pPr>
              <w:spacing w:after="0" w:line="240" w:lineRule="auto"/>
              <w:jc w:val="center"/>
              <w:textAlignment w:val="baseline"/>
              <w:rPr>
                <w:rFonts w:asciiTheme="majorHAnsi" w:eastAsia="Times New Roman" w:hAnsiTheme="majorHAnsi" w:cstheme="majorHAnsi"/>
                <w:b/>
                <w:bCs/>
                <w:color w:val="FFFFFF" w:themeColor="background1"/>
                <w:sz w:val="24"/>
                <w:szCs w:val="24"/>
                <w:lang w:val="en-US" w:eastAsia="en-US"/>
              </w:rPr>
            </w:pPr>
            <w:r w:rsidRPr="00C64064">
              <w:rPr>
                <w:rFonts w:asciiTheme="majorHAnsi" w:eastAsia="Times New Roman" w:hAnsiTheme="majorHAnsi" w:cstheme="majorHAnsi"/>
                <w:b/>
                <w:bCs/>
                <w:color w:val="FFFFFF" w:themeColor="background1"/>
                <w:sz w:val="20"/>
                <w:szCs w:val="20"/>
                <w:lang w:val="en-AU" w:eastAsia="en-US"/>
              </w:rPr>
              <w:t>KPI Indicator</w:t>
            </w:r>
            <w:r w:rsidR="008A5111" w:rsidRPr="00C64064">
              <w:rPr>
                <w:rFonts w:asciiTheme="majorHAnsi" w:eastAsia="Times New Roman" w:hAnsiTheme="majorHAnsi" w:cstheme="majorHAnsi"/>
                <w:b/>
                <w:bCs/>
                <w:color w:val="FFFFFF" w:themeColor="background1"/>
                <w:sz w:val="20"/>
                <w:szCs w:val="20"/>
                <w:lang w:val="en-AU" w:eastAsia="en-US"/>
              </w:rPr>
              <w:t>s</w:t>
            </w:r>
          </w:p>
        </w:tc>
        <w:tc>
          <w:tcPr>
            <w:tcW w:w="2297" w:type="dxa"/>
            <w:gridSpan w:val="2"/>
            <w:shd w:val="clear" w:color="auto" w:fill="0070C0"/>
            <w:hideMark/>
          </w:tcPr>
          <w:p w14:paraId="58115E23" w14:textId="1A3E1A17" w:rsidR="00C07FE6" w:rsidRPr="00C64064" w:rsidRDefault="00C07FE6" w:rsidP="00AB55CC">
            <w:pPr>
              <w:spacing w:after="0" w:line="240" w:lineRule="auto"/>
              <w:jc w:val="center"/>
              <w:textAlignment w:val="baseline"/>
              <w:rPr>
                <w:rFonts w:asciiTheme="majorHAnsi" w:eastAsia="Times New Roman" w:hAnsiTheme="majorHAnsi" w:cstheme="majorHAnsi"/>
                <w:b/>
                <w:bCs/>
                <w:color w:val="FFFFFF" w:themeColor="background1"/>
                <w:sz w:val="24"/>
                <w:szCs w:val="24"/>
                <w:lang w:val="en-US" w:eastAsia="en-US"/>
              </w:rPr>
            </w:pPr>
            <w:r w:rsidRPr="00C64064">
              <w:rPr>
                <w:rFonts w:asciiTheme="majorHAnsi" w:eastAsia="Times New Roman" w:hAnsiTheme="majorHAnsi" w:cstheme="majorHAnsi"/>
                <w:b/>
                <w:bCs/>
                <w:color w:val="FFFFFF" w:themeColor="background1"/>
                <w:sz w:val="20"/>
                <w:szCs w:val="20"/>
                <w:lang w:val="en-AU" w:eastAsia="en-US"/>
              </w:rPr>
              <w:t>Actual Y24S1</w:t>
            </w:r>
          </w:p>
        </w:tc>
        <w:tc>
          <w:tcPr>
            <w:tcW w:w="2835" w:type="dxa"/>
            <w:shd w:val="clear" w:color="auto" w:fill="0070C0"/>
            <w:hideMark/>
          </w:tcPr>
          <w:p w14:paraId="2D55503D" w14:textId="5B7B9C8D" w:rsidR="00C07FE6" w:rsidRPr="00C64064" w:rsidRDefault="00C07FE6" w:rsidP="00AB55CC">
            <w:pPr>
              <w:spacing w:after="0" w:line="240" w:lineRule="auto"/>
              <w:jc w:val="center"/>
              <w:textAlignment w:val="baseline"/>
              <w:rPr>
                <w:rFonts w:asciiTheme="majorHAnsi" w:eastAsia="Times New Roman" w:hAnsiTheme="majorHAnsi" w:cstheme="majorHAnsi"/>
                <w:b/>
                <w:bCs/>
                <w:color w:val="FFFFFF" w:themeColor="background1"/>
                <w:sz w:val="24"/>
                <w:szCs w:val="24"/>
                <w:lang w:val="en-US" w:eastAsia="en-US"/>
              </w:rPr>
            </w:pPr>
            <w:r w:rsidRPr="00C64064">
              <w:rPr>
                <w:rFonts w:asciiTheme="majorHAnsi" w:eastAsia="Times New Roman" w:hAnsiTheme="majorHAnsi" w:cstheme="majorHAnsi"/>
                <w:b/>
                <w:bCs/>
                <w:color w:val="FFFFFF" w:themeColor="background1"/>
                <w:sz w:val="20"/>
                <w:szCs w:val="20"/>
                <w:lang w:val="en-AU" w:eastAsia="en-US"/>
              </w:rPr>
              <w:t>Actual up to June 2024</w:t>
            </w:r>
          </w:p>
        </w:tc>
      </w:tr>
      <w:tr w:rsidR="00AB55CC" w:rsidRPr="00C64064" w14:paraId="7AE0A8B6" w14:textId="77777777" w:rsidTr="5583D54B">
        <w:trPr>
          <w:trHeight w:val="300"/>
        </w:trPr>
        <w:tc>
          <w:tcPr>
            <w:tcW w:w="983" w:type="dxa"/>
            <w:shd w:val="clear" w:color="auto" w:fill="D9E2F3"/>
            <w:hideMark/>
          </w:tcPr>
          <w:p w14:paraId="77CD1E8F" w14:textId="77777777" w:rsidR="00C07FE6" w:rsidRPr="00C64064" w:rsidRDefault="00C07FE6" w:rsidP="00AB55CC">
            <w:pPr>
              <w:spacing w:after="0" w:line="240" w:lineRule="auto"/>
              <w:textAlignment w:val="baseline"/>
              <w:rPr>
                <w:rFonts w:asciiTheme="majorHAnsi" w:eastAsia="Times New Roman" w:hAnsiTheme="majorHAnsi" w:cstheme="majorHAnsi"/>
                <w:b/>
                <w:bCs/>
                <w:sz w:val="24"/>
                <w:szCs w:val="24"/>
                <w:lang w:val="en-US" w:eastAsia="en-US"/>
              </w:rPr>
            </w:pPr>
            <w:r w:rsidRPr="00C64064">
              <w:rPr>
                <w:rFonts w:asciiTheme="majorHAnsi" w:eastAsia="Times New Roman" w:hAnsiTheme="majorHAnsi" w:cstheme="majorHAnsi"/>
                <w:b/>
                <w:bCs/>
                <w:sz w:val="20"/>
                <w:szCs w:val="20"/>
                <w:lang w:val="en-AU" w:eastAsia="en-US"/>
              </w:rPr>
              <w:t>KPI1</w:t>
            </w:r>
            <w:r w:rsidRPr="00C64064">
              <w:rPr>
                <w:rFonts w:asciiTheme="majorHAnsi" w:eastAsia="Times New Roman" w:hAnsiTheme="majorHAnsi" w:cstheme="majorHAnsi"/>
                <w:b/>
                <w:bCs/>
                <w:sz w:val="20"/>
                <w:szCs w:val="20"/>
                <w:lang w:val="en-US" w:eastAsia="en-US"/>
              </w:rPr>
              <w:t> </w:t>
            </w:r>
          </w:p>
        </w:tc>
        <w:tc>
          <w:tcPr>
            <w:tcW w:w="3837" w:type="dxa"/>
            <w:gridSpan w:val="2"/>
            <w:shd w:val="clear" w:color="auto" w:fill="D9E2F3"/>
            <w:hideMark/>
          </w:tcPr>
          <w:p w14:paraId="131A543B" w14:textId="70896AA5" w:rsidR="00C07FE6" w:rsidRPr="00C64064" w:rsidRDefault="00C07FE6" w:rsidP="00AB55CC">
            <w:pPr>
              <w:spacing w:after="0" w:line="240" w:lineRule="auto"/>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 xml:space="preserve">Number of farming </w:t>
            </w:r>
            <w:r w:rsidR="00050BE4" w:rsidRPr="00C64064">
              <w:rPr>
                <w:rFonts w:asciiTheme="majorHAnsi" w:eastAsia="Times New Roman" w:hAnsiTheme="majorHAnsi" w:cstheme="majorHAnsi"/>
                <w:sz w:val="20"/>
                <w:szCs w:val="20"/>
                <w:lang w:val="en-AU" w:eastAsia="en-US"/>
              </w:rPr>
              <w:t>households (</w:t>
            </w:r>
            <w:r w:rsidRPr="00C64064">
              <w:rPr>
                <w:rFonts w:asciiTheme="majorHAnsi" w:eastAsia="Times New Roman" w:hAnsiTheme="majorHAnsi" w:cstheme="majorHAnsi"/>
                <w:sz w:val="20"/>
                <w:szCs w:val="20"/>
                <w:lang w:val="en-AU" w:eastAsia="en-US"/>
              </w:rPr>
              <w:t>HH</w:t>
            </w:r>
            <w:r w:rsidR="00213FD2" w:rsidRPr="00C64064">
              <w:rPr>
                <w:rFonts w:asciiTheme="majorHAnsi" w:eastAsia="Times New Roman" w:hAnsiTheme="majorHAnsi" w:cstheme="majorHAnsi"/>
                <w:sz w:val="20"/>
                <w:szCs w:val="20"/>
                <w:lang w:val="en-AU" w:eastAsia="en-US"/>
              </w:rPr>
              <w:t>s</w:t>
            </w:r>
            <w:r w:rsidR="00050BE4" w:rsidRPr="00C64064">
              <w:rPr>
                <w:rFonts w:asciiTheme="majorHAnsi" w:eastAsia="Times New Roman" w:hAnsiTheme="majorHAnsi" w:cstheme="majorHAnsi"/>
                <w:sz w:val="20"/>
                <w:szCs w:val="20"/>
                <w:lang w:val="en-AU" w:eastAsia="en-US"/>
              </w:rPr>
              <w:t>) that</w:t>
            </w:r>
            <w:r w:rsidRPr="00C64064">
              <w:rPr>
                <w:rFonts w:asciiTheme="majorHAnsi" w:eastAsia="Times New Roman" w:hAnsiTheme="majorHAnsi" w:cstheme="majorHAnsi"/>
                <w:sz w:val="20"/>
                <w:szCs w:val="20"/>
                <w:lang w:val="en-AU" w:eastAsia="en-US"/>
              </w:rPr>
              <w:t xml:space="preserve"> increase their income due to PRISMA Interventions</w:t>
            </w:r>
            <w:r w:rsidRPr="00C64064">
              <w:rPr>
                <w:rFonts w:asciiTheme="majorHAnsi" w:eastAsia="Times New Roman" w:hAnsiTheme="majorHAnsi" w:cstheme="majorHAnsi"/>
                <w:sz w:val="20"/>
                <w:szCs w:val="20"/>
                <w:lang w:val="en-US" w:eastAsia="en-US"/>
              </w:rPr>
              <w:t> </w:t>
            </w:r>
          </w:p>
        </w:tc>
        <w:tc>
          <w:tcPr>
            <w:tcW w:w="1843" w:type="dxa"/>
            <w:shd w:val="clear" w:color="auto" w:fill="D9E2F3"/>
            <w:hideMark/>
          </w:tcPr>
          <w:p w14:paraId="741E0DB5" w14:textId="44D51A61"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26,993</w:t>
            </w:r>
          </w:p>
        </w:tc>
        <w:tc>
          <w:tcPr>
            <w:tcW w:w="2835" w:type="dxa"/>
            <w:shd w:val="clear" w:color="auto" w:fill="D9E2F3"/>
            <w:hideMark/>
          </w:tcPr>
          <w:p w14:paraId="4000D463" w14:textId="77777777"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1,482,778</w:t>
            </w:r>
            <w:r w:rsidRPr="00C64064">
              <w:rPr>
                <w:rFonts w:asciiTheme="majorHAnsi" w:eastAsia="Times New Roman" w:hAnsiTheme="majorHAnsi" w:cstheme="majorHAnsi"/>
                <w:sz w:val="20"/>
                <w:szCs w:val="20"/>
                <w:lang w:val="en-US" w:eastAsia="en-US"/>
              </w:rPr>
              <w:t> </w:t>
            </w:r>
          </w:p>
        </w:tc>
      </w:tr>
      <w:tr w:rsidR="00C07FE6" w:rsidRPr="00C64064" w14:paraId="52EBA4F8" w14:textId="77777777" w:rsidTr="5583D54B">
        <w:trPr>
          <w:trHeight w:val="300"/>
        </w:trPr>
        <w:tc>
          <w:tcPr>
            <w:tcW w:w="983" w:type="dxa"/>
            <w:shd w:val="clear" w:color="auto" w:fill="auto"/>
            <w:hideMark/>
          </w:tcPr>
          <w:p w14:paraId="17B54AA7" w14:textId="77777777" w:rsidR="00C07FE6" w:rsidRPr="00C64064" w:rsidRDefault="00C07FE6" w:rsidP="00AB55CC">
            <w:pPr>
              <w:spacing w:after="0" w:line="240" w:lineRule="auto"/>
              <w:textAlignment w:val="baseline"/>
              <w:rPr>
                <w:rFonts w:asciiTheme="majorHAnsi" w:eastAsia="Times New Roman" w:hAnsiTheme="majorHAnsi" w:cstheme="majorHAnsi"/>
                <w:b/>
                <w:bCs/>
                <w:sz w:val="24"/>
                <w:szCs w:val="24"/>
                <w:lang w:val="en-US" w:eastAsia="en-US"/>
              </w:rPr>
            </w:pPr>
            <w:r w:rsidRPr="00C64064">
              <w:rPr>
                <w:rFonts w:asciiTheme="majorHAnsi" w:eastAsia="Times New Roman" w:hAnsiTheme="majorHAnsi" w:cstheme="majorHAnsi"/>
                <w:b/>
                <w:bCs/>
                <w:sz w:val="20"/>
                <w:szCs w:val="20"/>
                <w:lang w:val="en-AU" w:eastAsia="en-US"/>
              </w:rPr>
              <w:t>KPI1a</w:t>
            </w:r>
            <w:r w:rsidRPr="00C64064">
              <w:rPr>
                <w:rFonts w:asciiTheme="majorHAnsi" w:eastAsia="Times New Roman" w:hAnsiTheme="majorHAnsi" w:cstheme="majorHAnsi"/>
                <w:b/>
                <w:bCs/>
                <w:sz w:val="20"/>
                <w:szCs w:val="20"/>
                <w:lang w:val="en-US" w:eastAsia="en-US"/>
              </w:rPr>
              <w:t> </w:t>
            </w:r>
          </w:p>
        </w:tc>
        <w:tc>
          <w:tcPr>
            <w:tcW w:w="3837" w:type="dxa"/>
            <w:gridSpan w:val="2"/>
            <w:shd w:val="clear" w:color="auto" w:fill="auto"/>
            <w:hideMark/>
          </w:tcPr>
          <w:p w14:paraId="20FD97F3" w14:textId="7FDEDAF7" w:rsidR="00C07FE6" w:rsidRPr="00C64064" w:rsidRDefault="00C07FE6" w:rsidP="00AB55CC">
            <w:pPr>
              <w:spacing w:after="0" w:line="240" w:lineRule="auto"/>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Number of farm</w:t>
            </w:r>
            <w:r w:rsidR="00213FD2" w:rsidRPr="00C64064">
              <w:rPr>
                <w:rFonts w:asciiTheme="majorHAnsi" w:eastAsia="Times New Roman" w:hAnsiTheme="majorHAnsi" w:cstheme="majorHAnsi"/>
                <w:sz w:val="20"/>
                <w:szCs w:val="20"/>
                <w:lang w:val="en-AU" w:eastAsia="en-US"/>
              </w:rPr>
              <w:t>ing HHs</w:t>
            </w:r>
            <w:r w:rsidRPr="00C64064">
              <w:rPr>
                <w:rFonts w:asciiTheme="majorHAnsi" w:eastAsia="Times New Roman" w:hAnsiTheme="majorHAnsi" w:cstheme="majorHAnsi"/>
                <w:sz w:val="20"/>
                <w:szCs w:val="20"/>
                <w:lang w:val="en-AU" w:eastAsia="en-US"/>
              </w:rPr>
              <w:t xml:space="preserve"> </w:t>
            </w:r>
            <w:r w:rsidR="00213FD2" w:rsidRPr="00C64064">
              <w:rPr>
                <w:rFonts w:asciiTheme="majorHAnsi" w:eastAsia="Times New Roman" w:hAnsiTheme="majorHAnsi" w:cstheme="majorHAnsi"/>
                <w:sz w:val="20"/>
                <w:szCs w:val="20"/>
                <w:lang w:val="en-AU" w:eastAsia="en-US"/>
              </w:rPr>
              <w:t>in</w:t>
            </w:r>
            <w:r w:rsidRPr="00C64064">
              <w:rPr>
                <w:rFonts w:asciiTheme="majorHAnsi" w:eastAsia="Times New Roman" w:hAnsiTheme="majorHAnsi" w:cstheme="majorHAnsi"/>
                <w:sz w:val="20"/>
                <w:szCs w:val="20"/>
                <w:lang w:val="en-AU" w:eastAsia="en-US"/>
              </w:rPr>
              <w:t xml:space="preserve"> extreme poverty (</w:t>
            </w:r>
            <w:r w:rsidR="00213FD2" w:rsidRPr="00C64064">
              <w:rPr>
                <w:rFonts w:asciiTheme="majorHAnsi" w:eastAsia="Times New Roman" w:hAnsiTheme="majorHAnsi" w:cstheme="majorHAnsi"/>
                <w:sz w:val="20"/>
                <w:szCs w:val="20"/>
                <w:lang w:val="en-AU" w:eastAsia="en-US"/>
              </w:rPr>
              <w:t>under USD</w:t>
            </w:r>
            <w:r w:rsidRPr="00C64064">
              <w:rPr>
                <w:rFonts w:asciiTheme="majorHAnsi" w:eastAsia="Times New Roman" w:hAnsiTheme="majorHAnsi" w:cstheme="majorHAnsi"/>
                <w:sz w:val="20"/>
                <w:szCs w:val="20"/>
                <w:lang w:val="en-AU" w:eastAsia="en-US"/>
              </w:rPr>
              <w:t>2.50</w:t>
            </w:r>
            <w:r w:rsidR="009C4798" w:rsidRPr="00C64064">
              <w:rPr>
                <w:rFonts w:asciiTheme="majorHAnsi" w:eastAsia="Times New Roman" w:hAnsiTheme="majorHAnsi" w:cstheme="majorHAnsi"/>
                <w:sz w:val="20"/>
                <w:szCs w:val="20"/>
                <w:lang w:val="en-AU" w:eastAsia="en-US"/>
              </w:rPr>
              <w:t xml:space="preserve"> </w:t>
            </w:r>
            <w:r w:rsidRPr="00C64064">
              <w:rPr>
                <w:rFonts w:asciiTheme="majorHAnsi" w:eastAsia="Times New Roman" w:hAnsiTheme="majorHAnsi" w:cstheme="majorHAnsi"/>
                <w:sz w:val="20"/>
                <w:szCs w:val="20"/>
                <w:lang w:val="en-AU" w:eastAsia="en-US"/>
              </w:rPr>
              <w:t>PPP poverty line) with increased net incomes</w:t>
            </w:r>
            <w:r w:rsidRPr="00C64064">
              <w:rPr>
                <w:rFonts w:asciiTheme="majorHAnsi" w:eastAsia="Times New Roman" w:hAnsiTheme="majorHAnsi" w:cstheme="majorHAnsi"/>
                <w:sz w:val="20"/>
                <w:szCs w:val="20"/>
                <w:lang w:val="en-US" w:eastAsia="en-US"/>
              </w:rPr>
              <w:t> </w:t>
            </w:r>
          </w:p>
        </w:tc>
        <w:tc>
          <w:tcPr>
            <w:tcW w:w="1843" w:type="dxa"/>
            <w:shd w:val="clear" w:color="auto" w:fill="auto"/>
            <w:hideMark/>
          </w:tcPr>
          <w:p w14:paraId="3BBB105B" w14:textId="3E61E377"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10,774</w:t>
            </w:r>
          </w:p>
        </w:tc>
        <w:tc>
          <w:tcPr>
            <w:tcW w:w="2835" w:type="dxa"/>
            <w:shd w:val="clear" w:color="auto" w:fill="auto"/>
            <w:hideMark/>
          </w:tcPr>
          <w:p w14:paraId="126F4D0D" w14:textId="77777777"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544,273</w:t>
            </w:r>
            <w:r w:rsidRPr="00C64064">
              <w:rPr>
                <w:rFonts w:asciiTheme="majorHAnsi" w:eastAsia="Times New Roman" w:hAnsiTheme="majorHAnsi" w:cstheme="majorHAnsi"/>
                <w:sz w:val="20"/>
                <w:szCs w:val="20"/>
                <w:lang w:val="en-US" w:eastAsia="en-US"/>
              </w:rPr>
              <w:t> </w:t>
            </w:r>
          </w:p>
        </w:tc>
      </w:tr>
      <w:tr w:rsidR="00AB55CC" w:rsidRPr="00C64064" w14:paraId="18D3EB05" w14:textId="77777777" w:rsidTr="5583D54B">
        <w:trPr>
          <w:trHeight w:val="300"/>
        </w:trPr>
        <w:tc>
          <w:tcPr>
            <w:tcW w:w="983" w:type="dxa"/>
            <w:shd w:val="clear" w:color="auto" w:fill="D9E2F3"/>
            <w:hideMark/>
          </w:tcPr>
          <w:p w14:paraId="35248F3E" w14:textId="77777777" w:rsidR="00C07FE6" w:rsidRPr="00C64064" w:rsidRDefault="00C07FE6" w:rsidP="00AB55CC">
            <w:pPr>
              <w:spacing w:after="0" w:line="240" w:lineRule="auto"/>
              <w:textAlignment w:val="baseline"/>
              <w:rPr>
                <w:rFonts w:asciiTheme="majorHAnsi" w:eastAsia="Times New Roman" w:hAnsiTheme="majorHAnsi" w:cstheme="majorHAnsi"/>
                <w:b/>
                <w:bCs/>
                <w:sz w:val="24"/>
                <w:szCs w:val="24"/>
                <w:lang w:val="en-US" w:eastAsia="en-US"/>
              </w:rPr>
            </w:pPr>
            <w:r w:rsidRPr="00C64064">
              <w:rPr>
                <w:rFonts w:asciiTheme="majorHAnsi" w:eastAsia="Times New Roman" w:hAnsiTheme="majorHAnsi" w:cstheme="majorHAnsi"/>
                <w:b/>
                <w:bCs/>
                <w:sz w:val="20"/>
                <w:szCs w:val="20"/>
                <w:lang w:val="en-AU" w:eastAsia="en-US"/>
              </w:rPr>
              <w:t>KPI1b</w:t>
            </w:r>
            <w:r w:rsidRPr="00C64064">
              <w:rPr>
                <w:rFonts w:asciiTheme="majorHAnsi" w:eastAsia="Times New Roman" w:hAnsiTheme="majorHAnsi" w:cstheme="majorHAnsi"/>
                <w:b/>
                <w:bCs/>
                <w:sz w:val="20"/>
                <w:szCs w:val="20"/>
                <w:lang w:val="en-US" w:eastAsia="en-US"/>
              </w:rPr>
              <w:t> </w:t>
            </w:r>
          </w:p>
        </w:tc>
        <w:tc>
          <w:tcPr>
            <w:tcW w:w="3837" w:type="dxa"/>
            <w:gridSpan w:val="2"/>
            <w:shd w:val="clear" w:color="auto" w:fill="D9E2F3"/>
            <w:hideMark/>
          </w:tcPr>
          <w:p w14:paraId="56980C7F" w14:textId="79B37AD9" w:rsidR="00C07FE6" w:rsidRPr="00C64064" w:rsidRDefault="00C07FE6" w:rsidP="00AB55CC">
            <w:pPr>
              <w:spacing w:after="0" w:line="240" w:lineRule="auto"/>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 xml:space="preserve">Number of farm </w:t>
            </w:r>
            <w:r w:rsidR="00213FD2" w:rsidRPr="00C64064">
              <w:rPr>
                <w:rFonts w:asciiTheme="majorHAnsi" w:eastAsia="Times New Roman" w:hAnsiTheme="majorHAnsi" w:cstheme="majorHAnsi"/>
                <w:sz w:val="20"/>
                <w:szCs w:val="20"/>
                <w:lang w:val="en-AU" w:eastAsia="en-US"/>
              </w:rPr>
              <w:t>HH</w:t>
            </w:r>
            <w:r w:rsidRPr="00C64064">
              <w:rPr>
                <w:rFonts w:asciiTheme="majorHAnsi" w:eastAsia="Times New Roman" w:hAnsiTheme="majorHAnsi" w:cstheme="majorHAnsi"/>
                <w:sz w:val="20"/>
                <w:szCs w:val="20"/>
                <w:lang w:val="en-AU" w:eastAsia="en-US"/>
              </w:rPr>
              <w:t xml:space="preserve">s under the </w:t>
            </w:r>
            <w:r w:rsidR="00213FD2" w:rsidRPr="00C64064">
              <w:rPr>
                <w:rFonts w:asciiTheme="majorHAnsi" w:eastAsia="Times New Roman" w:hAnsiTheme="majorHAnsi" w:cstheme="majorHAnsi"/>
                <w:sz w:val="20"/>
                <w:szCs w:val="20"/>
                <w:lang w:val="en-AU" w:eastAsia="en-US"/>
              </w:rPr>
              <w:t>USD</w:t>
            </w:r>
            <w:r w:rsidRPr="00C64064">
              <w:rPr>
                <w:rFonts w:asciiTheme="majorHAnsi" w:eastAsia="Times New Roman" w:hAnsiTheme="majorHAnsi" w:cstheme="majorHAnsi"/>
                <w:sz w:val="20"/>
                <w:szCs w:val="20"/>
                <w:lang w:val="en-AU" w:eastAsia="en-US"/>
              </w:rPr>
              <w:t>5.50</w:t>
            </w:r>
            <w:r w:rsidR="009C4798" w:rsidRPr="00C64064">
              <w:rPr>
                <w:rFonts w:asciiTheme="majorHAnsi" w:eastAsia="Times New Roman" w:hAnsiTheme="majorHAnsi" w:cstheme="majorHAnsi"/>
                <w:sz w:val="20"/>
                <w:szCs w:val="20"/>
                <w:lang w:val="en-AU" w:eastAsia="en-US"/>
              </w:rPr>
              <w:t xml:space="preserve"> </w:t>
            </w:r>
            <w:r w:rsidRPr="00C64064">
              <w:rPr>
                <w:rFonts w:asciiTheme="majorHAnsi" w:eastAsia="Times New Roman" w:hAnsiTheme="majorHAnsi" w:cstheme="majorHAnsi"/>
                <w:sz w:val="20"/>
                <w:szCs w:val="20"/>
                <w:lang w:val="en-AU" w:eastAsia="en-US"/>
              </w:rPr>
              <w:t>PPP poverty line with increased net incomes</w:t>
            </w:r>
            <w:r w:rsidRPr="00C64064">
              <w:rPr>
                <w:rFonts w:asciiTheme="majorHAnsi" w:eastAsia="Times New Roman" w:hAnsiTheme="majorHAnsi" w:cstheme="majorHAnsi"/>
                <w:sz w:val="20"/>
                <w:szCs w:val="20"/>
                <w:lang w:val="en-US" w:eastAsia="en-US"/>
              </w:rPr>
              <w:t> </w:t>
            </w:r>
          </w:p>
        </w:tc>
        <w:tc>
          <w:tcPr>
            <w:tcW w:w="1843" w:type="dxa"/>
            <w:shd w:val="clear" w:color="auto" w:fill="D9E2F3"/>
            <w:hideMark/>
          </w:tcPr>
          <w:p w14:paraId="22244F36" w14:textId="4C60191B"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17,921</w:t>
            </w:r>
          </w:p>
        </w:tc>
        <w:tc>
          <w:tcPr>
            <w:tcW w:w="2835" w:type="dxa"/>
            <w:shd w:val="clear" w:color="auto" w:fill="D9E2F3"/>
            <w:hideMark/>
          </w:tcPr>
          <w:p w14:paraId="65FF93BF" w14:textId="77777777"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917,317</w:t>
            </w:r>
            <w:r w:rsidRPr="00C64064">
              <w:rPr>
                <w:rFonts w:asciiTheme="majorHAnsi" w:eastAsia="Times New Roman" w:hAnsiTheme="majorHAnsi" w:cstheme="majorHAnsi"/>
                <w:sz w:val="20"/>
                <w:szCs w:val="20"/>
                <w:lang w:val="en-US" w:eastAsia="en-US"/>
              </w:rPr>
              <w:t> </w:t>
            </w:r>
          </w:p>
        </w:tc>
      </w:tr>
      <w:tr w:rsidR="00C07FE6" w:rsidRPr="00C64064" w14:paraId="5B73CF91" w14:textId="77777777" w:rsidTr="5583D54B">
        <w:trPr>
          <w:trHeight w:val="300"/>
        </w:trPr>
        <w:tc>
          <w:tcPr>
            <w:tcW w:w="983" w:type="dxa"/>
            <w:shd w:val="clear" w:color="auto" w:fill="auto"/>
            <w:hideMark/>
          </w:tcPr>
          <w:p w14:paraId="14EBD01F" w14:textId="77777777" w:rsidR="00C07FE6" w:rsidRPr="00C64064" w:rsidRDefault="00C07FE6" w:rsidP="00AB55CC">
            <w:pPr>
              <w:spacing w:after="0" w:line="240" w:lineRule="auto"/>
              <w:textAlignment w:val="baseline"/>
              <w:rPr>
                <w:rFonts w:asciiTheme="majorHAnsi" w:eastAsia="Times New Roman" w:hAnsiTheme="majorHAnsi" w:cstheme="majorHAnsi"/>
                <w:b/>
                <w:bCs/>
                <w:sz w:val="24"/>
                <w:szCs w:val="24"/>
                <w:lang w:val="en-US" w:eastAsia="en-US"/>
              </w:rPr>
            </w:pPr>
            <w:r w:rsidRPr="00C64064">
              <w:rPr>
                <w:rFonts w:asciiTheme="majorHAnsi" w:eastAsia="Times New Roman" w:hAnsiTheme="majorHAnsi" w:cstheme="majorHAnsi"/>
                <w:b/>
                <w:bCs/>
                <w:sz w:val="20"/>
                <w:szCs w:val="20"/>
                <w:lang w:val="en-AU" w:eastAsia="en-US"/>
              </w:rPr>
              <w:t>KPI2</w:t>
            </w:r>
            <w:r w:rsidRPr="00C64064">
              <w:rPr>
                <w:rFonts w:asciiTheme="majorHAnsi" w:eastAsia="Times New Roman" w:hAnsiTheme="majorHAnsi" w:cstheme="majorHAnsi"/>
                <w:b/>
                <w:bCs/>
                <w:sz w:val="20"/>
                <w:szCs w:val="20"/>
                <w:lang w:val="en-US" w:eastAsia="en-US"/>
              </w:rPr>
              <w:t> </w:t>
            </w:r>
          </w:p>
        </w:tc>
        <w:tc>
          <w:tcPr>
            <w:tcW w:w="3837" w:type="dxa"/>
            <w:gridSpan w:val="2"/>
            <w:shd w:val="clear" w:color="auto" w:fill="auto"/>
            <w:hideMark/>
          </w:tcPr>
          <w:p w14:paraId="359BFCAB" w14:textId="757CC413" w:rsidR="00C07FE6" w:rsidRPr="00C64064" w:rsidRDefault="00C07FE6" w:rsidP="00AB55CC">
            <w:pPr>
              <w:spacing w:after="0" w:line="240" w:lineRule="auto"/>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 xml:space="preserve">Net attributable additional income for </w:t>
            </w:r>
            <w:r w:rsidR="00213FD2" w:rsidRPr="00C64064">
              <w:rPr>
                <w:rFonts w:asciiTheme="majorHAnsi" w:eastAsia="Times New Roman" w:hAnsiTheme="majorHAnsi" w:cstheme="majorHAnsi"/>
                <w:sz w:val="20"/>
                <w:szCs w:val="20"/>
                <w:lang w:val="en-AU" w:eastAsia="en-US"/>
              </w:rPr>
              <w:t xml:space="preserve">all </w:t>
            </w:r>
            <w:r w:rsidRPr="00C64064">
              <w:rPr>
                <w:rFonts w:asciiTheme="majorHAnsi" w:eastAsia="Times New Roman" w:hAnsiTheme="majorHAnsi" w:cstheme="majorHAnsi"/>
                <w:sz w:val="20"/>
                <w:szCs w:val="20"/>
                <w:lang w:val="en-AU" w:eastAsia="en-US"/>
              </w:rPr>
              <w:t>targeted farm</w:t>
            </w:r>
            <w:r w:rsidR="00213FD2" w:rsidRPr="00C64064">
              <w:rPr>
                <w:rFonts w:asciiTheme="majorHAnsi" w:eastAsia="Times New Roman" w:hAnsiTheme="majorHAnsi" w:cstheme="majorHAnsi"/>
                <w:sz w:val="20"/>
                <w:szCs w:val="20"/>
                <w:lang w:val="en-AU" w:eastAsia="en-US"/>
              </w:rPr>
              <w:t>ing</w:t>
            </w:r>
            <w:r w:rsidRPr="00C64064">
              <w:rPr>
                <w:rFonts w:asciiTheme="majorHAnsi" w:eastAsia="Times New Roman" w:hAnsiTheme="majorHAnsi" w:cstheme="majorHAnsi"/>
                <w:sz w:val="20"/>
                <w:szCs w:val="20"/>
                <w:lang w:val="en-AU" w:eastAsia="en-US"/>
              </w:rPr>
              <w:t xml:space="preserve"> HH</w:t>
            </w:r>
            <w:r w:rsidR="00213FD2" w:rsidRPr="00C64064">
              <w:rPr>
                <w:rFonts w:asciiTheme="majorHAnsi" w:eastAsia="Times New Roman" w:hAnsiTheme="majorHAnsi" w:cstheme="majorHAnsi"/>
                <w:sz w:val="20"/>
                <w:szCs w:val="20"/>
                <w:lang w:val="en-AU" w:eastAsia="en-US"/>
              </w:rPr>
              <w:t>s</w:t>
            </w:r>
            <w:r w:rsidRPr="00C64064">
              <w:rPr>
                <w:rFonts w:asciiTheme="majorHAnsi" w:eastAsia="Times New Roman" w:hAnsiTheme="majorHAnsi" w:cstheme="majorHAnsi"/>
                <w:sz w:val="20"/>
                <w:szCs w:val="20"/>
                <w:lang w:val="en-AU" w:eastAsia="en-US"/>
              </w:rPr>
              <w:t xml:space="preserve"> in IDR</w:t>
            </w:r>
            <w:r w:rsidRPr="00C64064">
              <w:rPr>
                <w:rFonts w:asciiTheme="majorHAnsi" w:eastAsia="Times New Roman" w:hAnsiTheme="majorHAnsi" w:cstheme="majorHAnsi"/>
                <w:sz w:val="20"/>
                <w:szCs w:val="20"/>
                <w:lang w:val="en-US" w:eastAsia="en-US"/>
              </w:rPr>
              <w:t> </w:t>
            </w:r>
          </w:p>
        </w:tc>
        <w:tc>
          <w:tcPr>
            <w:tcW w:w="1843" w:type="dxa"/>
            <w:shd w:val="clear" w:color="auto" w:fill="auto"/>
            <w:hideMark/>
          </w:tcPr>
          <w:p w14:paraId="3C3909EF" w14:textId="1DB00896"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color w:val="000000"/>
                <w:sz w:val="20"/>
                <w:szCs w:val="20"/>
                <w:lang w:val="en-AU" w:eastAsia="en-US"/>
              </w:rPr>
              <w:t>253,311,724,783</w:t>
            </w:r>
          </w:p>
          <w:p w14:paraId="733ED92F" w14:textId="05462BED"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color w:val="000000"/>
                <w:sz w:val="20"/>
                <w:szCs w:val="20"/>
                <w:lang w:val="en-AU" w:eastAsia="en-US"/>
              </w:rPr>
              <w:t>(</w:t>
            </w:r>
            <w:r w:rsidR="00184754" w:rsidRPr="00C64064">
              <w:rPr>
                <w:rFonts w:asciiTheme="majorHAnsi" w:eastAsia="Times New Roman" w:hAnsiTheme="majorHAnsi" w:cstheme="majorHAnsi"/>
                <w:color w:val="000000"/>
                <w:sz w:val="20"/>
                <w:szCs w:val="20"/>
                <w:lang w:val="en-AU" w:eastAsia="en-US"/>
              </w:rPr>
              <w:t>AUD</w:t>
            </w:r>
            <w:r w:rsidRPr="00C64064">
              <w:rPr>
                <w:rFonts w:asciiTheme="majorHAnsi" w:eastAsia="Times New Roman" w:hAnsiTheme="majorHAnsi" w:cstheme="majorHAnsi"/>
                <w:color w:val="000000"/>
                <w:sz w:val="20"/>
                <w:szCs w:val="20"/>
                <w:lang w:val="en-AU" w:eastAsia="en-US"/>
              </w:rPr>
              <w:t>25,331,172)</w:t>
            </w:r>
          </w:p>
          <w:p w14:paraId="4D1EC53A" w14:textId="700FD6DF"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p>
        </w:tc>
        <w:tc>
          <w:tcPr>
            <w:tcW w:w="2835" w:type="dxa"/>
            <w:shd w:val="clear" w:color="auto" w:fill="auto"/>
            <w:hideMark/>
          </w:tcPr>
          <w:p w14:paraId="3081244D" w14:textId="77777777"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9,272,502,348,907</w:t>
            </w:r>
            <w:r w:rsidRPr="00C64064">
              <w:rPr>
                <w:rFonts w:asciiTheme="majorHAnsi" w:eastAsia="Times New Roman" w:hAnsiTheme="majorHAnsi" w:cstheme="majorHAnsi"/>
                <w:sz w:val="20"/>
                <w:szCs w:val="20"/>
                <w:lang w:val="en-US" w:eastAsia="en-US"/>
              </w:rPr>
              <w:t> </w:t>
            </w:r>
          </w:p>
          <w:p w14:paraId="655A7CD4" w14:textId="60C1216B"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w:t>
            </w:r>
            <w:r w:rsidR="00184754" w:rsidRPr="00C64064">
              <w:rPr>
                <w:rFonts w:asciiTheme="majorHAnsi" w:eastAsia="Times New Roman" w:hAnsiTheme="majorHAnsi" w:cstheme="majorHAnsi"/>
                <w:sz w:val="20"/>
                <w:szCs w:val="20"/>
                <w:lang w:val="en-AU" w:eastAsia="en-US"/>
              </w:rPr>
              <w:t>AUD</w:t>
            </w:r>
            <w:r w:rsidRPr="00C64064">
              <w:rPr>
                <w:rFonts w:asciiTheme="majorHAnsi" w:eastAsia="Times New Roman" w:hAnsiTheme="majorHAnsi" w:cstheme="majorHAnsi"/>
                <w:sz w:val="20"/>
                <w:szCs w:val="20"/>
                <w:lang w:val="en-AU" w:eastAsia="en-US"/>
              </w:rPr>
              <w:t>927,250,234) </w:t>
            </w:r>
            <w:r w:rsidRPr="00C64064">
              <w:rPr>
                <w:rFonts w:asciiTheme="majorHAnsi" w:eastAsia="Times New Roman" w:hAnsiTheme="majorHAnsi" w:cstheme="majorHAnsi"/>
                <w:sz w:val="20"/>
                <w:szCs w:val="20"/>
                <w:lang w:val="en-US" w:eastAsia="en-US"/>
              </w:rPr>
              <w:t> </w:t>
            </w:r>
          </w:p>
        </w:tc>
      </w:tr>
      <w:tr w:rsidR="00AB55CC" w:rsidRPr="00C64064" w14:paraId="38A7C2B1" w14:textId="77777777" w:rsidTr="5583D54B">
        <w:trPr>
          <w:trHeight w:val="300"/>
        </w:trPr>
        <w:tc>
          <w:tcPr>
            <w:tcW w:w="983" w:type="dxa"/>
            <w:shd w:val="clear" w:color="auto" w:fill="D9E2F3"/>
            <w:hideMark/>
          </w:tcPr>
          <w:p w14:paraId="04EEE5DD" w14:textId="77777777" w:rsidR="00C07FE6" w:rsidRPr="00C64064" w:rsidRDefault="00C07FE6" w:rsidP="00AB55CC">
            <w:pPr>
              <w:spacing w:after="0" w:line="240" w:lineRule="auto"/>
              <w:textAlignment w:val="baseline"/>
              <w:rPr>
                <w:rFonts w:asciiTheme="majorHAnsi" w:eastAsia="Times New Roman" w:hAnsiTheme="majorHAnsi" w:cstheme="majorHAnsi"/>
                <w:b/>
                <w:bCs/>
                <w:sz w:val="24"/>
                <w:szCs w:val="24"/>
                <w:lang w:val="en-US" w:eastAsia="en-US"/>
              </w:rPr>
            </w:pPr>
            <w:r w:rsidRPr="00C64064">
              <w:rPr>
                <w:rFonts w:asciiTheme="majorHAnsi" w:eastAsia="Times New Roman" w:hAnsiTheme="majorHAnsi" w:cstheme="majorHAnsi"/>
                <w:b/>
                <w:bCs/>
                <w:sz w:val="20"/>
                <w:szCs w:val="20"/>
                <w:lang w:val="en-AU" w:eastAsia="en-US"/>
              </w:rPr>
              <w:t>KPI2a</w:t>
            </w:r>
            <w:r w:rsidRPr="00C64064">
              <w:rPr>
                <w:rFonts w:asciiTheme="majorHAnsi" w:eastAsia="Times New Roman" w:hAnsiTheme="majorHAnsi" w:cstheme="majorHAnsi"/>
                <w:b/>
                <w:bCs/>
                <w:sz w:val="20"/>
                <w:szCs w:val="20"/>
                <w:lang w:val="en-US" w:eastAsia="en-US"/>
              </w:rPr>
              <w:t> </w:t>
            </w:r>
          </w:p>
        </w:tc>
        <w:tc>
          <w:tcPr>
            <w:tcW w:w="3837" w:type="dxa"/>
            <w:gridSpan w:val="2"/>
            <w:shd w:val="clear" w:color="auto" w:fill="D9E2F3"/>
            <w:hideMark/>
          </w:tcPr>
          <w:p w14:paraId="5BF5103F" w14:textId="44758406" w:rsidR="00C07FE6" w:rsidRPr="00C64064" w:rsidRDefault="00C07FE6" w:rsidP="00AB55CC">
            <w:pPr>
              <w:spacing w:after="0" w:line="240" w:lineRule="auto"/>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Net attributable additional incomes of farm</w:t>
            </w:r>
            <w:r w:rsidR="00213FD2" w:rsidRPr="00C64064">
              <w:rPr>
                <w:rFonts w:asciiTheme="majorHAnsi" w:eastAsia="Times New Roman" w:hAnsiTheme="majorHAnsi" w:cstheme="majorHAnsi"/>
                <w:sz w:val="20"/>
                <w:szCs w:val="20"/>
                <w:lang w:val="en-AU" w:eastAsia="en-US"/>
              </w:rPr>
              <w:t>ing HH</w:t>
            </w:r>
            <w:r w:rsidRPr="00C64064">
              <w:rPr>
                <w:rFonts w:asciiTheme="majorHAnsi" w:eastAsia="Times New Roman" w:hAnsiTheme="majorHAnsi" w:cstheme="majorHAnsi"/>
                <w:sz w:val="20"/>
                <w:szCs w:val="20"/>
                <w:lang w:val="en-AU" w:eastAsia="en-US"/>
              </w:rPr>
              <w:t xml:space="preserve">s </w:t>
            </w:r>
            <w:r w:rsidR="00184754" w:rsidRPr="00C64064">
              <w:rPr>
                <w:rFonts w:asciiTheme="majorHAnsi" w:eastAsia="Times New Roman" w:hAnsiTheme="majorHAnsi" w:cstheme="majorHAnsi"/>
                <w:sz w:val="20"/>
                <w:szCs w:val="20"/>
                <w:lang w:val="en-AU" w:eastAsia="en-US"/>
              </w:rPr>
              <w:t>in</w:t>
            </w:r>
            <w:r w:rsidRPr="00C64064">
              <w:rPr>
                <w:rFonts w:asciiTheme="majorHAnsi" w:eastAsia="Times New Roman" w:hAnsiTheme="majorHAnsi" w:cstheme="majorHAnsi"/>
                <w:sz w:val="20"/>
                <w:szCs w:val="20"/>
                <w:lang w:val="en-AU" w:eastAsia="en-US"/>
              </w:rPr>
              <w:t xml:space="preserve"> extreme poverty (</w:t>
            </w:r>
            <w:r w:rsidR="00184754" w:rsidRPr="00C64064">
              <w:rPr>
                <w:rFonts w:asciiTheme="majorHAnsi" w:eastAsia="Times New Roman" w:hAnsiTheme="majorHAnsi" w:cstheme="majorHAnsi"/>
                <w:sz w:val="20"/>
                <w:szCs w:val="20"/>
                <w:lang w:val="en-AU" w:eastAsia="en-US"/>
              </w:rPr>
              <w:t>USD</w:t>
            </w:r>
            <w:r w:rsidRPr="00C64064">
              <w:rPr>
                <w:rFonts w:asciiTheme="majorHAnsi" w:eastAsia="Times New Roman" w:hAnsiTheme="majorHAnsi" w:cstheme="majorHAnsi"/>
                <w:sz w:val="20"/>
                <w:szCs w:val="20"/>
                <w:lang w:val="en-AU" w:eastAsia="en-US"/>
              </w:rPr>
              <w:t>2.50</w:t>
            </w:r>
            <w:r w:rsidR="009C4798" w:rsidRPr="00C64064">
              <w:rPr>
                <w:rFonts w:asciiTheme="majorHAnsi" w:eastAsia="Times New Roman" w:hAnsiTheme="majorHAnsi" w:cstheme="majorHAnsi"/>
                <w:sz w:val="20"/>
                <w:szCs w:val="20"/>
                <w:lang w:val="en-AU" w:eastAsia="en-US"/>
              </w:rPr>
              <w:t xml:space="preserve"> </w:t>
            </w:r>
            <w:r w:rsidRPr="00C64064">
              <w:rPr>
                <w:rFonts w:asciiTheme="majorHAnsi" w:eastAsia="Times New Roman" w:hAnsiTheme="majorHAnsi" w:cstheme="majorHAnsi"/>
                <w:sz w:val="20"/>
                <w:szCs w:val="20"/>
                <w:lang w:val="en-AU" w:eastAsia="en-US"/>
              </w:rPr>
              <w:t>PPP poverty line) in IDR </w:t>
            </w:r>
            <w:r w:rsidRPr="00C64064">
              <w:rPr>
                <w:rFonts w:asciiTheme="majorHAnsi" w:eastAsia="Times New Roman" w:hAnsiTheme="majorHAnsi" w:cstheme="majorHAnsi"/>
                <w:sz w:val="20"/>
                <w:szCs w:val="20"/>
                <w:lang w:val="en-US" w:eastAsia="en-US"/>
              </w:rPr>
              <w:t> </w:t>
            </w:r>
          </w:p>
        </w:tc>
        <w:tc>
          <w:tcPr>
            <w:tcW w:w="1843" w:type="dxa"/>
            <w:shd w:val="clear" w:color="auto" w:fill="D9E2F3"/>
            <w:hideMark/>
          </w:tcPr>
          <w:p w14:paraId="637D2D3B" w14:textId="2AB3168F"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96,562,163,086</w:t>
            </w:r>
          </w:p>
          <w:p w14:paraId="543D234C" w14:textId="33753501"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w:t>
            </w:r>
            <w:r w:rsidR="00184754" w:rsidRPr="00C64064">
              <w:rPr>
                <w:rFonts w:asciiTheme="majorHAnsi" w:eastAsia="Times New Roman" w:hAnsiTheme="majorHAnsi" w:cstheme="majorHAnsi"/>
                <w:sz w:val="20"/>
                <w:szCs w:val="20"/>
                <w:lang w:val="en-AU" w:eastAsia="en-US"/>
              </w:rPr>
              <w:t>AUD</w:t>
            </w:r>
            <w:r w:rsidRPr="00C64064">
              <w:rPr>
                <w:rFonts w:asciiTheme="majorHAnsi" w:eastAsia="Times New Roman" w:hAnsiTheme="majorHAnsi" w:cstheme="majorHAnsi"/>
                <w:sz w:val="20"/>
                <w:szCs w:val="20"/>
                <w:lang w:val="en-AU" w:eastAsia="en-US"/>
              </w:rPr>
              <w:t>9,656,216)</w:t>
            </w:r>
          </w:p>
        </w:tc>
        <w:tc>
          <w:tcPr>
            <w:tcW w:w="2835" w:type="dxa"/>
            <w:shd w:val="clear" w:color="auto" w:fill="D9E2F3"/>
            <w:hideMark/>
          </w:tcPr>
          <w:p w14:paraId="488005E8" w14:textId="77777777"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3,606,938,014,397</w:t>
            </w:r>
            <w:r w:rsidRPr="00C64064">
              <w:rPr>
                <w:rFonts w:asciiTheme="majorHAnsi" w:eastAsia="Times New Roman" w:hAnsiTheme="majorHAnsi" w:cstheme="majorHAnsi"/>
                <w:sz w:val="20"/>
                <w:szCs w:val="20"/>
                <w:lang w:val="en-US" w:eastAsia="en-US"/>
              </w:rPr>
              <w:t> </w:t>
            </w:r>
          </w:p>
          <w:p w14:paraId="726F7350" w14:textId="7764BF93"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w:t>
            </w:r>
            <w:r w:rsidR="00184754" w:rsidRPr="00C64064">
              <w:rPr>
                <w:rFonts w:asciiTheme="majorHAnsi" w:eastAsia="Times New Roman" w:hAnsiTheme="majorHAnsi" w:cstheme="majorHAnsi"/>
                <w:sz w:val="20"/>
                <w:szCs w:val="20"/>
                <w:lang w:val="en-AU" w:eastAsia="en-US"/>
              </w:rPr>
              <w:t>AUD</w:t>
            </w:r>
            <w:r w:rsidRPr="00C64064">
              <w:rPr>
                <w:rFonts w:asciiTheme="majorHAnsi" w:eastAsia="Times New Roman" w:hAnsiTheme="majorHAnsi" w:cstheme="majorHAnsi"/>
                <w:sz w:val="20"/>
                <w:szCs w:val="20"/>
                <w:lang w:val="en-AU" w:eastAsia="en-US"/>
              </w:rPr>
              <w:t>360,693,801)</w:t>
            </w:r>
            <w:r w:rsidRPr="00C64064">
              <w:rPr>
                <w:rFonts w:asciiTheme="majorHAnsi" w:eastAsia="Times New Roman" w:hAnsiTheme="majorHAnsi" w:cstheme="majorHAnsi"/>
                <w:sz w:val="20"/>
                <w:szCs w:val="20"/>
                <w:lang w:val="en-US" w:eastAsia="en-US"/>
              </w:rPr>
              <w:t> </w:t>
            </w:r>
          </w:p>
        </w:tc>
      </w:tr>
      <w:tr w:rsidR="00C07FE6" w:rsidRPr="00C64064" w14:paraId="192493E9" w14:textId="77777777" w:rsidTr="5583D54B">
        <w:trPr>
          <w:trHeight w:val="300"/>
        </w:trPr>
        <w:tc>
          <w:tcPr>
            <w:tcW w:w="983" w:type="dxa"/>
            <w:shd w:val="clear" w:color="auto" w:fill="auto"/>
            <w:hideMark/>
          </w:tcPr>
          <w:p w14:paraId="16E4D93E" w14:textId="77777777" w:rsidR="00C07FE6" w:rsidRPr="00C64064" w:rsidRDefault="00C07FE6" w:rsidP="00AB55CC">
            <w:pPr>
              <w:spacing w:after="0" w:line="240" w:lineRule="auto"/>
              <w:textAlignment w:val="baseline"/>
              <w:rPr>
                <w:rFonts w:asciiTheme="majorHAnsi" w:eastAsia="Times New Roman" w:hAnsiTheme="majorHAnsi" w:cstheme="majorHAnsi"/>
                <w:b/>
                <w:bCs/>
                <w:sz w:val="24"/>
                <w:szCs w:val="24"/>
                <w:lang w:val="en-US" w:eastAsia="en-US"/>
              </w:rPr>
            </w:pPr>
            <w:r w:rsidRPr="00C64064">
              <w:rPr>
                <w:rFonts w:asciiTheme="majorHAnsi" w:eastAsia="Times New Roman" w:hAnsiTheme="majorHAnsi" w:cstheme="majorHAnsi"/>
                <w:b/>
                <w:bCs/>
                <w:sz w:val="20"/>
                <w:szCs w:val="20"/>
                <w:lang w:val="en-AU" w:eastAsia="en-US"/>
              </w:rPr>
              <w:t>KPI2b</w:t>
            </w:r>
            <w:r w:rsidRPr="00C64064">
              <w:rPr>
                <w:rFonts w:asciiTheme="majorHAnsi" w:eastAsia="Times New Roman" w:hAnsiTheme="majorHAnsi" w:cstheme="majorHAnsi"/>
                <w:b/>
                <w:bCs/>
                <w:sz w:val="20"/>
                <w:szCs w:val="20"/>
                <w:lang w:val="en-US" w:eastAsia="en-US"/>
              </w:rPr>
              <w:t> </w:t>
            </w:r>
          </w:p>
        </w:tc>
        <w:tc>
          <w:tcPr>
            <w:tcW w:w="3837" w:type="dxa"/>
            <w:gridSpan w:val="2"/>
            <w:shd w:val="clear" w:color="auto" w:fill="auto"/>
            <w:hideMark/>
          </w:tcPr>
          <w:p w14:paraId="646EEA4D" w14:textId="1AAC8AF2" w:rsidR="00C07FE6" w:rsidRPr="00C64064" w:rsidRDefault="00C07FE6" w:rsidP="00AB55CC">
            <w:pPr>
              <w:spacing w:after="0" w:line="240" w:lineRule="auto"/>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Net attributable additional incomes of farm</w:t>
            </w:r>
            <w:r w:rsidR="00184754" w:rsidRPr="00C64064">
              <w:rPr>
                <w:rFonts w:asciiTheme="majorHAnsi" w:eastAsia="Times New Roman" w:hAnsiTheme="majorHAnsi" w:cstheme="majorHAnsi"/>
                <w:sz w:val="20"/>
                <w:szCs w:val="20"/>
                <w:lang w:val="en-AU" w:eastAsia="en-US"/>
              </w:rPr>
              <w:t>ing HHs</w:t>
            </w:r>
            <w:r w:rsidRPr="00C64064">
              <w:rPr>
                <w:rFonts w:asciiTheme="majorHAnsi" w:eastAsia="Times New Roman" w:hAnsiTheme="majorHAnsi" w:cstheme="majorHAnsi"/>
                <w:sz w:val="20"/>
                <w:szCs w:val="20"/>
                <w:lang w:val="en-AU" w:eastAsia="en-US"/>
              </w:rPr>
              <w:t xml:space="preserve"> under the </w:t>
            </w:r>
            <w:r w:rsidR="00184754" w:rsidRPr="00C64064">
              <w:rPr>
                <w:rFonts w:asciiTheme="majorHAnsi" w:eastAsia="Times New Roman" w:hAnsiTheme="majorHAnsi" w:cstheme="majorHAnsi"/>
                <w:sz w:val="20"/>
                <w:szCs w:val="20"/>
                <w:lang w:val="en-AU" w:eastAsia="en-US"/>
              </w:rPr>
              <w:t>USD</w:t>
            </w:r>
            <w:r w:rsidRPr="00C64064">
              <w:rPr>
                <w:rFonts w:asciiTheme="majorHAnsi" w:eastAsia="Times New Roman" w:hAnsiTheme="majorHAnsi" w:cstheme="majorHAnsi"/>
                <w:sz w:val="20"/>
                <w:szCs w:val="20"/>
                <w:lang w:val="en-AU" w:eastAsia="en-US"/>
              </w:rPr>
              <w:t>5.50PPP poverty line in IDR </w:t>
            </w:r>
            <w:r w:rsidRPr="00C64064">
              <w:rPr>
                <w:rFonts w:asciiTheme="majorHAnsi" w:eastAsia="Times New Roman" w:hAnsiTheme="majorHAnsi" w:cstheme="majorHAnsi"/>
                <w:sz w:val="20"/>
                <w:szCs w:val="20"/>
                <w:lang w:val="en-US" w:eastAsia="en-US"/>
              </w:rPr>
              <w:t> </w:t>
            </w:r>
          </w:p>
        </w:tc>
        <w:tc>
          <w:tcPr>
            <w:tcW w:w="1843" w:type="dxa"/>
            <w:shd w:val="clear" w:color="auto" w:fill="auto"/>
            <w:hideMark/>
          </w:tcPr>
          <w:p w14:paraId="0E1F7074" w14:textId="327F4506"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154,773,067,954</w:t>
            </w:r>
          </w:p>
          <w:p w14:paraId="6729DBDE" w14:textId="5787D2F7"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w:t>
            </w:r>
            <w:r w:rsidR="00184754" w:rsidRPr="00C64064">
              <w:rPr>
                <w:rFonts w:asciiTheme="majorHAnsi" w:eastAsia="Times New Roman" w:hAnsiTheme="majorHAnsi" w:cstheme="majorHAnsi"/>
                <w:sz w:val="20"/>
                <w:szCs w:val="20"/>
                <w:lang w:val="en-AU" w:eastAsia="en-US"/>
              </w:rPr>
              <w:t>AUD</w:t>
            </w:r>
            <w:r w:rsidRPr="00C64064">
              <w:rPr>
                <w:rFonts w:asciiTheme="majorHAnsi" w:eastAsia="Times New Roman" w:hAnsiTheme="majorHAnsi" w:cstheme="majorHAnsi"/>
                <w:sz w:val="20"/>
                <w:szCs w:val="20"/>
                <w:lang w:val="en-AU" w:eastAsia="en-US"/>
              </w:rPr>
              <w:t>15,477,306)</w:t>
            </w:r>
          </w:p>
        </w:tc>
        <w:tc>
          <w:tcPr>
            <w:tcW w:w="2835" w:type="dxa"/>
            <w:shd w:val="clear" w:color="auto" w:fill="auto"/>
            <w:hideMark/>
          </w:tcPr>
          <w:p w14:paraId="4BE4C9A9" w14:textId="77777777"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5,909,706,773,692</w:t>
            </w:r>
            <w:r w:rsidRPr="00C64064">
              <w:rPr>
                <w:rFonts w:asciiTheme="majorHAnsi" w:eastAsia="Times New Roman" w:hAnsiTheme="majorHAnsi" w:cstheme="majorHAnsi"/>
                <w:sz w:val="20"/>
                <w:szCs w:val="20"/>
                <w:lang w:val="en-US" w:eastAsia="en-US"/>
              </w:rPr>
              <w:t> </w:t>
            </w:r>
          </w:p>
          <w:p w14:paraId="23193575" w14:textId="0D67DAC8"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w:t>
            </w:r>
            <w:r w:rsidR="00184754" w:rsidRPr="00C64064">
              <w:rPr>
                <w:rFonts w:asciiTheme="majorHAnsi" w:eastAsia="Times New Roman" w:hAnsiTheme="majorHAnsi" w:cstheme="majorHAnsi"/>
                <w:sz w:val="20"/>
                <w:szCs w:val="20"/>
                <w:lang w:val="en-AU" w:eastAsia="en-US"/>
              </w:rPr>
              <w:t>AUD</w:t>
            </w:r>
            <w:r w:rsidRPr="00C64064">
              <w:rPr>
                <w:rFonts w:asciiTheme="majorHAnsi" w:eastAsia="Times New Roman" w:hAnsiTheme="majorHAnsi" w:cstheme="majorHAnsi"/>
                <w:sz w:val="20"/>
                <w:szCs w:val="20"/>
                <w:lang w:val="en-AU" w:eastAsia="en-US"/>
              </w:rPr>
              <w:t>590,970,677)</w:t>
            </w:r>
            <w:r w:rsidRPr="00C64064">
              <w:rPr>
                <w:rFonts w:asciiTheme="majorHAnsi" w:eastAsia="Times New Roman" w:hAnsiTheme="majorHAnsi" w:cstheme="majorHAnsi"/>
                <w:sz w:val="20"/>
                <w:szCs w:val="20"/>
                <w:lang w:val="en-US" w:eastAsia="en-US"/>
              </w:rPr>
              <w:t> </w:t>
            </w:r>
          </w:p>
        </w:tc>
      </w:tr>
      <w:tr w:rsidR="00AB55CC" w:rsidRPr="00C64064" w14:paraId="27C7B67D" w14:textId="77777777" w:rsidTr="5583D54B">
        <w:trPr>
          <w:trHeight w:val="300"/>
        </w:trPr>
        <w:tc>
          <w:tcPr>
            <w:tcW w:w="983" w:type="dxa"/>
            <w:shd w:val="clear" w:color="auto" w:fill="D9E2F3"/>
            <w:hideMark/>
          </w:tcPr>
          <w:p w14:paraId="2B4B1349" w14:textId="77777777" w:rsidR="00C07FE6" w:rsidRPr="00C64064" w:rsidRDefault="00C07FE6" w:rsidP="00AB55CC">
            <w:pPr>
              <w:spacing w:after="0" w:line="240" w:lineRule="auto"/>
              <w:textAlignment w:val="baseline"/>
              <w:rPr>
                <w:rFonts w:asciiTheme="majorHAnsi" w:eastAsia="Times New Roman" w:hAnsiTheme="majorHAnsi" w:cstheme="majorHAnsi"/>
                <w:b/>
                <w:bCs/>
                <w:sz w:val="24"/>
                <w:szCs w:val="24"/>
                <w:lang w:val="en-US" w:eastAsia="en-US"/>
              </w:rPr>
            </w:pPr>
            <w:r w:rsidRPr="00C64064">
              <w:rPr>
                <w:rFonts w:asciiTheme="majorHAnsi" w:eastAsia="Times New Roman" w:hAnsiTheme="majorHAnsi" w:cstheme="majorHAnsi"/>
                <w:b/>
                <w:bCs/>
                <w:sz w:val="20"/>
                <w:szCs w:val="20"/>
                <w:lang w:val="en-AU" w:eastAsia="en-US"/>
              </w:rPr>
              <w:t>KPI3</w:t>
            </w:r>
            <w:r w:rsidRPr="00C64064">
              <w:rPr>
                <w:rFonts w:asciiTheme="majorHAnsi" w:eastAsia="Times New Roman" w:hAnsiTheme="majorHAnsi" w:cstheme="majorHAnsi"/>
                <w:b/>
                <w:bCs/>
                <w:sz w:val="20"/>
                <w:szCs w:val="20"/>
                <w:lang w:val="en-US" w:eastAsia="en-US"/>
              </w:rPr>
              <w:t> </w:t>
            </w:r>
          </w:p>
        </w:tc>
        <w:tc>
          <w:tcPr>
            <w:tcW w:w="3837" w:type="dxa"/>
            <w:gridSpan w:val="2"/>
            <w:shd w:val="clear" w:color="auto" w:fill="D9E2F3"/>
            <w:hideMark/>
          </w:tcPr>
          <w:p w14:paraId="7A2F8F7D" w14:textId="7A8B2E7C" w:rsidR="00C07FE6" w:rsidRPr="00C64064" w:rsidRDefault="00C07FE6" w:rsidP="00AB55CC">
            <w:pPr>
              <w:spacing w:after="0" w:line="240" w:lineRule="auto"/>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 xml:space="preserve">Number of </w:t>
            </w:r>
            <w:r w:rsidR="00184754" w:rsidRPr="00C64064">
              <w:rPr>
                <w:rFonts w:asciiTheme="majorHAnsi" w:eastAsia="Times New Roman" w:hAnsiTheme="majorHAnsi" w:cstheme="majorHAnsi"/>
                <w:sz w:val="20"/>
                <w:szCs w:val="20"/>
                <w:lang w:val="en-AU" w:eastAsia="en-US"/>
              </w:rPr>
              <w:t>i</w:t>
            </w:r>
            <w:r w:rsidRPr="00C64064">
              <w:rPr>
                <w:rFonts w:asciiTheme="majorHAnsi" w:eastAsia="Times New Roman" w:hAnsiTheme="majorHAnsi" w:cstheme="majorHAnsi"/>
                <w:sz w:val="20"/>
                <w:szCs w:val="20"/>
                <w:lang w:val="en-AU" w:eastAsia="en-US"/>
              </w:rPr>
              <w:t xml:space="preserve">ntermediary </w:t>
            </w:r>
            <w:r w:rsidR="00184754" w:rsidRPr="00C64064">
              <w:rPr>
                <w:rFonts w:asciiTheme="majorHAnsi" w:eastAsia="Times New Roman" w:hAnsiTheme="majorHAnsi" w:cstheme="majorHAnsi"/>
                <w:sz w:val="20"/>
                <w:szCs w:val="20"/>
                <w:lang w:val="en-AU" w:eastAsia="en-US"/>
              </w:rPr>
              <w:t>s</w:t>
            </w:r>
            <w:r w:rsidRPr="00C64064">
              <w:rPr>
                <w:rFonts w:asciiTheme="majorHAnsi" w:eastAsia="Times New Roman" w:hAnsiTheme="majorHAnsi" w:cstheme="majorHAnsi"/>
                <w:sz w:val="20"/>
                <w:szCs w:val="20"/>
                <w:lang w:val="en-AU" w:eastAsia="en-US"/>
              </w:rPr>
              <w:t xml:space="preserve">ervice </w:t>
            </w:r>
            <w:r w:rsidR="00184754" w:rsidRPr="00C64064">
              <w:rPr>
                <w:rFonts w:asciiTheme="majorHAnsi" w:eastAsia="Times New Roman" w:hAnsiTheme="majorHAnsi" w:cstheme="majorHAnsi"/>
                <w:sz w:val="20"/>
                <w:szCs w:val="20"/>
                <w:lang w:val="en-AU" w:eastAsia="en-US"/>
              </w:rPr>
              <w:t>p</w:t>
            </w:r>
            <w:r w:rsidRPr="00C64064">
              <w:rPr>
                <w:rFonts w:asciiTheme="majorHAnsi" w:eastAsia="Times New Roman" w:hAnsiTheme="majorHAnsi" w:cstheme="majorHAnsi"/>
                <w:sz w:val="20"/>
                <w:szCs w:val="20"/>
                <w:lang w:val="en-AU" w:eastAsia="en-US"/>
              </w:rPr>
              <w:t>roviders (ISP</w:t>
            </w:r>
            <w:r w:rsidR="003F5D9A" w:rsidRPr="00C64064">
              <w:rPr>
                <w:rFonts w:asciiTheme="majorHAnsi" w:eastAsia="Times New Roman" w:hAnsiTheme="majorHAnsi" w:cstheme="majorHAnsi"/>
                <w:sz w:val="20"/>
                <w:szCs w:val="20"/>
                <w:lang w:val="en-AU" w:eastAsia="en-US"/>
              </w:rPr>
              <w:t>s</w:t>
            </w:r>
            <w:r w:rsidRPr="00C64064">
              <w:rPr>
                <w:rFonts w:asciiTheme="majorHAnsi" w:eastAsia="Times New Roman" w:hAnsiTheme="majorHAnsi" w:cstheme="majorHAnsi"/>
                <w:sz w:val="20"/>
                <w:szCs w:val="20"/>
                <w:lang w:val="en-AU" w:eastAsia="en-US"/>
              </w:rPr>
              <w:t xml:space="preserve">) providing </w:t>
            </w:r>
            <w:r w:rsidR="00184754" w:rsidRPr="00C64064">
              <w:rPr>
                <w:rFonts w:asciiTheme="majorHAnsi" w:eastAsia="Times New Roman" w:hAnsiTheme="majorHAnsi" w:cstheme="majorHAnsi"/>
                <w:sz w:val="20"/>
                <w:szCs w:val="20"/>
                <w:lang w:val="en-AU" w:eastAsia="en-US"/>
              </w:rPr>
              <w:t xml:space="preserve">farmers with </w:t>
            </w:r>
            <w:r w:rsidRPr="00C64064">
              <w:rPr>
                <w:rFonts w:asciiTheme="majorHAnsi" w:eastAsia="Times New Roman" w:hAnsiTheme="majorHAnsi" w:cstheme="majorHAnsi"/>
                <w:sz w:val="20"/>
                <w:szCs w:val="20"/>
                <w:lang w:val="en-AU" w:eastAsia="en-US"/>
              </w:rPr>
              <w:t xml:space="preserve">additional/improved access to innovation </w:t>
            </w:r>
            <w:r w:rsidRPr="00C64064">
              <w:rPr>
                <w:rFonts w:asciiTheme="majorHAnsi" w:eastAsia="Times New Roman" w:hAnsiTheme="majorHAnsi" w:cstheme="majorHAnsi"/>
                <w:sz w:val="20"/>
                <w:szCs w:val="20"/>
                <w:lang w:val="en-US" w:eastAsia="en-US"/>
              </w:rPr>
              <w:t> </w:t>
            </w:r>
          </w:p>
        </w:tc>
        <w:tc>
          <w:tcPr>
            <w:tcW w:w="1843" w:type="dxa"/>
            <w:shd w:val="clear" w:color="auto" w:fill="D9E2F3"/>
            <w:hideMark/>
          </w:tcPr>
          <w:p w14:paraId="0DA0A28D" w14:textId="10B53B21"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95</w:t>
            </w:r>
          </w:p>
        </w:tc>
        <w:tc>
          <w:tcPr>
            <w:tcW w:w="2835" w:type="dxa"/>
            <w:shd w:val="clear" w:color="auto" w:fill="D9E2F3"/>
            <w:hideMark/>
          </w:tcPr>
          <w:p w14:paraId="6688C3AD" w14:textId="77777777"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15,107</w:t>
            </w:r>
            <w:r w:rsidRPr="00C64064">
              <w:rPr>
                <w:rFonts w:asciiTheme="majorHAnsi" w:eastAsia="Times New Roman" w:hAnsiTheme="majorHAnsi" w:cstheme="majorHAnsi"/>
                <w:sz w:val="20"/>
                <w:szCs w:val="20"/>
                <w:lang w:val="en-US" w:eastAsia="en-US"/>
              </w:rPr>
              <w:t> </w:t>
            </w:r>
          </w:p>
        </w:tc>
      </w:tr>
      <w:tr w:rsidR="00C07FE6" w:rsidRPr="00C64064" w14:paraId="42CEB2F9" w14:textId="77777777" w:rsidTr="5583D54B">
        <w:trPr>
          <w:trHeight w:val="300"/>
        </w:trPr>
        <w:tc>
          <w:tcPr>
            <w:tcW w:w="983" w:type="dxa"/>
            <w:shd w:val="clear" w:color="auto" w:fill="auto"/>
            <w:hideMark/>
          </w:tcPr>
          <w:p w14:paraId="33B0AFCE" w14:textId="77777777" w:rsidR="00C07FE6" w:rsidRPr="00C64064" w:rsidRDefault="00C07FE6" w:rsidP="00AB55CC">
            <w:pPr>
              <w:spacing w:after="0" w:line="240" w:lineRule="auto"/>
              <w:textAlignment w:val="baseline"/>
              <w:rPr>
                <w:rFonts w:asciiTheme="majorHAnsi" w:eastAsia="Times New Roman" w:hAnsiTheme="majorHAnsi" w:cstheme="majorHAnsi"/>
                <w:b/>
                <w:bCs/>
                <w:sz w:val="24"/>
                <w:szCs w:val="24"/>
                <w:lang w:val="en-US" w:eastAsia="en-US"/>
              </w:rPr>
            </w:pPr>
            <w:r w:rsidRPr="00C64064">
              <w:rPr>
                <w:rFonts w:asciiTheme="majorHAnsi" w:eastAsia="Times New Roman" w:hAnsiTheme="majorHAnsi" w:cstheme="majorHAnsi"/>
                <w:b/>
                <w:bCs/>
                <w:sz w:val="20"/>
                <w:szCs w:val="20"/>
                <w:lang w:val="en-AU" w:eastAsia="en-US"/>
              </w:rPr>
              <w:t>KPI4</w:t>
            </w:r>
            <w:r w:rsidRPr="00C64064">
              <w:rPr>
                <w:rFonts w:asciiTheme="majorHAnsi" w:eastAsia="Times New Roman" w:hAnsiTheme="majorHAnsi" w:cstheme="majorHAnsi"/>
                <w:b/>
                <w:bCs/>
                <w:sz w:val="20"/>
                <w:szCs w:val="20"/>
                <w:lang w:val="en-US" w:eastAsia="en-US"/>
              </w:rPr>
              <w:t> </w:t>
            </w:r>
          </w:p>
        </w:tc>
        <w:tc>
          <w:tcPr>
            <w:tcW w:w="3837" w:type="dxa"/>
            <w:gridSpan w:val="2"/>
            <w:shd w:val="clear" w:color="auto" w:fill="auto"/>
            <w:hideMark/>
          </w:tcPr>
          <w:p w14:paraId="1C5535E0" w14:textId="77777777" w:rsidR="00C07FE6" w:rsidRPr="00C64064" w:rsidRDefault="00C07FE6" w:rsidP="00AB55CC">
            <w:pPr>
              <w:spacing w:after="0" w:line="240" w:lineRule="auto"/>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WEE effectiveness within PRISMA innovations</w:t>
            </w:r>
            <w:r w:rsidRPr="00C64064">
              <w:rPr>
                <w:rFonts w:asciiTheme="majorHAnsi" w:eastAsia="Times New Roman" w:hAnsiTheme="majorHAnsi" w:cstheme="majorHAnsi"/>
                <w:sz w:val="20"/>
                <w:szCs w:val="20"/>
                <w:lang w:val="en-US" w:eastAsia="en-US"/>
              </w:rPr>
              <w:t> </w:t>
            </w:r>
          </w:p>
        </w:tc>
        <w:tc>
          <w:tcPr>
            <w:tcW w:w="1843" w:type="dxa"/>
            <w:shd w:val="clear" w:color="auto" w:fill="auto"/>
            <w:hideMark/>
          </w:tcPr>
          <w:p w14:paraId="0C008328" w14:textId="13AA1BF6" w:rsidR="00C07FE6" w:rsidRPr="00C64064" w:rsidRDefault="00C07FE6" w:rsidP="5583D54B">
            <w:pPr>
              <w:spacing w:after="0" w:line="240" w:lineRule="auto"/>
              <w:jc w:val="right"/>
              <w:textAlignment w:val="baseline"/>
              <w:rPr>
                <w:rFonts w:asciiTheme="majorHAnsi" w:eastAsia="Times New Roman" w:hAnsiTheme="majorHAnsi" w:cstheme="majorBidi"/>
                <w:sz w:val="24"/>
                <w:szCs w:val="24"/>
                <w:lang w:val="en-US" w:eastAsia="en-US"/>
              </w:rPr>
            </w:pPr>
            <w:r w:rsidRPr="5583D54B">
              <w:rPr>
                <w:rFonts w:asciiTheme="majorHAnsi" w:eastAsia="Times New Roman" w:hAnsiTheme="majorHAnsi" w:cstheme="majorBidi"/>
                <w:sz w:val="20"/>
                <w:szCs w:val="20"/>
                <w:lang w:val="en-AU" w:eastAsia="en-US"/>
              </w:rPr>
              <w:t>1.59</w:t>
            </w:r>
          </w:p>
        </w:tc>
        <w:tc>
          <w:tcPr>
            <w:tcW w:w="2835" w:type="dxa"/>
            <w:shd w:val="clear" w:color="auto" w:fill="auto"/>
            <w:hideMark/>
          </w:tcPr>
          <w:p w14:paraId="0AB45287" w14:textId="77777777"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0.79</w:t>
            </w:r>
            <w:r w:rsidRPr="00C64064">
              <w:rPr>
                <w:rFonts w:asciiTheme="majorHAnsi" w:eastAsia="Times New Roman" w:hAnsiTheme="majorHAnsi" w:cstheme="majorHAnsi"/>
                <w:sz w:val="20"/>
                <w:szCs w:val="20"/>
                <w:lang w:val="en-US" w:eastAsia="en-US"/>
              </w:rPr>
              <w:t> </w:t>
            </w:r>
          </w:p>
        </w:tc>
      </w:tr>
      <w:tr w:rsidR="00AB55CC" w:rsidRPr="00C64064" w14:paraId="0040D74F" w14:textId="77777777" w:rsidTr="5583D54B">
        <w:trPr>
          <w:trHeight w:val="300"/>
        </w:trPr>
        <w:tc>
          <w:tcPr>
            <w:tcW w:w="983" w:type="dxa"/>
            <w:shd w:val="clear" w:color="auto" w:fill="D9E2F3"/>
            <w:hideMark/>
          </w:tcPr>
          <w:p w14:paraId="0EB4E190" w14:textId="77777777" w:rsidR="00C07FE6" w:rsidRPr="00C64064" w:rsidRDefault="00C07FE6" w:rsidP="00AB55CC">
            <w:pPr>
              <w:spacing w:after="0" w:line="240" w:lineRule="auto"/>
              <w:textAlignment w:val="baseline"/>
              <w:rPr>
                <w:rFonts w:asciiTheme="majorHAnsi" w:eastAsia="Times New Roman" w:hAnsiTheme="majorHAnsi" w:cstheme="majorHAnsi"/>
                <w:b/>
                <w:bCs/>
                <w:sz w:val="24"/>
                <w:szCs w:val="24"/>
                <w:lang w:val="en-US" w:eastAsia="en-US"/>
              </w:rPr>
            </w:pPr>
            <w:r w:rsidRPr="00C64064">
              <w:rPr>
                <w:rFonts w:asciiTheme="majorHAnsi" w:eastAsia="Times New Roman" w:hAnsiTheme="majorHAnsi" w:cstheme="majorHAnsi"/>
                <w:b/>
                <w:bCs/>
                <w:sz w:val="20"/>
                <w:szCs w:val="20"/>
                <w:lang w:val="en-AU" w:eastAsia="en-US"/>
              </w:rPr>
              <w:t>KPI5</w:t>
            </w:r>
            <w:r w:rsidRPr="00C64064">
              <w:rPr>
                <w:rFonts w:asciiTheme="majorHAnsi" w:eastAsia="Times New Roman" w:hAnsiTheme="majorHAnsi" w:cstheme="majorHAnsi"/>
                <w:b/>
                <w:bCs/>
                <w:sz w:val="20"/>
                <w:szCs w:val="20"/>
                <w:lang w:val="en-US" w:eastAsia="en-US"/>
              </w:rPr>
              <w:t> </w:t>
            </w:r>
          </w:p>
        </w:tc>
        <w:tc>
          <w:tcPr>
            <w:tcW w:w="3837" w:type="dxa"/>
            <w:gridSpan w:val="2"/>
            <w:shd w:val="clear" w:color="auto" w:fill="D9E2F3"/>
            <w:hideMark/>
          </w:tcPr>
          <w:p w14:paraId="4C3E0264" w14:textId="6C4A31B1" w:rsidR="00C07FE6" w:rsidRPr="00C64064" w:rsidRDefault="00C07FE6" w:rsidP="00AB55CC">
            <w:pPr>
              <w:spacing w:after="0" w:line="240" w:lineRule="auto"/>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Value of additional turnover of ISPs in IDR</w:t>
            </w:r>
            <w:r w:rsidRPr="00C64064">
              <w:rPr>
                <w:rFonts w:asciiTheme="majorHAnsi" w:eastAsia="Times New Roman" w:hAnsiTheme="majorHAnsi" w:cstheme="majorHAnsi"/>
                <w:sz w:val="20"/>
                <w:szCs w:val="20"/>
                <w:lang w:val="en-US" w:eastAsia="en-US"/>
              </w:rPr>
              <w:t> </w:t>
            </w:r>
          </w:p>
        </w:tc>
        <w:tc>
          <w:tcPr>
            <w:tcW w:w="1843" w:type="dxa"/>
            <w:shd w:val="clear" w:color="auto" w:fill="D9E2F3"/>
            <w:hideMark/>
          </w:tcPr>
          <w:p w14:paraId="01EE8F32" w14:textId="7FFF5DF7"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193,729,701,837</w:t>
            </w:r>
          </w:p>
          <w:p w14:paraId="37F834FA" w14:textId="02C4D661"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w:t>
            </w:r>
            <w:r w:rsidR="00184754" w:rsidRPr="00C64064">
              <w:rPr>
                <w:rFonts w:asciiTheme="majorHAnsi" w:eastAsia="Times New Roman" w:hAnsiTheme="majorHAnsi" w:cstheme="majorHAnsi"/>
                <w:sz w:val="20"/>
                <w:szCs w:val="20"/>
                <w:lang w:val="en-AU" w:eastAsia="en-US"/>
              </w:rPr>
              <w:t>AUD</w:t>
            </w:r>
            <w:r w:rsidRPr="00C64064">
              <w:rPr>
                <w:rFonts w:asciiTheme="majorHAnsi" w:eastAsia="Times New Roman" w:hAnsiTheme="majorHAnsi" w:cstheme="majorHAnsi"/>
                <w:sz w:val="20"/>
                <w:szCs w:val="20"/>
                <w:lang w:val="en-AU" w:eastAsia="en-US"/>
              </w:rPr>
              <w:t>19,372,970)</w:t>
            </w:r>
          </w:p>
        </w:tc>
        <w:tc>
          <w:tcPr>
            <w:tcW w:w="2835" w:type="dxa"/>
            <w:shd w:val="clear" w:color="auto" w:fill="D9E2F3"/>
            <w:hideMark/>
          </w:tcPr>
          <w:p w14:paraId="48151D0F" w14:textId="77777777"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2,456,760,896,778</w:t>
            </w:r>
            <w:r w:rsidRPr="00C64064">
              <w:rPr>
                <w:rFonts w:asciiTheme="majorHAnsi" w:eastAsia="Times New Roman" w:hAnsiTheme="majorHAnsi" w:cstheme="majorHAnsi"/>
                <w:sz w:val="20"/>
                <w:szCs w:val="20"/>
                <w:lang w:val="en-US" w:eastAsia="en-US"/>
              </w:rPr>
              <w:t> </w:t>
            </w:r>
          </w:p>
          <w:p w14:paraId="6D08A8CE" w14:textId="51E18194"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w:t>
            </w:r>
            <w:r w:rsidR="00184754" w:rsidRPr="00C64064">
              <w:rPr>
                <w:rFonts w:asciiTheme="majorHAnsi" w:eastAsia="Times New Roman" w:hAnsiTheme="majorHAnsi" w:cstheme="majorHAnsi"/>
                <w:sz w:val="20"/>
                <w:szCs w:val="20"/>
                <w:lang w:val="en-AU" w:eastAsia="en-US"/>
              </w:rPr>
              <w:t>AUD</w:t>
            </w:r>
            <w:r w:rsidRPr="00C64064">
              <w:rPr>
                <w:rFonts w:asciiTheme="majorHAnsi" w:eastAsia="Times New Roman" w:hAnsiTheme="majorHAnsi" w:cstheme="majorHAnsi"/>
                <w:sz w:val="20"/>
                <w:szCs w:val="20"/>
                <w:lang w:val="en-AU" w:eastAsia="en-US"/>
              </w:rPr>
              <w:t>245,676,089)</w:t>
            </w:r>
            <w:r w:rsidRPr="00C64064">
              <w:rPr>
                <w:rFonts w:asciiTheme="majorHAnsi" w:eastAsia="Times New Roman" w:hAnsiTheme="majorHAnsi" w:cstheme="majorHAnsi"/>
                <w:sz w:val="20"/>
                <w:szCs w:val="20"/>
                <w:lang w:val="en-US" w:eastAsia="en-US"/>
              </w:rPr>
              <w:t> </w:t>
            </w:r>
          </w:p>
        </w:tc>
      </w:tr>
      <w:tr w:rsidR="00C07FE6" w:rsidRPr="00C64064" w14:paraId="2D76914A" w14:textId="77777777" w:rsidTr="5583D54B">
        <w:trPr>
          <w:trHeight w:val="300"/>
        </w:trPr>
        <w:tc>
          <w:tcPr>
            <w:tcW w:w="983" w:type="dxa"/>
            <w:shd w:val="clear" w:color="auto" w:fill="auto"/>
            <w:hideMark/>
          </w:tcPr>
          <w:p w14:paraId="5290978A" w14:textId="77777777" w:rsidR="00C07FE6" w:rsidRPr="00C64064" w:rsidRDefault="00C07FE6" w:rsidP="00AB55CC">
            <w:pPr>
              <w:spacing w:after="0" w:line="240" w:lineRule="auto"/>
              <w:textAlignment w:val="baseline"/>
              <w:rPr>
                <w:rFonts w:asciiTheme="majorHAnsi" w:eastAsia="Times New Roman" w:hAnsiTheme="majorHAnsi" w:cstheme="majorHAnsi"/>
                <w:b/>
                <w:bCs/>
                <w:sz w:val="24"/>
                <w:szCs w:val="24"/>
                <w:lang w:val="en-US" w:eastAsia="en-US"/>
              </w:rPr>
            </w:pPr>
            <w:r w:rsidRPr="00C64064">
              <w:rPr>
                <w:rFonts w:asciiTheme="majorHAnsi" w:eastAsia="Times New Roman" w:hAnsiTheme="majorHAnsi" w:cstheme="majorHAnsi"/>
                <w:b/>
                <w:bCs/>
                <w:sz w:val="20"/>
                <w:szCs w:val="20"/>
                <w:lang w:val="en-AU" w:eastAsia="en-US"/>
              </w:rPr>
              <w:t>KPI6</w:t>
            </w:r>
            <w:r w:rsidRPr="00C64064">
              <w:rPr>
                <w:rFonts w:asciiTheme="majorHAnsi" w:eastAsia="Times New Roman" w:hAnsiTheme="majorHAnsi" w:cstheme="majorHAnsi"/>
                <w:b/>
                <w:bCs/>
                <w:sz w:val="20"/>
                <w:szCs w:val="20"/>
                <w:lang w:val="en-US" w:eastAsia="en-US"/>
              </w:rPr>
              <w:t> </w:t>
            </w:r>
          </w:p>
        </w:tc>
        <w:tc>
          <w:tcPr>
            <w:tcW w:w="3837" w:type="dxa"/>
            <w:gridSpan w:val="2"/>
            <w:shd w:val="clear" w:color="auto" w:fill="auto"/>
            <w:hideMark/>
          </w:tcPr>
          <w:p w14:paraId="10125890" w14:textId="5334E820" w:rsidR="00C07FE6" w:rsidRPr="00C64064" w:rsidRDefault="00C07FE6" w:rsidP="00AB55CC">
            <w:pPr>
              <w:spacing w:after="0" w:line="240" w:lineRule="auto"/>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Number of intervention partners (private and public sector</w:t>
            </w:r>
            <w:r w:rsidR="00184754" w:rsidRPr="00C64064">
              <w:rPr>
                <w:rFonts w:asciiTheme="majorHAnsi" w:eastAsia="Times New Roman" w:hAnsiTheme="majorHAnsi" w:cstheme="majorHAnsi"/>
                <w:sz w:val="20"/>
                <w:szCs w:val="20"/>
                <w:lang w:val="en-AU" w:eastAsia="en-US"/>
              </w:rPr>
              <w:t>s</w:t>
            </w:r>
            <w:r w:rsidRPr="00C64064">
              <w:rPr>
                <w:rFonts w:asciiTheme="majorHAnsi" w:eastAsia="Times New Roman" w:hAnsiTheme="majorHAnsi" w:cstheme="majorHAnsi"/>
                <w:sz w:val="20"/>
                <w:szCs w:val="20"/>
                <w:lang w:val="en-AU" w:eastAsia="en-US"/>
              </w:rPr>
              <w:t>)</w:t>
            </w:r>
            <w:r w:rsidRPr="00C64064">
              <w:rPr>
                <w:rFonts w:asciiTheme="majorHAnsi" w:eastAsia="Times New Roman" w:hAnsiTheme="majorHAnsi" w:cstheme="majorHAnsi"/>
                <w:sz w:val="20"/>
                <w:szCs w:val="20"/>
                <w:lang w:val="en-US" w:eastAsia="en-US"/>
              </w:rPr>
              <w:t> </w:t>
            </w:r>
          </w:p>
        </w:tc>
        <w:tc>
          <w:tcPr>
            <w:tcW w:w="1843" w:type="dxa"/>
            <w:shd w:val="clear" w:color="auto" w:fill="auto"/>
            <w:hideMark/>
          </w:tcPr>
          <w:p w14:paraId="2ADC3C7E" w14:textId="5460EE46"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0</w:t>
            </w:r>
          </w:p>
        </w:tc>
        <w:tc>
          <w:tcPr>
            <w:tcW w:w="2835" w:type="dxa"/>
            <w:shd w:val="clear" w:color="auto" w:fill="auto"/>
            <w:hideMark/>
          </w:tcPr>
          <w:p w14:paraId="5E097FBE" w14:textId="77777777"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273</w:t>
            </w:r>
            <w:r w:rsidRPr="00C64064">
              <w:rPr>
                <w:rFonts w:asciiTheme="majorHAnsi" w:eastAsia="Times New Roman" w:hAnsiTheme="majorHAnsi" w:cstheme="majorHAnsi"/>
                <w:sz w:val="20"/>
                <w:szCs w:val="20"/>
                <w:lang w:val="en-US" w:eastAsia="en-US"/>
              </w:rPr>
              <w:t> </w:t>
            </w:r>
          </w:p>
        </w:tc>
      </w:tr>
      <w:tr w:rsidR="00AB55CC" w:rsidRPr="00C64064" w14:paraId="3536AF48" w14:textId="77777777" w:rsidTr="5583D54B">
        <w:trPr>
          <w:trHeight w:val="300"/>
        </w:trPr>
        <w:tc>
          <w:tcPr>
            <w:tcW w:w="983" w:type="dxa"/>
            <w:shd w:val="clear" w:color="auto" w:fill="D9E2F3"/>
            <w:hideMark/>
          </w:tcPr>
          <w:p w14:paraId="38B081A0" w14:textId="77777777" w:rsidR="00C07FE6" w:rsidRPr="00C64064" w:rsidRDefault="00C07FE6" w:rsidP="00AB55CC">
            <w:pPr>
              <w:spacing w:after="0" w:line="240" w:lineRule="auto"/>
              <w:textAlignment w:val="baseline"/>
              <w:rPr>
                <w:rFonts w:asciiTheme="majorHAnsi" w:eastAsia="Times New Roman" w:hAnsiTheme="majorHAnsi" w:cstheme="majorHAnsi"/>
                <w:b/>
                <w:bCs/>
                <w:sz w:val="24"/>
                <w:szCs w:val="24"/>
                <w:lang w:val="en-US" w:eastAsia="en-US"/>
              </w:rPr>
            </w:pPr>
            <w:r w:rsidRPr="00C64064">
              <w:rPr>
                <w:rFonts w:asciiTheme="majorHAnsi" w:eastAsia="Times New Roman" w:hAnsiTheme="majorHAnsi" w:cstheme="majorHAnsi"/>
                <w:b/>
                <w:bCs/>
                <w:sz w:val="20"/>
                <w:szCs w:val="20"/>
                <w:lang w:val="en-AU" w:eastAsia="en-US"/>
              </w:rPr>
              <w:t>KPI7</w:t>
            </w:r>
            <w:r w:rsidRPr="00C64064">
              <w:rPr>
                <w:rFonts w:asciiTheme="majorHAnsi" w:eastAsia="Times New Roman" w:hAnsiTheme="majorHAnsi" w:cstheme="majorHAnsi"/>
                <w:b/>
                <w:bCs/>
                <w:sz w:val="20"/>
                <w:szCs w:val="20"/>
                <w:lang w:val="en-US" w:eastAsia="en-US"/>
              </w:rPr>
              <w:t> </w:t>
            </w:r>
          </w:p>
        </w:tc>
        <w:tc>
          <w:tcPr>
            <w:tcW w:w="3837" w:type="dxa"/>
            <w:gridSpan w:val="2"/>
            <w:shd w:val="clear" w:color="auto" w:fill="D9E2F3"/>
            <w:hideMark/>
          </w:tcPr>
          <w:p w14:paraId="6669A460" w14:textId="13928429" w:rsidR="00C07FE6" w:rsidRPr="00C64064" w:rsidRDefault="00C07FE6" w:rsidP="00AB55CC">
            <w:pPr>
              <w:spacing w:after="0" w:line="240" w:lineRule="auto"/>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 xml:space="preserve">Value of additional turnover of </w:t>
            </w:r>
            <w:r w:rsidR="00184754" w:rsidRPr="00C64064">
              <w:rPr>
                <w:rFonts w:asciiTheme="majorHAnsi" w:eastAsia="Times New Roman" w:hAnsiTheme="majorHAnsi" w:cstheme="majorHAnsi"/>
                <w:sz w:val="20"/>
                <w:szCs w:val="20"/>
                <w:lang w:val="en-AU" w:eastAsia="en-US"/>
              </w:rPr>
              <w:t>p</w:t>
            </w:r>
            <w:r w:rsidRPr="00C64064">
              <w:rPr>
                <w:rFonts w:asciiTheme="majorHAnsi" w:eastAsia="Times New Roman" w:hAnsiTheme="majorHAnsi" w:cstheme="majorHAnsi"/>
                <w:sz w:val="20"/>
                <w:szCs w:val="20"/>
                <w:lang w:val="en-AU" w:eastAsia="en-US"/>
              </w:rPr>
              <w:t xml:space="preserve">rivate </w:t>
            </w:r>
            <w:r w:rsidR="00184754" w:rsidRPr="00C64064">
              <w:rPr>
                <w:rFonts w:asciiTheme="majorHAnsi" w:eastAsia="Times New Roman" w:hAnsiTheme="majorHAnsi" w:cstheme="majorHAnsi"/>
                <w:sz w:val="20"/>
                <w:szCs w:val="20"/>
                <w:lang w:val="en-AU" w:eastAsia="en-US"/>
              </w:rPr>
              <w:t>s</w:t>
            </w:r>
            <w:r w:rsidRPr="00C64064">
              <w:rPr>
                <w:rFonts w:asciiTheme="majorHAnsi" w:eastAsia="Times New Roman" w:hAnsiTheme="majorHAnsi" w:cstheme="majorHAnsi"/>
                <w:sz w:val="20"/>
                <w:szCs w:val="20"/>
                <w:lang w:val="en-AU" w:eastAsia="en-US"/>
              </w:rPr>
              <w:t xml:space="preserve">ector </w:t>
            </w:r>
            <w:r w:rsidR="00184754" w:rsidRPr="00C64064">
              <w:rPr>
                <w:rFonts w:asciiTheme="majorHAnsi" w:eastAsia="Times New Roman" w:hAnsiTheme="majorHAnsi" w:cstheme="majorHAnsi"/>
                <w:sz w:val="20"/>
                <w:szCs w:val="20"/>
                <w:lang w:val="en-AU" w:eastAsia="en-US"/>
              </w:rPr>
              <w:t>p</w:t>
            </w:r>
            <w:r w:rsidRPr="00C64064">
              <w:rPr>
                <w:rFonts w:asciiTheme="majorHAnsi" w:eastAsia="Times New Roman" w:hAnsiTheme="majorHAnsi" w:cstheme="majorHAnsi"/>
                <w:sz w:val="20"/>
                <w:szCs w:val="20"/>
                <w:lang w:val="en-AU" w:eastAsia="en-US"/>
              </w:rPr>
              <w:t>artner</w:t>
            </w:r>
            <w:r w:rsidR="00184754" w:rsidRPr="00C64064">
              <w:rPr>
                <w:rFonts w:asciiTheme="majorHAnsi" w:eastAsia="Times New Roman" w:hAnsiTheme="majorHAnsi" w:cstheme="majorHAnsi"/>
                <w:sz w:val="20"/>
                <w:szCs w:val="20"/>
                <w:lang w:val="en-AU" w:eastAsia="en-US"/>
              </w:rPr>
              <w:t>s</w:t>
            </w:r>
            <w:r w:rsidRPr="00C64064">
              <w:rPr>
                <w:rFonts w:asciiTheme="majorHAnsi" w:eastAsia="Times New Roman" w:hAnsiTheme="majorHAnsi" w:cstheme="majorHAnsi"/>
                <w:sz w:val="20"/>
                <w:szCs w:val="20"/>
                <w:lang w:val="en-AU" w:eastAsia="en-US"/>
              </w:rPr>
              <w:t xml:space="preserve"> (PSPs) in IDR</w:t>
            </w:r>
            <w:r w:rsidRPr="00C64064">
              <w:rPr>
                <w:rFonts w:asciiTheme="majorHAnsi" w:eastAsia="Times New Roman" w:hAnsiTheme="majorHAnsi" w:cstheme="majorHAnsi"/>
                <w:sz w:val="20"/>
                <w:szCs w:val="20"/>
                <w:lang w:val="en-US" w:eastAsia="en-US"/>
              </w:rPr>
              <w:t> </w:t>
            </w:r>
          </w:p>
        </w:tc>
        <w:tc>
          <w:tcPr>
            <w:tcW w:w="1843" w:type="dxa"/>
            <w:shd w:val="clear" w:color="auto" w:fill="D9E2F3"/>
            <w:hideMark/>
          </w:tcPr>
          <w:p w14:paraId="7DD3DB20" w14:textId="25A1E5A0"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144,440,470,786</w:t>
            </w:r>
          </w:p>
          <w:p w14:paraId="438A5C2D" w14:textId="4EF2EEB6"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w:t>
            </w:r>
            <w:r w:rsidR="0018398E" w:rsidRPr="00C64064">
              <w:rPr>
                <w:rFonts w:asciiTheme="majorHAnsi" w:eastAsia="Times New Roman" w:hAnsiTheme="majorHAnsi" w:cstheme="majorHAnsi"/>
                <w:sz w:val="20"/>
                <w:szCs w:val="20"/>
                <w:lang w:val="en-AU" w:eastAsia="en-US"/>
              </w:rPr>
              <w:t>AUD</w:t>
            </w:r>
            <w:r w:rsidRPr="00C64064">
              <w:rPr>
                <w:rFonts w:asciiTheme="majorHAnsi" w:eastAsia="Times New Roman" w:hAnsiTheme="majorHAnsi" w:cstheme="majorHAnsi"/>
                <w:sz w:val="20"/>
                <w:szCs w:val="20"/>
                <w:lang w:val="en-AU" w:eastAsia="en-US"/>
              </w:rPr>
              <w:t>14,444,047)</w:t>
            </w:r>
          </w:p>
        </w:tc>
        <w:tc>
          <w:tcPr>
            <w:tcW w:w="2835" w:type="dxa"/>
            <w:shd w:val="clear" w:color="auto" w:fill="D9E2F3"/>
            <w:hideMark/>
          </w:tcPr>
          <w:p w14:paraId="2DFF0670" w14:textId="77777777"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1,456,329,937,487</w:t>
            </w:r>
            <w:r w:rsidRPr="00C64064">
              <w:rPr>
                <w:rFonts w:asciiTheme="majorHAnsi" w:eastAsia="Times New Roman" w:hAnsiTheme="majorHAnsi" w:cstheme="majorHAnsi"/>
                <w:sz w:val="20"/>
                <w:szCs w:val="20"/>
                <w:lang w:val="en-US" w:eastAsia="en-US"/>
              </w:rPr>
              <w:t> </w:t>
            </w:r>
          </w:p>
          <w:p w14:paraId="2BA6B33B" w14:textId="4455B51A"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w:t>
            </w:r>
            <w:r w:rsidR="0018398E" w:rsidRPr="00C64064">
              <w:rPr>
                <w:rFonts w:asciiTheme="majorHAnsi" w:eastAsia="Times New Roman" w:hAnsiTheme="majorHAnsi" w:cstheme="majorHAnsi"/>
                <w:sz w:val="20"/>
                <w:szCs w:val="20"/>
                <w:lang w:val="en-AU" w:eastAsia="en-US"/>
              </w:rPr>
              <w:t>AUD</w:t>
            </w:r>
            <w:r w:rsidRPr="00C64064">
              <w:rPr>
                <w:rFonts w:asciiTheme="majorHAnsi" w:eastAsia="Times New Roman" w:hAnsiTheme="majorHAnsi" w:cstheme="majorHAnsi"/>
                <w:sz w:val="20"/>
                <w:szCs w:val="20"/>
                <w:lang w:val="en-AU" w:eastAsia="en-US"/>
              </w:rPr>
              <w:t>145,632,993)</w:t>
            </w:r>
            <w:r w:rsidRPr="00C64064">
              <w:rPr>
                <w:rFonts w:asciiTheme="majorHAnsi" w:eastAsia="Times New Roman" w:hAnsiTheme="majorHAnsi" w:cstheme="majorHAnsi"/>
                <w:sz w:val="20"/>
                <w:szCs w:val="20"/>
                <w:lang w:val="en-US" w:eastAsia="en-US"/>
              </w:rPr>
              <w:t> </w:t>
            </w:r>
          </w:p>
        </w:tc>
      </w:tr>
      <w:tr w:rsidR="00C07FE6" w:rsidRPr="00C64064" w14:paraId="43F1D660" w14:textId="77777777" w:rsidTr="5583D54B">
        <w:trPr>
          <w:trHeight w:val="300"/>
        </w:trPr>
        <w:tc>
          <w:tcPr>
            <w:tcW w:w="983" w:type="dxa"/>
            <w:shd w:val="clear" w:color="auto" w:fill="auto"/>
            <w:hideMark/>
          </w:tcPr>
          <w:p w14:paraId="0DEF36A0" w14:textId="77777777" w:rsidR="00C07FE6" w:rsidRPr="00C64064" w:rsidRDefault="00C07FE6" w:rsidP="00AB55CC">
            <w:pPr>
              <w:spacing w:after="0" w:line="240" w:lineRule="auto"/>
              <w:textAlignment w:val="baseline"/>
              <w:rPr>
                <w:rFonts w:asciiTheme="majorHAnsi" w:eastAsia="Times New Roman" w:hAnsiTheme="majorHAnsi" w:cstheme="majorHAnsi"/>
                <w:b/>
                <w:bCs/>
                <w:sz w:val="24"/>
                <w:szCs w:val="24"/>
                <w:lang w:val="en-US" w:eastAsia="en-US"/>
              </w:rPr>
            </w:pPr>
            <w:r w:rsidRPr="00C64064">
              <w:rPr>
                <w:rFonts w:asciiTheme="majorHAnsi" w:eastAsia="Times New Roman" w:hAnsiTheme="majorHAnsi" w:cstheme="majorHAnsi"/>
                <w:b/>
                <w:bCs/>
                <w:sz w:val="20"/>
                <w:szCs w:val="20"/>
                <w:lang w:val="en-AU" w:eastAsia="en-US"/>
              </w:rPr>
              <w:t>KPI8</w:t>
            </w:r>
            <w:r w:rsidRPr="00C64064">
              <w:rPr>
                <w:rFonts w:asciiTheme="majorHAnsi" w:eastAsia="Times New Roman" w:hAnsiTheme="majorHAnsi" w:cstheme="majorHAnsi"/>
                <w:b/>
                <w:bCs/>
                <w:sz w:val="20"/>
                <w:szCs w:val="20"/>
                <w:lang w:val="en-US" w:eastAsia="en-US"/>
              </w:rPr>
              <w:t> </w:t>
            </w:r>
          </w:p>
        </w:tc>
        <w:tc>
          <w:tcPr>
            <w:tcW w:w="3837" w:type="dxa"/>
            <w:gridSpan w:val="2"/>
            <w:shd w:val="clear" w:color="auto" w:fill="auto"/>
            <w:hideMark/>
          </w:tcPr>
          <w:p w14:paraId="2D0F46F5" w14:textId="1DEFDC9A" w:rsidR="00C07FE6" w:rsidRPr="00C64064" w:rsidRDefault="00C07FE6" w:rsidP="00AB55CC">
            <w:pPr>
              <w:spacing w:after="0" w:line="240" w:lineRule="auto"/>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 xml:space="preserve">Value of attributable additional and/or more inclusive investment by public </w:t>
            </w:r>
            <w:r w:rsidR="00841E07" w:rsidRPr="00C64064">
              <w:rPr>
                <w:rFonts w:asciiTheme="majorHAnsi" w:eastAsia="Times New Roman" w:hAnsiTheme="majorHAnsi" w:cstheme="majorHAnsi"/>
                <w:sz w:val="20"/>
                <w:szCs w:val="20"/>
                <w:lang w:val="en-AU" w:eastAsia="en-US"/>
              </w:rPr>
              <w:t>and private sector</w:t>
            </w:r>
            <w:r w:rsidRPr="00C64064">
              <w:rPr>
                <w:rFonts w:asciiTheme="majorHAnsi" w:eastAsia="Times New Roman" w:hAnsiTheme="majorHAnsi" w:cstheme="majorHAnsi"/>
                <w:sz w:val="20"/>
                <w:szCs w:val="20"/>
                <w:lang w:val="en-AU" w:eastAsia="en-US"/>
              </w:rPr>
              <w:t xml:space="preserve"> partners</w:t>
            </w:r>
            <w:r w:rsidR="00841E07" w:rsidRPr="00C64064">
              <w:rPr>
                <w:rFonts w:asciiTheme="majorHAnsi" w:eastAsia="Times New Roman" w:hAnsiTheme="majorHAnsi" w:cstheme="majorHAnsi"/>
                <w:sz w:val="20"/>
                <w:szCs w:val="20"/>
                <w:lang w:val="en-AU" w:eastAsia="en-US"/>
              </w:rPr>
              <w:t>,</w:t>
            </w:r>
            <w:r w:rsidRPr="00C64064">
              <w:rPr>
                <w:rFonts w:asciiTheme="majorHAnsi" w:eastAsia="Times New Roman" w:hAnsiTheme="majorHAnsi" w:cstheme="majorHAnsi"/>
                <w:sz w:val="20"/>
                <w:szCs w:val="20"/>
                <w:lang w:val="en-AU" w:eastAsia="en-US"/>
              </w:rPr>
              <w:t xml:space="preserve"> ISP</w:t>
            </w:r>
            <w:r w:rsidR="001729FF" w:rsidRPr="00C64064">
              <w:rPr>
                <w:rFonts w:asciiTheme="majorHAnsi" w:eastAsia="Times New Roman" w:hAnsiTheme="majorHAnsi" w:cstheme="majorHAnsi"/>
                <w:sz w:val="20"/>
                <w:szCs w:val="20"/>
                <w:lang w:val="en-AU" w:eastAsia="en-US"/>
              </w:rPr>
              <w:t>s</w:t>
            </w:r>
            <w:r w:rsidRPr="00C64064">
              <w:rPr>
                <w:rFonts w:asciiTheme="majorHAnsi" w:eastAsia="Times New Roman" w:hAnsiTheme="majorHAnsi" w:cstheme="majorHAnsi"/>
                <w:sz w:val="20"/>
                <w:szCs w:val="20"/>
                <w:lang w:val="en-AU" w:eastAsia="en-US"/>
              </w:rPr>
              <w:t>, and farmers in IDR</w:t>
            </w:r>
            <w:r w:rsidRPr="00C64064">
              <w:rPr>
                <w:rFonts w:asciiTheme="majorHAnsi" w:eastAsia="Times New Roman" w:hAnsiTheme="majorHAnsi" w:cstheme="majorHAnsi"/>
                <w:sz w:val="20"/>
                <w:szCs w:val="20"/>
                <w:lang w:val="en-US" w:eastAsia="en-US"/>
              </w:rPr>
              <w:t> </w:t>
            </w:r>
          </w:p>
        </w:tc>
        <w:tc>
          <w:tcPr>
            <w:tcW w:w="1843" w:type="dxa"/>
            <w:shd w:val="clear" w:color="auto" w:fill="auto"/>
            <w:hideMark/>
          </w:tcPr>
          <w:p w14:paraId="3E21ECA3" w14:textId="58BC8FD0"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245,802,293,640</w:t>
            </w:r>
          </w:p>
          <w:p w14:paraId="367FF591" w14:textId="54E5F448"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w:t>
            </w:r>
            <w:r w:rsidR="0018398E" w:rsidRPr="00C64064">
              <w:rPr>
                <w:rFonts w:asciiTheme="majorHAnsi" w:eastAsia="Times New Roman" w:hAnsiTheme="majorHAnsi" w:cstheme="majorHAnsi"/>
                <w:sz w:val="20"/>
                <w:szCs w:val="20"/>
                <w:lang w:val="en-AU" w:eastAsia="en-US"/>
              </w:rPr>
              <w:t>AUD</w:t>
            </w:r>
            <w:r w:rsidRPr="00C64064">
              <w:rPr>
                <w:rFonts w:asciiTheme="majorHAnsi" w:eastAsia="Times New Roman" w:hAnsiTheme="majorHAnsi" w:cstheme="majorHAnsi"/>
                <w:sz w:val="20"/>
                <w:szCs w:val="20"/>
                <w:lang w:val="en-AU" w:eastAsia="en-US"/>
              </w:rPr>
              <w:t>24,580,229)</w:t>
            </w:r>
          </w:p>
        </w:tc>
        <w:tc>
          <w:tcPr>
            <w:tcW w:w="2835" w:type="dxa"/>
            <w:shd w:val="clear" w:color="auto" w:fill="auto"/>
            <w:hideMark/>
          </w:tcPr>
          <w:p w14:paraId="65FC9909" w14:textId="77777777"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3,055,437,706,949</w:t>
            </w:r>
            <w:r w:rsidRPr="00C64064">
              <w:rPr>
                <w:rFonts w:asciiTheme="majorHAnsi" w:eastAsia="Times New Roman" w:hAnsiTheme="majorHAnsi" w:cstheme="majorHAnsi"/>
                <w:sz w:val="20"/>
                <w:szCs w:val="20"/>
                <w:lang w:val="en-US" w:eastAsia="en-US"/>
              </w:rPr>
              <w:t> </w:t>
            </w:r>
          </w:p>
          <w:p w14:paraId="2687D48C" w14:textId="05489B2A"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w:t>
            </w:r>
            <w:r w:rsidR="00841E07" w:rsidRPr="00C64064">
              <w:rPr>
                <w:rFonts w:asciiTheme="majorHAnsi" w:eastAsia="Times New Roman" w:hAnsiTheme="majorHAnsi" w:cstheme="majorHAnsi"/>
                <w:sz w:val="20"/>
                <w:szCs w:val="20"/>
                <w:lang w:val="en-AU" w:eastAsia="en-US"/>
              </w:rPr>
              <w:t>AUD</w:t>
            </w:r>
            <w:r w:rsidRPr="00C64064">
              <w:rPr>
                <w:rFonts w:asciiTheme="majorHAnsi" w:eastAsia="Times New Roman" w:hAnsiTheme="majorHAnsi" w:cstheme="majorHAnsi"/>
                <w:sz w:val="20"/>
                <w:szCs w:val="20"/>
                <w:lang w:val="en-AU" w:eastAsia="en-US"/>
              </w:rPr>
              <w:t>305,543,770)</w:t>
            </w:r>
            <w:r w:rsidRPr="00C64064">
              <w:rPr>
                <w:rFonts w:asciiTheme="majorHAnsi" w:eastAsia="Times New Roman" w:hAnsiTheme="majorHAnsi" w:cstheme="majorHAnsi"/>
                <w:sz w:val="20"/>
                <w:szCs w:val="20"/>
                <w:lang w:val="en-US" w:eastAsia="en-US"/>
              </w:rPr>
              <w:t> </w:t>
            </w:r>
          </w:p>
        </w:tc>
      </w:tr>
      <w:tr w:rsidR="00AB55CC" w:rsidRPr="00C64064" w14:paraId="7C404078" w14:textId="77777777" w:rsidTr="5583D54B">
        <w:trPr>
          <w:trHeight w:val="300"/>
        </w:trPr>
        <w:tc>
          <w:tcPr>
            <w:tcW w:w="983" w:type="dxa"/>
            <w:shd w:val="clear" w:color="auto" w:fill="D9E2F3"/>
            <w:hideMark/>
          </w:tcPr>
          <w:p w14:paraId="2FBA00B6" w14:textId="77777777" w:rsidR="00C07FE6" w:rsidRPr="00C64064" w:rsidRDefault="00C07FE6" w:rsidP="00AB55CC">
            <w:pPr>
              <w:spacing w:after="0" w:line="240" w:lineRule="auto"/>
              <w:textAlignment w:val="baseline"/>
              <w:rPr>
                <w:rFonts w:asciiTheme="majorHAnsi" w:eastAsia="Times New Roman" w:hAnsiTheme="majorHAnsi" w:cstheme="majorHAnsi"/>
                <w:b/>
                <w:bCs/>
                <w:sz w:val="24"/>
                <w:szCs w:val="24"/>
                <w:lang w:val="en-US" w:eastAsia="en-US"/>
              </w:rPr>
            </w:pPr>
            <w:r w:rsidRPr="00C64064">
              <w:rPr>
                <w:rFonts w:asciiTheme="majorHAnsi" w:eastAsia="Times New Roman" w:hAnsiTheme="majorHAnsi" w:cstheme="majorHAnsi"/>
                <w:b/>
                <w:bCs/>
                <w:sz w:val="20"/>
                <w:szCs w:val="20"/>
                <w:lang w:val="en-AU" w:eastAsia="en-US"/>
              </w:rPr>
              <w:t>KPI8x</w:t>
            </w:r>
            <w:r w:rsidRPr="00C64064">
              <w:rPr>
                <w:rFonts w:asciiTheme="majorHAnsi" w:eastAsia="Times New Roman" w:hAnsiTheme="majorHAnsi" w:cstheme="majorHAnsi"/>
                <w:b/>
                <w:bCs/>
                <w:sz w:val="20"/>
                <w:szCs w:val="20"/>
                <w:lang w:val="en-US" w:eastAsia="en-US"/>
              </w:rPr>
              <w:t> </w:t>
            </w:r>
          </w:p>
        </w:tc>
        <w:tc>
          <w:tcPr>
            <w:tcW w:w="3837" w:type="dxa"/>
            <w:gridSpan w:val="2"/>
            <w:shd w:val="clear" w:color="auto" w:fill="D9E2F3"/>
            <w:hideMark/>
          </w:tcPr>
          <w:p w14:paraId="0DBA05CF" w14:textId="4D7546D7" w:rsidR="00C07FE6" w:rsidRPr="00C64064" w:rsidRDefault="00C07FE6" w:rsidP="00AB55CC">
            <w:pPr>
              <w:spacing w:after="0" w:line="240" w:lineRule="auto"/>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Value of attributable additional and/or more inclusive investment by public and private partners in IDR</w:t>
            </w:r>
            <w:r w:rsidRPr="00C64064">
              <w:rPr>
                <w:rFonts w:asciiTheme="majorHAnsi" w:eastAsia="Times New Roman" w:hAnsiTheme="majorHAnsi" w:cstheme="majorHAnsi"/>
                <w:sz w:val="20"/>
                <w:szCs w:val="20"/>
                <w:lang w:val="en-US" w:eastAsia="en-US"/>
              </w:rPr>
              <w:t> </w:t>
            </w:r>
          </w:p>
        </w:tc>
        <w:tc>
          <w:tcPr>
            <w:tcW w:w="1843" w:type="dxa"/>
            <w:shd w:val="clear" w:color="auto" w:fill="D9E2F3"/>
            <w:hideMark/>
          </w:tcPr>
          <w:p w14:paraId="347D98D0" w14:textId="14D94035"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21,246,258,063</w:t>
            </w:r>
          </w:p>
          <w:p w14:paraId="515C2965" w14:textId="6D80E0C2"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w:t>
            </w:r>
            <w:r w:rsidR="00841E07" w:rsidRPr="00C64064">
              <w:rPr>
                <w:rFonts w:asciiTheme="majorHAnsi" w:eastAsia="Times New Roman" w:hAnsiTheme="majorHAnsi" w:cstheme="majorHAnsi"/>
                <w:sz w:val="20"/>
                <w:szCs w:val="20"/>
                <w:lang w:val="en-AU" w:eastAsia="en-US"/>
              </w:rPr>
              <w:t>AUD</w:t>
            </w:r>
            <w:r w:rsidRPr="00C64064">
              <w:rPr>
                <w:rFonts w:asciiTheme="majorHAnsi" w:eastAsia="Times New Roman" w:hAnsiTheme="majorHAnsi" w:cstheme="majorHAnsi"/>
                <w:sz w:val="20"/>
                <w:szCs w:val="20"/>
                <w:lang w:val="en-AU" w:eastAsia="en-US"/>
              </w:rPr>
              <w:t>2,124,625)</w:t>
            </w:r>
          </w:p>
        </w:tc>
        <w:tc>
          <w:tcPr>
            <w:tcW w:w="2835" w:type="dxa"/>
            <w:shd w:val="clear" w:color="auto" w:fill="D9E2F3"/>
            <w:hideMark/>
          </w:tcPr>
          <w:p w14:paraId="57ACEC9E" w14:textId="77777777"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351,117,659,084 </w:t>
            </w:r>
            <w:r w:rsidRPr="00C64064">
              <w:rPr>
                <w:rFonts w:asciiTheme="majorHAnsi" w:eastAsia="Times New Roman" w:hAnsiTheme="majorHAnsi" w:cstheme="majorHAnsi"/>
                <w:sz w:val="20"/>
                <w:szCs w:val="20"/>
                <w:lang w:val="en-US" w:eastAsia="en-US"/>
              </w:rPr>
              <w:t> </w:t>
            </w:r>
          </w:p>
          <w:p w14:paraId="1FFE5CF1" w14:textId="4B48538B"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w:t>
            </w:r>
            <w:r w:rsidR="00841E07" w:rsidRPr="00C64064">
              <w:rPr>
                <w:rFonts w:asciiTheme="majorHAnsi" w:eastAsia="Times New Roman" w:hAnsiTheme="majorHAnsi" w:cstheme="majorHAnsi"/>
                <w:sz w:val="20"/>
                <w:szCs w:val="20"/>
                <w:lang w:val="en-AU" w:eastAsia="en-US"/>
              </w:rPr>
              <w:t>AUD</w:t>
            </w:r>
            <w:r w:rsidRPr="00C64064">
              <w:rPr>
                <w:rFonts w:asciiTheme="majorHAnsi" w:eastAsia="Times New Roman" w:hAnsiTheme="majorHAnsi" w:cstheme="majorHAnsi"/>
                <w:sz w:val="20"/>
                <w:szCs w:val="20"/>
                <w:lang w:val="en-AU" w:eastAsia="en-US"/>
              </w:rPr>
              <w:t>35,111,765)</w:t>
            </w:r>
            <w:r w:rsidRPr="00C64064">
              <w:rPr>
                <w:rFonts w:asciiTheme="majorHAnsi" w:eastAsia="Times New Roman" w:hAnsiTheme="majorHAnsi" w:cstheme="majorHAnsi"/>
                <w:sz w:val="20"/>
                <w:szCs w:val="20"/>
                <w:lang w:val="en-US" w:eastAsia="en-US"/>
              </w:rPr>
              <w:t> </w:t>
            </w:r>
          </w:p>
        </w:tc>
      </w:tr>
      <w:tr w:rsidR="00C07FE6" w:rsidRPr="00C64064" w14:paraId="7D5B6A70" w14:textId="77777777" w:rsidTr="5583D54B">
        <w:trPr>
          <w:trHeight w:val="300"/>
        </w:trPr>
        <w:tc>
          <w:tcPr>
            <w:tcW w:w="983" w:type="dxa"/>
            <w:shd w:val="clear" w:color="auto" w:fill="auto"/>
            <w:hideMark/>
          </w:tcPr>
          <w:p w14:paraId="47F64144" w14:textId="77777777" w:rsidR="00C07FE6" w:rsidRPr="00C64064" w:rsidRDefault="00C07FE6" w:rsidP="00AB55CC">
            <w:pPr>
              <w:spacing w:after="0" w:line="240" w:lineRule="auto"/>
              <w:textAlignment w:val="baseline"/>
              <w:rPr>
                <w:rFonts w:asciiTheme="majorHAnsi" w:eastAsia="Times New Roman" w:hAnsiTheme="majorHAnsi" w:cstheme="majorHAnsi"/>
                <w:b/>
                <w:bCs/>
                <w:sz w:val="24"/>
                <w:szCs w:val="24"/>
                <w:lang w:val="en-US" w:eastAsia="en-US"/>
              </w:rPr>
            </w:pPr>
            <w:r w:rsidRPr="00C64064">
              <w:rPr>
                <w:rFonts w:asciiTheme="majorHAnsi" w:eastAsia="Times New Roman" w:hAnsiTheme="majorHAnsi" w:cstheme="majorHAnsi"/>
                <w:b/>
                <w:bCs/>
                <w:sz w:val="20"/>
                <w:szCs w:val="20"/>
                <w:lang w:val="en-AU" w:eastAsia="en-US"/>
              </w:rPr>
              <w:t>KPI8y</w:t>
            </w:r>
            <w:r w:rsidRPr="00C64064">
              <w:rPr>
                <w:rFonts w:asciiTheme="majorHAnsi" w:eastAsia="Times New Roman" w:hAnsiTheme="majorHAnsi" w:cstheme="majorHAnsi"/>
                <w:b/>
                <w:bCs/>
                <w:sz w:val="20"/>
                <w:szCs w:val="20"/>
                <w:lang w:val="en-US" w:eastAsia="en-US"/>
              </w:rPr>
              <w:t> </w:t>
            </w:r>
          </w:p>
        </w:tc>
        <w:tc>
          <w:tcPr>
            <w:tcW w:w="3837" w:type="dxa"/>
            <w:gridSpan w:val="2"/>
            <w:shd w:val="clear" w:color="auto" w:fill="auto"/>
            <w:hideMark/>
          </w:tcPr>
          <w:p w14:paraId="4D32A957" w14:textId="6312033C" w:rsidR="00C07FE6" w:rsidRPr="00C64064" w:rsidRDefault="00C07FE6" w:rsidP="00AB55CC">
            <w:pPr>
              <w:spacing w:after="0" w:line="240" w:lineRule="auto"/>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Value of attributable additional and/or more inclusive investment by ISP</w:t>
            </w:r>
            <w:r w:rsidR="001729FF" w:rsidRPr="00C64064">
              <w:rPr>
                <w:rFonts w:asciiTheme="majorHAnsi" w:eastAsia="Times New Roman" w:hAnsiTheme="majorHAnsi" w:cstheme="majorHAnsi"/>
                <w:sz w:val="20"/>
                <w:szCs w:val="20"/>
                <w:lang w:val="en-AU" w:eastAsia="en-US"/>
              </w:rPr>
              <w:t>s</w:t>
            </w:r>
            <w:r w:rsidRPr="00C64064">
              <w:rPr>
                <w:rFonts w:asciiTheme="majorHAnsi" w:eastAsia="Times New Roman" w:hAnsiTheme="majorHAnsi" w:cstheme="majorHAnsi"/>
                <w:sz w:val="20"/>
                <w:szCs w:val="20"/>
                <w:lang w:val="en-AU" w:eastAsia="en-US"/>
              </w:rPr>
              <w:t xml:space="preserve"> in IDR</w:t>
            </w:r>
            <w:r w:rsidRPr="00C64064">
              <w:rPr>
                <w:rFonts w:asciiTheme="majorHAnsi" w:eastAsia="Times New Roman" w:hAnsiTheme="majorHAnsi" w:cstheme="majorHAnsi"/>
                <w:sz w:val="20"/>
                <w:szCs w:val="20"/>
                <w:lang w:val="en-US" w:eastAsia="en-US"/>
              </w:rPr>
              <w:t> </w:t>
            </w:r>
          </w:p>
        </w:tc>
        <w:tc>
          <w:tcPr>
            <w:tcW w:w="1843" w:type="dxa"/>
            <w:shd w:val="clear" w:color="auto" w:fill="auto"/>
            <w:hideMark/>
          </w:tcPr>
          <w:p w14:paraId="2B974E11" w14:textId="043B5277"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141,188,240,747</w:t>
            </w:r>
          </w:p>
          <w:p w14:paraId="669AA562" w14:textId="72D74691"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w:t>
            </w:r>
            <w:r w:rsidR="00841E07" w:rsidRPr="00C64064">
              <w:rPr>
                <w:rFonts w:asciiTheme="majorHAnsi" w:eastAsia="Times New Roman" w:hAnsiTheme="majorHAnsi" w:cstheme="majorHAnsi"/>
                <w:sz w:val="20"/>
                <w:szCs w:val="20"/>
                <w:lang w:val="en-AU" w:eastAsia="en-US"/>
              </w:rPr>
              <w:t>AUD</w:t>
            </w:r>
            <w:r w:rsidRPr="00C64064">
              <w:rPr>
                <w:rFonts w:asciiTheme="majorHAnsi" w:eastAsia="Times New Roman" w:hAnsiTheme="majorHAnsi" w:cstheme="majorHAnsi"/>
                <w:sz w:val="20"/>
                <w:szCs w:val="20"/>
                <w:lang w:val="en-AU" w:eastAsia="en-US"/>
              </w:rPr>
              <w:t>14,118,824)</w:t>
            </w:r>
          </w:p>
        </w:tc>
        <w:tc>
          <w:tcPr>
            <w:tcW w:w="2835" w:type="dxa"/>
            <w:shd w:val="clear" w:color="auto" w:fill="auto"/>
            <w:hideMark/>
          </w:tcPr>
          <w:p w14:paraId="55C79E2E" w14:textId="77777777"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802,128,192,516</w:t>
            </w:r>
            <w:r w:rsidRPr="00C64064">
              <w:rPr>
                <w:rFonts w:asciiTheme="majorHAnsi" w:eastAsia="Times New Roman" w:hAnsiTheme="majorHAnsi" w:cstheme="majorHAnsi"/>
                <w:sz w:val="20"/>
                <w:szCs w:val="20"/>
                <w:lang w:val="en-US" w:eastAsia="en-US"/>
              </w:rPr>
              <w:t> </w:t>
            </w:r>
          </w:p>
          <w:p w14:paraId="660C3508" w14:textId="02A75166"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w:t>
            </w:r>
            <w:r w:rsidR="00841E07" w:rsidRPr="00C64064">
              <w:rPr>
                <w:rFonts w:asciiTheme="majorHAnsi" w:eastAsia="Times New Roman" w:hAnsiTheme="majorHAnsi" w:cstheme="majorHAnsi"/>
                <w:sz w:val="20"/>
                <w:szCs w:val="20"/>
                <w:lang w:val="en-AU" w:eastAsia="en-US"/>
              </w:rPr>
              <w:t>AUD</w:t>
            </w:r>
            <w:r w:rsidRPr="00C64064">
              <w:rPr>
                <w:rFonts w:asciiTheme="majorHAnsi" w:eastAsia="Times New Roman" w:hAnsiTheme="majorHAnsi" w:cstheme="majorHAnsi"/>
                <w:sz w:val="20"/>
                <w:szCs w:val="20"/>
                <w:lang w:val="en-AU" w:eastAsia="en-US"/>
              </w:rPr>
              <w:t>80,212,819)</w:t>
            </w:r>
            <w:r w:rsidRPr="00C64064">
              <w:rPr>
                <w:rFonts w:asciiTheme="majorHAnsi" w:eastAsia="Times New Roman" w:hAnsiTheme="majorHAnsi" w:cstheme="majorHAnsi"/>
                <w:sz w:val="20"/>
                <w:szCs w:val="20"/>
                <w:lang w:val="en-US" w:eastAsia="en-US"/>
              </w:rPr>
              <w:t> </w:t>
            </w:r>
          </w:p>
        </w:tc>
      </w:tr>
      <w:tr w:rsidR="00AB55CC" w:rsidRPr="00C64064" w14:paraId="23179C33" w14:textId="77777777" w:rsidTr="5583D54B">
        <w:trPr>
          <w:trHeight w:val="300"/>
        </w:trPr>
        <w:tc>
          <w:tcPr>
            <w:tcW w:w="983" w:type="dxa"/>
            <w:shd w:val="clear" w:color="auto" w:fill="D9E2F3"/>
            <w:hideMark/>
          </w:tcPr>
          <w:p w14:paraId="370F5887" w14:textId="77777777" w:rsidR="00C07FE6" w:rsidRPr="00C64064" w:rsidRDefault="00C07FE6" w:rsidP="00AB55CC">
            <w:pPr>
              <w:spacing w:after="0" w:line="240" w:lineRule="auto"/>
              <w:textAlignment w:val="baseline"/>
              <w:rPr>
                <w:rFonts w:asciiTheme="majorHAnsi" w:eastAsia="Times New Roman" w:hAnsiTheme="majorHAnsi" w:cstheme="majorHAnsi"/>
                <w:b/>
                <w:bCs/>
                <w:sz w:val="24"/>
                <w:szCs w:val="24"/>
                <w:lang w:val="en-US" w:eastAsia="en-US"/>
              </w:rPr>
            </w:pPr>
            <w:r w:rsidRPr="00C64064">
              <w:rPr>
                <w:rFonts w:asciiTheme="majorHAnsi" w:eastAsia="Times New Roman" w:hAnsiTheme="majorHAnsi" w:cstheme="majorHAnsi"/>
                <w:b/>
                <w:bCs/>
                <w:sz w:val="20"/>
                <w:szCs w:val="20"/>
                <w:lang w:val="en-AU" w:eastAsia="en-US"/>
              </w:rPr>
              <w:t>KPI9</w:t>
            </w:r>
            <w:r w:rsidRPr="00C64064">
              <w:rPr>
                <w:rFonts w:asciiTheme="majorHAnsi" w:eastAsia="Times New Roman" w:hAnsiTheme="majorHAnsi" w:cstheme="majorHAnsi"/>
                <w:b/>
                <w:bCs/>
                <w:sz w:val="20"/>
                <w:szCs w:val="20"/>
                <w:lang w:val="en-US" w:eastAsia="en-US"/>
              </w:rPr>
              <w:t> </w:t>
            </w:r>
          </w:p>
        </w:tc>
        <w:tc>
          <w:tcPr>
            <w:tcW w:w="3837" w:type="dxa"/>
            <w:gridSpan w:val="2"/>
            <w:shd w:val="clear" w:color="auto" w:fill="D9E2F3"/>
            <w:hideMark/>
          </w:tcPr>
          <w:p w14:paraId="62C40709" w14:textId="77777777" w:rsidR="00C07FE6" w:rsidRPr="00C64064" w:rsidRDefault="00C07FE6" w:rsidP="00AB55CC">
            <w:pPr>
              <w:spacing w:after="0" w:line="240" w:lineRule="auto"/>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Number of crowding-in businesses/institutions induced by PRISMA-2</w:t>
            </w:r>
            <w:r w:rsidRPr="00C64064">
              <w:rPr>
                <w:rFonts w:asciiTheme="majorHAnsi" w:eastAsia="Times New Roman" w:hAnsiTheme="majorHAnsi" w:cstheme="majorHAnsi"/>
                <w:sz w:val="20"/>
                <w:szCs w:val="20"/>
                <w:lang w:val="en-US" w:eastAsia="en-US"/>
              </w:rPr>
              <w:t> </w:t>
            </w:r>
          </w:p>
        </w:tc>
        <w:tc>
          <w:tcPr>
            <w:tcW w:w="1843" w:type="dxa"/>
            <w:shd w:val="clear" w:color="auto" w:fill="D9E2F3"/>
            <w:hideMark/>
          </w:tcPr>
          <w:p w14:paraId="154ED5DD" w14:textId="47BB1060"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2</w:t>
            </w:r>
          </w:p>
        </w:tc>
        <w:tc>
          <w:tcPr>
            <w:tcW w:w="2835" w:type="dxa"/>
            <w:shd w:val="clear" w:color="auto" w:fill="D9E2F3"/>
            <w:hideMark/>
          </w:tcPr>
          <w:p w14:paraId="0C6F40DA" w14:textId="77777777"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105</w:t>
            </w:r>
            <w:r w:rsidRPr="00C64064">
              <w:rPr>
                <w:rFonts w:asciiTheme="majorHAnsi" w:eastAsia="Times New Roman" w:hAnsiTheme="majorHAnsi" w:cstheme="majorHAnsi"/>
                <w:sz w:val="20"/>
                <w:szCs w:val="20"/>
                <w:lang w:val="en-US" w:eastAsia="en-US"/>
              </w:rPr>
              <w:t> </w:t>
            </w:r>
          </w:p>
        </w:tc>
      </w:tr>
      <w:tr w:rsidR="00C07FE6" w:rsidRPr="00C64064" w14:paraId="62798A53" w14:textId="77777777" w:rsidTr="5583D54B">
        <w:trPr>
          <w:trHeight w:val="300"/>
        </w:trPr>
        <w:tc>
          <w:tcPr>
            <w:tcW w:w="983" w:type="dxa"/>
            <w:shd w:val="clear" w:color="auto" w:fill="auto"/>
            <w:hideMark/>
          </w:tcPr>
          <w:p w14:paraId="5BD0226C" w14:textId="77777777" w:rsidR="00C07FE6" w:rsidRPr="00C64064" w:rsidRDefault="00C07FE6" w:rsidP="00AB55CC">
            <w:pPr>
              <w:spacing w:after="0" w:line="240" w:lineRule="auto"/>
              <w:textAlignment w:val="baseline"/>
              <w:rPr>
                <w:rFonts w:asciiTheme="majorHAnsi" w:eastAsia="Times New Roman" w:hAnsiTheme="majorHAnsi" w:cstheme="majorHAnsi"/>
                <w:b/>
                <w:bCs/>
                <w:sz w:val="24"/>
                <w:szCs w:val="24"/>
                <w:lang w:val="en-US" w:eastAsia="en-US"/>
              </w:rPr>
            </w:pPr>
            <w:r w:rsidRPr="00C64064">
              <w:rPr>
                <w:rFonts w:asciiTheme="majorHAnsi" w:eastAsia="Times New Roman" w:hAnsiTheme="majorHAnsi" w:cstheme="majorHAnsi"/>
                <w:b/>
                <w:bCs/>
                <w:sz w:val="20"/>
                <w:szCs w:val="20"/>
                <w:lang w:val="en-AU" w:eastAsia="en-US"/>
              </w:rPr>
              <w:lastRenderedPageBreak/>
              <w:t>KPI10</w:t>
            </w:r>
            <w:r w:rsidRPr="00C64064">
              <w:rPr>
                <w:rFonts w:asciiTheme="majorHAnsi" w:eastAsia="Times New Roman" w:hAnsiTheme="majorHAnsi" w:cstheme="majorHAnsi"/>
                <w:b/>
                <w:bCs/>
                <w:sz w:val="20"/>
                <w:szCs w:val="20"/>
                <w:lang w:val="en-US" w:eastAsia="en-US"/>
              </w:rPr>
              <w:t> </w:t>
            </w:r>
          </w:p>
        </w:tc>
        <w:tc>
          <w:tcPr>
            <w:tcW w:w="3837" w:type="dxa"/>
            <w:gridSpan w:val="2"/>
            <w:shd w:val="clear" w:color="auto" w:fill="auto"/>
            <w:hideMark/>
          </w:tcPr>
          <w:p w14:paraId="5AC57787" w14:textId="77777777" w:rsidR="00C07FE6" w:rsidRPr="00C64064" w:rsidRDefault="00C07FE6" w:rsidP="00AB55CC">
            <w:pPr>
              <w:spacing w:after="0" w:line="240" w:lineRule="auto"/>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Number of responding businesses/institutions induced by PRISMA-2</w:t>
            </w:r>
            <w:r w:rsidRPr="00C64064">
              <w:rPr>
                <w:rFonts w:asciiTheme="majorHAnsi" w:eastAsia="Times New Roman" w:hAnsiTheme="majorHAnsi" w:cstheme="majorHAnsi"/>
                <w:sz w:val="20"/>
                <w:szCs w:val="20"/>
                <w:lang w:val="en-US" w:eastAsia="en-US"/>
              </w:rPr>
              <w:t> </w:t>
            </w:r>
          </w:p>
        </w:tc>
        <w:tc>
          <w:tcPr>
            <w:tcW w:w="1843" w:type="dxa"/>
            <w:shd w:val="clear" w:color="auto" w:fill="auto"/>
            <w:hideMark/>
          </w:tcPr>
          <w:p w14:paraId="64875E44" w14:textId="6B08D2EC" w:rsidR="00C07FE6" w:rsidRPr="00C64064" w:rsidRDefault="002C2B02" w:rsidP="00AB55CC">
            <w:pPr>
              <w:spacing w:after="0" w:line="240" w:lineRule="auto"/>
              <w:jc w:val="right"/>
              <w:textAlignment w:val="baseline"/>
              <w:rPr>
                <w:rFonts w:asciiTheme="majorHAnsi" w:eastAsia="Times New Roman" w:hAnsiTheme="majorHAnsi" w:cstheme="majorHAnsi"/>
                <w:sz w:val="24"/>
                <w:szCs w:val="24"/>
                <w:lang w:val="en-US" w:eastAsia="en-US"/>
              </w:rPr>
            </w:pPr>
            <w:r>
              <w:rPr>
                <w:rFonts w:asciiTheme="majorHAnsi" w:eastAsia="Times New Roman" w:hAnsiTheme="majorHAnsi" w:cstheme="majorHAnsi"/>
                <w:sz w:val="20"/>
                <w:szCs w:val="20"/>
                <w:lang w:val="en-AU" w:eastAsia="en-US"/>
              </w:rPr>
              <w:t>6</w:t>
            </w:r>
          </w:p>
        </w:tc>
        <w:tc>
          <w:tcPr>
            <w:tcW w:w="2835" w:type="dxa"/>
            <w:shd w:val="clear" w:color="auto" w:fill="auto"/>
            <w:hideMark/>
          </w:tcPr>
          <w:p w14:paraId="383849F2" w14:textId="77777777"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108</w:t>
            </w:r>
            <w:r w:rsidRPr="00C64064">
              <w:rPr>
                <w:rFonts w:asciiTheme="majorHAnsi" w:eastAsia="Times New Roman" w:hAnsiTheme="majorHAnsi" w:cstheme="majorHAnsi"/>
                <w:sz w:val="20"/>
                <w:szCs w:val="20"/>
                <w:lang w:val="en-US" w:eastAsia="en-US"/>
              </w:rPr>
              <w:t> </w:t>
            </w:r>
          </w:p>
        </w:tc>
      </w:tr>
      <w:tr w:rsidR="00AB55CC" w:rsidRPr="00C64064" w14:paraId="37B89412" w14:textId="77777777" w:rsidTr="5583D54B">
        <w:trPr>
          <w:trHeight w:val="300"/>
        </w:trPr>
        <w:tc>
          <w:tcPr>
            <w:tcW w:w="983" w:type="dxa"/>
            <w:shd w:val="clear" w:color="auto" w:fill="D9E2F3"/>
            <w:hideMark/>
          </w:tcPr>
          <w:p w14:paraId="6BBC81F1" w14:textId="77777777" w:rsidR="00C07FE6" w:rsidRPr="00C64064" w:rsidRDefault="00C07FE6" w:rsidP="00AB55CC">
            <w:pPr>
              <w:spacing w:after="0" w:line="240" w:lineRule="auto"/>
              <w:textAlignment w:val="baseline"/>
              <w:rPr>
                <w:rFonts w:asciiTheme="majorHAnsi" w:eastAsia="Times New Roman" w:hAnsiTheme="majorHAnsi" w:cstheme="majorHAnsi"/>
                <w:b/>
                <w:bCs/>
                <w:sz w:val="24"/>
                <w:szCs w:val="24"/>
                <w:lang w:val="en-US" w:eastAsia="en-US"/>
              </w:rPr>
            </w:pPr>
            <w:r w:rsidRPr="00C64064">
              <w:rPr>
                <w:rFonts w:asciiTheme="majorHAnsi" w:eastAsia="Times New Roman" w:hAnsiTheme="majorHAnsi" w:cstheme="majorHAnsi"/>
                <w:b/>
                <w:bCs/>
                <w:sz w:val="20"/>
                <w:szCs w:val="20"/>
                <w:lang w:val="en-AU" w:eastAsia="en-US"/>
              </w:rPr>
              <w:t>KPI11</w:t>
            </w:r>
            <w:r w:rsidRPr="00C64064">
              <w:rPr>
                <w:rFonts w:asciiTheme="majorHAnsi" w:eastAsia="Times New Roman" w:hAnsiTheme="majorHAnsi" w:cstheme="majorHAnsi"/>
                <w:b/>
                <w:bCs/>
                <w:sz w:val="20"/>
                <w:szCs w:val="20"/>
                <w:lang w:val="en-US" w:eastAsia="en-US"/>
              </w:rPr>
              <w:t> </w:t>
            </w:r>
          </w:p>
        </w:tc>
        <w:tc>
          <w:tcPr>
            <w:tcW w:w="3837" w:type="dxa"/>
            <w:gridSpan w:val="2"/>
            <w:shd w:val="clear" w:color="auto" w:fill="D9E2F3"/>
            <w:hideMark/>
          </w:tcPr>
          <w:p w14:paraId="39D1FB0E" w14:textId="2760B243" w:rsidR="00C07FE6" w:rsidRPr="00C64064" w:rsidRDefault="00C07FE6" w:rsidP="00AB55CC">
            <w:pPr>
              <w:spacing w:after="0" w:line="240" w:lineRule="auto"/>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 xml:space="preserve">Number of </w:t>
            </w:r>
            <w:r w:rsidR="00841E07" w:rsidRPr="00C64064">
              <w:rPr>
                <w:rFonts w:asciiTheme="majorHAnsi" w:eastAsia="Times New Roman" w:hAnsiTheme="majorHAnsi" w:cstheme="majorHAnsi"/>
                <w:sz w:val="20"/>
                <w:szCs w:val="20"/>
                <w:lang w:val="en-AU" w:eastAsia="en-US"/>
              </w:rPr>
              <w:t>p</w:t>
            </w:r>
            <w:r w:rsidRPr="00C64064">
              <w:rPr>
                <w:rFonts w:asciiTheme="majorHAnsi" w:eastAsia="Times New Roman" w:hAnsiTheme="majorHAnsi" w:cstheme="majorHAnsi"/>
                <w:sz w:val="20"/>
                <w:szCs w:val="20"/>
                <w:lang w:val="en-AU" w:eastAsia="en-US"/>
              </w:rPr>
              <w:t xml:space="preserve">olicy </w:t>
            </w:r>
            <w:r w:rsidR="00841E07" w:rsidRPr="00C64064">
              <w:rPr>
                <w:rFonts w:asciiTheme="majorHAnsi" w:eastAsia="Times New Roman" w:hAnsiTheme="majorHAnsi" w:cstheme="majorHAnsi"/>
                <w:sz w:val="20"/>
                <w:szCs w:val="20"/>
                <w:lang w:val="en-AU" w:eastAsia="en-US"/>
              </w:rPr>
              <w:t>e</w:t>
            </w:r>
            <w:r w:rsidRPr="00C64064">
              <w:rPr>
                <w:rFonts w:asciiTheme="majorHAnsi" w:eastAsia="Times New Roman" w:hAnsiTheme="majorHAnsi" w:cstheme="majorHAnsi"/>
                <w:sz w:val="20"/>
                <w:szCs w:val="20"/>
                <w:lang w:val="en-AU" w:eastAsia="en-US"/>
              </w:rPr>
              <w:t>ngagement</w:t>
            </w:r>
            <w:r w:rsidR="00841E07" w:rsidRPr="00C64064">
              <w:rPr>
                <w:rFonts w:asciiTheme="majorHAnsi" w:eastAsia="Times New Roman" w:hAnsiTheme="majorHAnsi" w:cstheme="majorHAnsi"/>
                <w:sz w:val="20"/>
                <w:szCs w:val="20"/>
                <w:lang w:val="en-AU" w:eastAsia="en-US"/>
              </w:rPr>
              <w:t>s</w:t>
            </w:r>
            <w:r w:rsidRPr="00C64064">
              <w:rPr>
                <w:rFonts w:asciiTheme="majorHAnsi" w:eastAsia="Times New Roman" w:hAnsiTheme="majorHAnsi" w:cstheme="majorHAnsi"/>
                <w:sz w:val="20"/>
                <w:szCs w:val="20"/>
                <w:lang w:val="en-US" w:eastAsia="en-US"/>
              </w:rPr>
              <w:t> </w:t>
            </w:r>
          </w:p>
        </w:tc>
        <w:tc>
          <w:tcPr>
            <w:tcW w:w="1843" w:type="dxa"/>
            <w:shd w:val="clear" w:color="auto" w:fill="D9E2F3"/>
            <w:hideMark/>
          </w:tcPr>
          <w:p w14:paraId="47990F58" w14:textId="5DE38049"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48</w:t>
            </w:r>
          </w:p>
        </w:tc>
        <w:tc>
          <w:tcPr>
            <w:tcW w:w="2835" w:type="dxa"/>
            <w:shd w:val="clear" w:color="auto" w:fill="D9E2F3"/>
            <w:hideMark/>
          </w:tcPr>
          <w:p w14:paraId="55EE72D7" w14:textId="77777777"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170</w:t>
            </w:r>
            <w:r w:rsidRPr="00C64064">
              <w:rPr>
                <w:rFonts w:asciiTheme="majorHAnsi" w:eastAsia="Times New Roman" w:hAnsiTheme="majorHAnsi" w:cstheme="majorHAnsi"/>
                <w:sz w:val="20"/>
                <w:szCs w:val="20"/>
                <w:lang w:val="en-US" w:eastAsia="en-US"/>
              </w:rPr>
              <w:t> </w:t>
            </w:r>
          </w:p>
        </w:tc>
      </w:tr>
      <w:tr w:rsidR="00C07FE6" w:rsidRPr="00C64064" w14:paraId="2F4893EB" w14:textId="77777777" w:rsidTr="5583D54B">
        <w:trPr>
          <w:trHeight w:val="300"/>
        </w:trPr>
        <w:tc>
          <w:tcPr>
            <w:tcW w:w="983" w:type="dxa"/>
            <w:shd w:val="clear" w:color="auto" w:fill="auto"/>
            <w:hideMark/>
          </w:tcPr>
          <w:p w14:paraId="3F155AF1" w14:textId="77777777" w:rsidR="00C07FE6" w:rsidRPr="00C64064" w:rsidRDefault="00C07FE6" w:rsidP="00AB55CC">
            <w:pPr>
              <w:spacing w:after="0" w:line="240" w:lineRule="auto"/>
              <w:textAlignment w:val="baseline"/>
              <w:rPr>
                <w:rFonts w:asciiTheme="majorHAnsi" w:eastAsia="Times New Roman" w:hAnsiTheme="majorHAnsi" w:cstheme="majorHAnsi"/>
                <w:b/>
                <w:bCs/>
                <w:sz w:val="24"/>
                <w:szCs w:val="24"/>
                <w:lang w:val="en-US" w:eastAsia="en-US"/>
              </w:rPr>
            </w:pPr>
            <w:r w:rsidRPr="00C64064">
              <w:rPr>
                <w:rFonts w:asciiTheme="majorHAnsi" w:eastAsia="Times New Roman" w:hAnsiTheme="majorHAnsi" w:cstheme="majorHAnsi"/>
                <w:b/>
                <w:bCs/>
                <w:sz w:val="20"/>
                <w:szCs w:val="20"/>
                <w:lang w:val="en-AU" w:eastAsia="en-US"/>
              </w:rPr>
              <w:t>Access</w:t>
            </w:r>
            <w:r w:rsidRPr="00C64064">
              <w:rPr>
                <w:rFonts w:asciiTheme="majorHAnsi" w:eastAsia="Times New Roman" w:hAnsiTheme="majorHAnsi" w:cstheme="majorHAnsi"/>
                <w:b/>
                <w:bCs/>
                <w:sz w:val="20"/>
                <w:szCs w:val="20"/>
                <w:lang w:val="en-US" w:eastAsia="en-US"/>
              </w:rPr>
              <w:t> </w:t>
            </w:r>
          </w:p>
        </w:tc>
        <w:tc>
          <w:tcPr>
            <w:tcW w:w="3837" w:type="dxa"/>
            <w:gridSpan w:val="2"/>
            <w:shd w:val="clear" w:color="auto" w:fill="auto"/>
            <w:hideMark/>
          </w:tcPr>
          <w:p w14:paraId="314EB8AD" w14:textId="27CD7907" w:rsidR="00C07FE6" w:rsidRPr="00C64064" w:rsidRDefault="00C07FE6" w:rsidP="00AB55CC">
            <w:pPr>
              <w:spacing w:after="0" w:line="240" w:lineRule="auto"/>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 xml:space="preserve">Number of </w:t>
            </w:r>
            <w:r w:rsidR="00841E07" w:rsidRPr="00C64064">
              <w:rPr>
                <w:rFonts w:asciiTheme="majorHAnsi" w:eastAsia="Times New Roman" w:hAnsiTheme="majorHAnsi" w:cstheme="majorHAnsi"/>
                <w:sz w:val="20"/>
                <w:szCs w:val="20"/>
                <w:lang w:val="en-AU" w:eastAsia="en-US"/>
              </w:rPr>
              <w:t>f</w:t>
            </w:r>
            <w:r w:rsidRPr="00C64064">
              <w:rPr>
                <w:rFonts w:asciiTheme="majorHAnsi" w:eastAsia="Times New Roman" w:hAnsiTheme="majorHAnsi" w:cstheme="majorHAnsi"/>
                <w:sz w:val="20"/>
                <w:szCs w:val="20"/>
                <w:lang w:val="en-AU" w:eastAsia="en-US"/>
              </w:rPr>
              <w:t>arm</w:t>
            </w:r>
            <w:r w:rsidR="00841E07" w:rsidRPr="00C64064">
              <w:rPr>
                <w:rFonts w:asciiTheme="majorHAnsi" w:eastAsia="Times New Roman" w:hAnsiTheme="majorHAnsi" w:cstheme="majorHAnsi"/>
                <w:sz w:val="20"/>
                <w:szCs w:val="20"/>
                <w:lang w:val="en-AU" w:eastAsia="en-US"/>
              </w:rPr>
              <w:t>ing</w:t>
            </w:r>
            <w:r w:rsidRPr="00C64064">
              <w:rPr>
                <w:rFonts w:asciiTheme="majorHAnsi" w:eastAsia="Times New Roman" w:hAnsiTheme="majorHAnsi" w:cstheme="majorHAnsi"/>
                <w:sz w:val="20"/>
                <w:szCs w:val="20"/>
                <w:lang w:val="en-AU" w:eastAsia="en-US"/>
              </w:rPr>
              <w:t xml:space="preserve"> HH</w:t>
            </w:r>
            <w:r w:rsidR="00841E07" w:rsidRPr="00C64064">
              <w:rPr>
                <w:rFonts w:asciiTheme="majorHAnsi" w:eastAsia="Times New Roman" w:hAnsiTheme="majorHAnsi" w:cstheme="majorHAnsi"/>
                <w:sz w:val="20"/>
                <w:szCs w:val="20"/>
                <w:lang w:val="en-AU" w:eastAsia="en-US"/>
              </w:rPr>
              <w:t>s that</w:t>
            </w:r>
            <w:r w:rsidRPr="00C64064">
              <w:rPr>
                <w:rFonts w:asciiTheme="majorHAnsi" w:eastAsia="Times New Roman" w:hAnsiTheme="majorHAnsi" w:cstheme="majorHAnsi"/>
                <w:sz w:val="20"/>
                <w:szCs w:val="20"/>
                <w:lang w:val="en-AU" w:eastAsia="en-US"/>
              </w:rPr>
              <w:t xml:space="preserve"> g</w:t>
            </w:r>
            <w:r w:rsidR="00841E07" w:rsidRPr="00C64064">
              <w:rPr>
                <w:rFonts w:asciiTheme="majorHAnsi" w:eastAsia="Times New Roman" w:hAnsiTheme="majorHAnsi" w:cstheme="majorHAnsi"/>
                <w:sz w:val="20"/>
                <w:szCs w:val="20"/>
                <w:lang w:val="en-AU" w:eastAsia="en-US"/>
              </w:rPr>
              <w:t>ain</w:t>
            </w:r>
            <w:r w:rsidRPr="00C64064">
              <w:rPr>
                <w:rFonts w:asciiTheme="majorHAnsi" w:eastAsia="Times New Roman" w:hAnsiTheme="majorHAnsi" w:cstheme="majorHAnsi"/>
                <w:sz w:val="20"/>
                <w:szCs w:val="20"/>
                <w:lang w:val="en-AU" w:eastAsia="en-US"/>
              </w:rPr>
              <w:t xml:space="preserve"> access </w:t>
            </w:r>
            <w:r w:rsidR="00C65955" w:rsidRPr="00C64064">
              <w:rPr>
                <w:rFonts w:asciiTheme="majorHAnsi" w:eastAsia="Times New Roman" w:hAnsiTheme="majorHAnsi" w:cstheme="majorHAnsi"/>
                <w:sz w:val="20"/>
                <w:szCs w:val="20"/>
                <w:lang w:val="en-AU" w:eastAsia="en-US"/>
              </w:rPr>
              <w:t xml:space="preserve">to </w:t>
            </w:r>
            <w:r w:rsidRPr="00C64064">
              <w:rPr>
                <w:rFonts w:asciiTheme="majorHAnsi" w:eastAsia="Times New Roman" w:hAnsiTheme="majorHAnsi" w:cstheme="majorHAnsi"/>
                <w:sz w:val="20"/>
                <w:szCs w:val="20"/>
                <w:lang w:val="en-AU" w:eastAsia="en-US"/>
              </w:rPr>
              <w:t xml:space="preserve">or information </w:t>
            </w:r>
            <w:r w:rsidR="00C65955" w:rsidRPr="00C64064">
              <w:rPr>
                <w:rFonts w:asciiTheme="majorHAnsi" w:eastAsia="Times New Roman" w:hAnsiTheme="majorHAnsi" w:cstheme="majorHAnsi"/>
                <w:sz w:val="20"/>
                <w:szCs w:val="20"/>
                <w:lang w:val="en-AU" w:eastAsia="en-US"/>
              </w:rPr>
              <w:t>on</w:t>
            </w:r>
            <w:r w:rsidRPr="00C64064">
              <w:rPr>
                <w:rFonts w:asciiTheme="majorHAnsi" w:eastAsia="Times New Roman" w:hAnsiTheme="majorHAnsi" w:cstheme="majorHAnsi"/>
                <w:sz w:val="20"/>
                <w:szCs w:val="20"/>
                <w:lang w:val="en-AU" w:eastAsia="en-US"/>
              </w:rPr>
              <w:t xml:space="preserve"> the innovation</w:t>
            </w:r>
            <w:r w:rsidR="00841E07" w:rsidRPr="00C64064">
              <w:rPr>
                <w:rFonts w:asciiTheme="majorHAnsi" w:eastAsia="Times New Roman" w:hAnsiTheme="majorHAnsi" w:cstheme="majorHAnsi"/>
                <w:sz w:val="20"/>
                <w:szCs w:val="20"/>
                <w:lang w:val="en-AU" w:eastAsia="en-US"/>
              </w:rPr>
              <w:t>s</w:t>
            </w:r>
            <w:r w:rsidRPr="00C64064">
              <w:rPr>
                <w:rFonts w:asciiTheme="majorHAnsi" w:eastAsia="Times New Roman" w:hAnsiTheme="majorHAnsi" w:cstheme="majorHAnsi"/>
                <w:sz w:val="20"/>
                <w:szCs w:val="20"/>
                <w:lang w:val="en-AU" w:eastAsia="en-US"/>
              </w:rPr>
              <w:t xml:space="preserve"> from AIP-Rural</w:t>
            </w:r>
            <w:r w:rsidRPr="00C64064">
              <w:rPr>
                <w:rFonts w:asciiTheme="majorHAnsi" w:eastAsia="Times New Roman" w:hAnsiTheme="majorHAnsi" w:cstheme="majorHAnsi"/>
                <w:sz w:val="20"/>
                <w:szCs w:val="20"/>
                <w:lang w:val="en-US" w:eastAsia="en-US"/>
              </w:rPr>
              <w:t> </w:t>
            </w:r>
          </w:p>
        </w:tc>
        <w:tc>
          <w:tcPr>
            <w:tcW w:w="1843" w:type="dxa"/>
            <w:shd w:val="clear" w:color="auto" w:fill="auto"/>
            <w:hideMark/>
          </w:tcPr>
          <w:p w14:paraId="340F989E" w14:textId="7BBD5DD6"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72,977</w:t>
            </w:r>
          </w:p>
        </w:tc>
        <w:tc>
          <w:tcPr>
            <w:tcW w:w="2835" w:type="dxa"/>
            <w:shd w:val="clear" w:color="auto" w:fill="auto"/>
            <w:hideMark/>
          </w:tcPr>
          <w:p w14:paraId="555EC215" w14:textId="77777777"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4,002,090</w:t>
            </w:r>
            <w:r w:rsidRPr="00C64064">
              <w:rPr>
                <w:rFonts w:asciiTheme="majorHAnsi" w:eastAsia="Times New Roman" w:hAnsiTheme="majorHAnsi" w:cstheme="majorHAnsi"/>
                <w:sz w:val="20"/>
                <w:szCs w:val="20"/>
                <w:lang w:val="en-US" w:eastAsia="en-US"/>
              </w:rPr>
              <w:t> </w:t>
            </w:r>
          </w:p>
        </w:tc>
      </w:tr>
      <w:tr w:rsidR="00C07FE6" w:rsidRPr="00C64064" w14:paraId="393DAAF2" w14:textId="77777777" w:rsidTr="5583D54B">
        <w:trPr>
          <w:trHeight w:val="300"/>
        </w:trPr>
        <w:tc>
          <w:tcPr>
            <w:tcW w:w="983" w:type="dxa"/>
            <w:shd w:val="clear" w:color="auto" w:fill="D9E2F3"/>
            <w:hideMark/>
          </w:tcPr>
          <w:p w14:paraId="0E5F749E" w14:textId="77777777" w:rsidR="00C07FE6" w:rsidRPr="00C64064" w:rsidRDefault="00C07FE6" w:rsidP="00AB55CC">
            <w:pPr>
              <w:spacing w:after="0" w:line="240" w:lineRule="auto"/>
              <w:textAlignment w:val="baseline"/>
              <w:rPr>
                <w:rFonts w:asciiTheme="majorHAnsi" w:eastAsia="Times New Roman" w:hAnsiTheme="majorHAnsi" w:cstheme="majorHAnsi"/>
                <w:b/>
                <w:bCs/>
                <w:sz w:val="24"/>
                <w:szCs w:val="24"/>
                <w:lang w:val="en-US" w:eastAsia="en-US"/>
              </w:rPr>
            </w:pPr>
            <w:r w:rsidRPr="00C64064">
              <w:rPr>
                <w:rFonts w:asciiTheme="majorHAnsi" w:eastAsia="Times New Roman" w:hAnsiTheme="majorHAnsi" w:cstheme="majorHAnsi"/>
                <w:b/>
                <w:bCs/>
                <w:sz w:val="20"/>
                <w:szCs w:val="20"/>
                <w:lang w:val="en-AU" w:eastAsia="en-US"/>
              </w:rPr>
              <w:t>User</w:t>
            </w:r>
            <w:r w:rsidRPr="00C64064">
              <w:rPr>
                <w:rFonts w:asciiTheme="majorHAnsi" w:eastAsia="Times New Roman" w:hAnsiTheme="majorHAnsi" w:cstheme="majorHAnsi"/>
                <w:b/>
                <w:bCs/>
                <w:sz w:val="20"/>
                <w:szCs w:val="20"/>
                <w:lang w:val="en-US" w:eastAsia="en-US"/>
              </w:rPr>
              <w:t> </w:t>
            </w:r>
          </w:p>
        </w:tc>
        <w:tc>
          <w:tcPr>
            <w:tcW w:w="3383" w:type="dxa"/>
            <w:shd w:val="clear" w:color="auto" w:fill="D9E2F3"/>
            <w:hideMark/>
          </w:tcPr>
          <w:p w14:paraId="7F09877E" w14:textId="22C62D64" w:rsidR="00C07FE6" w:rsidRPr="00C64064" w:rsidRDefault="00C07FE6" w:rsidP="00AB55CC">
            <w:pPr>
              <w:spacing w:after="0" w:line="240" w:lineRule="auto"/>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 xml:space="preserve">Number of </w:t>
            </w:r>
            <w:r w:rsidR="00841E07" w:rsidRPr="00C64064">
              <w:rPr>
                <w:rFonts w:asciiTheme="majorHAnsi" w:eastAsia="Times New Roman" w:hAnsiTheme="majorHAnsi" w:cstheme="majorHAnsi"/>
                <w:sz w:val="20"/>
                <w:szCs w:val="20"/>
                <w:lang w:val="en-AU" w:eastAsia="en-US"/>
              </w:rPr>
              <w:t>f</w:t>
            </w:r>
            <w:r w:rsidRPr="00C64064">
              <w:rPr>
                <w:rFonts w:asciiTheme="majorHAnsi" w:eastAsia="Times New Roman" w:hAnsiTheme="majorHAnsi" w:cstheme="majorHAnsi"/>
                <w:sz w:val="20"/>
                <w:szCs w:val="20"/>
                <w:lang w:val="en-AU" w:eastAsia="en-US"/>
              </w:rPr>
              <w:t>arm</w:t>
            </w:r>
            <w:r w:rsidR="00841E07" w:rsidRPr="00C64064">
              <w:rPr>
                <w:rFonts w:asciiTheme="majorHAnsi" w:eastAsia="Times New Roman" w:hAnsiTheme="majorHAnsi" w:cstheme="majorHAnsi"/>
                <w:sz w:val="20"/>
                <w:szCs w:val="20"/>
                <w:lang w:val="en-AU" w:eastAsia="en-US"/>
              </w:rPr>
              <w:t>ing</w:t>
            </w:r>
            <w:r w:rsidRPr="00C64064">
              <w:rPr>
                <w:rFonts w:asciiTheme="majorHAnsi" w:eastAsia="Times New Roman" w:hAnsiTheme="majorHAnsi" w:cstheme="majorHAnsi"/>
                <w:sz w:val="20"/>
                <w:szCs w:val="20"/>
                <w:lang w:val="en-AU" w:eastAsia="en-US"/>
              </w:rPr>
              <w:t xml:space="preserve"> HH</w:t>
            </w:r>
            <w:r w:rsidR="00841E07" w:rsidRPr="00C64064">
              <w:rPr>
                <w:rFonts w:asciiTheme="majorHAnsi" w:eastAsia="Times New Roman" w:hAnsiTheme="majorHAnsi" w:cstheme="majorHAnsi"/>
                <w:sz w:val="20"/>
                <w:szCs w:val="20"/>
                <w:lang w:val="en-AU" w:eastAsia="en-US"/>
              </w:rPr>
              <w:t>s that</w:t>
            </w:r>
            <w:r w:rsidRPr="00C64064">
              <w:rPr>
                <w:rFonts w:asciiTheme="majorHAnsi" w:eastAsia="Times New Roman" w:hAnsiTheme="majorHAnsi" w:cstheme="majorHAnsi"/>
                <w:sz w:val="20"/>
                <w:szCs w:val="20"/>
                <w:lang w:val="en-AU" w:eastAsia="en-US"/>
              </w:rPr>
              <w:t xml:space="preserve"> adopt/use information </w:t>
            </w:r>
            <w:r w:rsidR="00841E07" w:rsidRPr="00C64064">
              <w:rPr>
                <w:rFonts w:asciiTheme="majorHAnsi" w:eastAsia="Times New Roman" w:hAnsiTheme="majorHAnsi" w:cstheme="majorHAnsi"/>
                <w:sz w:val="20"/>
                <w:szCs w:val="20"/>
                <w:lang w:val="en-AU" w:eastAsia="en-US"/>
              </w:rPr>
              <w:t>from</w:t>
            </w:r>
            <w:r w:rsidRPr="00C64064">
              <w:rPr>
                <w:rFonts w:asciiTheme="majorHAnsi" w:eastAsia="Times New Roman" w:hAnsiTheme="majorHAnsi" w:cstheme="majorHAnsi"/>
                <w:sz w:val="20"/>
                <w:szCs w:val="20"/>
                <w:lang w:val="en-AU" w:eastAsia="en-US"/>
              </w:rPr>
              <w:t xml:space="preserve"> the innovation</w:t>
            </w:r>
            <w:r w:rsidR="00C65955" w:rsidRPr="00C64064">
              <w:rPr>
                <w:rFonts w:asciiTheme="majorHAnsi" w:eastAsia="Times New Roman" w:hAnsiTheme="majorHAnsi" w:cstheme="majorHAnsi"/>
                <w:sz w:val="20"/>
                <w:szCs w:val="20"/>
                <w:lang w:val="en-AU" w:eastAsia="en-US"/>
              </w:rPr>
              <w:t>s</w:t>
            </w:r>
            <w:r w:rsidRPr="00C64064">
              <w:rPr>
                <w:rFonts w:asciiTheme="majorHAnsi" w:eastAsia="Times New Roman" w:hAnsiTheme="majorHAnsi" w:cstheme="majorHAnsi"/>
                <w:sz w:val="20"/>
                <w:szCs w:val="20"/>
                <w:lang w:val="en-AU" w:eastAsia="en-US"/>
              </w:rPr>
              <w:t xml:space="preserve"> </w:t>
            </w:r>
            <w:r w:rsidR="00C65955" w:rsidRPr="00C64064">
              <w:rPr>
                <w:rFonts w:asciiTheme="majorHAnsi" w:eastAsia="Times New Roman" w:hAnsiTheme="majorHAnsi" w:cstheme="majorHAnsi"/>
                <w:sz w:val="20"/>
                <w:szCs w:val="20"/>
                <w:lang w:val="en-AU" w:eastAsia="en-US"/>
              </w:rPr>
              <w:t>introduced by</w:t>
            </w:r>
            <w:r w:rsidRPr="00C64064">
              <w:rPr>
                <w:rFonts w:asciiTheme="majorHAnsi" w:eastAsia="Times New Roman" w:hAnsiTheme="majorHAnsi" w:cstheme="majorHAnsi"/>
                <w:sz w:val="20"/>
                <w:szCs w:val="20"/>
                <w:lang w:val="en-AU" w:eastAsia="en-US"/>
              </w:rPr>
              <w:t xml:space="preserve"> AIP-Rural</w:t>
            </w:r>
            <w:r w:rsidRPr="00C64064">
              <w:rPr>
                <w:rFonts w:asciiTheme="majorHAnsi" w:eastAsia="Times New Roman" w:hAnsiTheme="majorHAnsi" w:cstheme="majorHAnsi"/>
                <w:sz w:val="20"/>
                <w:szCs w:val="20"/>
                <w:lang w:val="en-US" w:eastAsia="en-US"/>
              </w:rPr>
              <w:t> </w:t>
            </w:r>
          </w:p>
        </w:tc>
        <w:tc>
          <w:tcPr>
            <w:tcW w:w="2297" w:type="dxa"/>
            <w:gridSpan w:val="2"/>
            <w:shd w:val="clear" w:color="auto" w:fill="D9E2F3"/>
            <w:hideMark/>
          </w:tcPr>
          <w:p w14:paraId="2B9FF286" w14:textId="2AC5DB78"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72,912</w:t>
            </w:r>
          </w:p>
        </w:tc>
        <w:tc>
          <w:tcPr>
            <w:tcW w:w="2835" w:type="dxa"/>
            <w:shd w:val="clear" w:color="auto" w:fill="D9E2F3"/>
            <w:hideMark/>
          </w:tcPr>
          <w:p w14:paraId="3227BB00" w14:textId="77777777" w:rsidR="00C07FE6" w:rsidRPr="00C64064" w:rsidRDefault="00C07FE6" w:rsidP="00AB55CC">
            <w:pPr>
              <w:spacing w:after="0" w:line="240" w:lineRule="auto"/>
              <w:jc w:val="right"/>
              <w:textAlignment w:val="baseline"/>
              <w:rPr>
                <w:rFonts w:asciiTheme="majorHAnsi" w:eastAsia="Times New Roman" w:hAnsiTheme="majorHAnsi" w:cstheme="majorHAnsi"/>
                <w:sz w:val="24"/>
                <w:szCs w:val="24"/>
                <w:lang w:val="en-US" w:eastAsia="en-US"/>
              </w:rPr>
            </w:pPr>
            <w:r w:rsidRPr="00C64064">
              <w:rPr>
                <w:rFonts w:asciiTheme="majorHAnsi" w:eastAsia="Times New Roman" w:hAnsiTheme="majorHAnsi" w:cstheme="majorHAnsi"/>
                <w:sz w:val="20"/>
                <w:szCs w:val="20"/>
                <w:lang w:val="en-AU" w:eastAsia="en-US"/>
              </w:rPr>
              <w:t>2,741,236</w:t>
            </w:r>
            <w:r w:rsidRPr="00C64064">
              <w:rPr>
                <w:rFonts w:asciiTheme="majorHAnsi" w:eastAsia="Times New Roman" w:hAnsiTheme="majorHAnsi" w:cstheme="majorHAnsi"/>
                <w:sz w:val="20"/>
                <w:szCs w:val="20"/>
                <w:lang w:val="en-US" w:eastAsia="en-US"/>
              </w:rPr>
              <w:t> </w:t>
            </w:r>
          </w:p>
        </w:tc>
      </w:tr>
    </w:tbl>
    <w:p w14:paraId="4B935378" w14:textId="269E8BE8" w:rsidR="00BB5A8B" w:rsidRPr="00C64064" w:rsidRDefault="00BB5A8B" w:rsidP="00BB5A8B">
      <w:pPr>
        <w:pStyle w:val="Body"/>
        <w:rPr>
          <w:rFonts w:asciiTheme="majorHAnsi" w:hAnsiTheme="majorHAnsi" w:cstheme="majorHAnsi"/>
        </w:rPr>
      </w:pPr>
    </w:p>
    <w:p w14:paraId="1C012952" w14:textId="27C823DB" w:rsidR="004D0BAF" w:rsidRPr="00A342EE" w:rsidRDefault="004D0BAF" w:rsidP="00A342EE">
      <w:pPr>
        <w:pStyle w:val="Head2"/>
      </w:pPr>
      <w:bookmarkStart w:id="67" w:name="_Toc172823289"/>
      <w:bookmarkStart w:id="68" w:name="_Toc180155162"/>
      <w:r w:rsidRPr="00A342EE">
        <w:t xml:space="preserve">Value for </w:t>
      </w:r>
      <w:r w:rsidR="00C65955" w:rsidRPr="00A342EE">
        <w:t>M</w:t>
      </w:r>
      <w:r w:rsidRPr="00A342EE">
        <w:t>oney</w:t>
      </w:r>
      <w:bookmarkEnd w:id="67"/>
      <w:bookmarkEnd w:id="68"/>
      <w:r w:rsidRPr="00A342EE">
        <w:tab/>
      </w:r>
    </w:p>
    <w:p w14:paraId="020549E8" w14:textId="77777777" w:rsidR="00A43F84" w:rsidRPr="00A43F84" w:rsidRDefault="00A43F84" w:rsidP="00A43F84">
      <w:pPr>
        <w:spacing w:line="276" w:lineRule="auto"/>
        <w:jc w:val="both"/>
        <w:rPr>
          <w:rFonts w:asciiTheme="majorHAnsi" w:hAnsiTheme="majorHAnsi" w:cstheme="majorHAnsi"/>
          <w:lang w:val="en-AU"/>
        </w:rPr>
      </w:pPr>
      <w:r w:rsidRPr="00A43F84">
        <w:rPr>
          <w:rFonts w:asciiTheme="majorHAnsi" w:hAnsiTheme="majorHAnsi" w:cstheme="majorHAnsi"/>
          <w:lang w:val="en-AU"/>
        </w:rPr>
        <w:t xml:space="preserve">PRISMA continues to deliver good value for money (VFM), with all 3 VFM indicators remaining strong.  Two indicators remained relatively constant compared to previous semesters, and a third continued to grow steadily. At this late stage of implementation, changes in most sector-level VFM indicators also tend to be modest, especially for sectors with high outreach.  </w:t>
      </w:r>
    </w:p>
    <w:p w14:paraId="38EDBCEF" w14:textId="4D38CF1B" w:rsidR="001C4BE4" w:rsidRPr="00A43F84" w:rsidRDefault="00A43F84" w:rsidP="00A43F84">
      <w:pPr>
        <w:spacing w:line="276" w:lineRule="auto"/>
        <w:jc w:val="both"/>
        <w:rPr>
          <w:rFonts w:asciiTheme="majorHAnsi" w:hAnsiTheme="majorHAnsi" w:cstheme="majorHAnsi"/>
          <w:lang w:val="en-AU"/>
        </w:rPr>
      </w:pPr>
      <w:r w:rsidRPr="00A43F84">
        <w:rPr>
          <w:rFonts w:asciiTheme="majorHAnsi" w:hAnsiTheme="majorHAnsi" w:cstheme="majorHAnsi"/>
          <w:lang w:val="en-AU"/>
        </w:rPr>
        <w:t>The following VFM indicators are used to show the program's effectiveness in terms of delivery and its return on investment:</w:t>
      </w:r>
    </w:p>
    <w:p w14:paraId="5A14FF8B" w14:textId="623C08D1" w:rsidR="00447B58" w:rsidRPr="00A43F84" w:rsidRDefault="00FF7707" w:rsidP="00447B58">
      <w:pPr>
        <w:keepNext/>
        <w:spacing w:line="276" w:lineRule="auto"/>
        <w:jc w:val="both"/>
        <w:rPr>
          <w:rFonts w:asciiTheme="majorHAnsi" w:hAnsiTheme="majorHAnsi" w:cstheme="majorHAnsi"/>
        </w:rPr>
      </w:pPr>
      <w:r w:rsidRPr="00C64064">
        <w:rPr>
          <w:rFonts w:asciiTheme="majorHAnsi" w:hAnsiTheme="majorHAnsi" w:cstheme="majorHAnsi"/>
          <w:noProof/>
          <w:color w:val="FF0000"/>
          <w:lang w:val="en-AU"/>
        </w:rPr>
        <mc:AlternateContent>
          <mc:Choice Requires="wpg">
            <w:drawing>
              <wp:anchor distT="0" distB="0" distL="114300" distR="114300" simplePos="0" relativeHeight="251765248" behindDoc="0" locked="0" layoutInCell="1" allowOverlap="1" wp14:anchorId="0A7E0543" wp14:editId="1F9C9231">
                <wp:simplePos x="0" y="0"/>
                <wp:positionH relativeFrom="margin">
                  <wp:posOffset>4851400</wp:posOffset>
                </wp:positionH>
                <wp:positionV relativeFrom="paragraph">
                  <wp:posOffset>330835</wp:posOffset>
                </wp:positionV>
                <wp:extent cx="1737360" cy="2558415"/>
                <wp:effectExtent l="0" t="0" r="0" b="0"/>
                <wp:wrapNone/>
                <wp:docPr id="499402553" name="Group 4994025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7360" cy="2558415"/>
                          <a:chOff x="0" y="114252"/>
                          <a:chExt cx="1737367" cy="2150560"/>
                        </a:xfrm>
                      </wpg:grpSpPr>
                      <wps:wsp>
                        <wps:cNvPr id="999330138" name="Rectangle: Rounded Corners 1"/>
                        <wps:cNvSpPr/>
                        <wps:spPr>
                          <a:xfrm>
                            <a:off x="7" y="114252"/>
                            <a:ext cx="1737360" cy="677605"/>
                          </a:xfrm>
                          <a:prstGeom prst="round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133014" w14:textId="77777777" w:rsidR="00FF7707" w:rsidRPr="005F390F" w:rsidRDefault="00FF7707" w:rsidP="00FF7707">
                              <w:pPr>
                                <w:spacing w:after="0" w:line="240" w:lineRule="auto"/>
                                <w:rPr>
                                  <w:rFonts w:asciiTheme="majorHAnsi" w:hAnsiTheme="majorHAnsi" w:cstheme="majorHAnsi"/>
                                  <w:color w:val="002060"/>
                                  <w:sz w:val="18"/>
                                  <w:szCs w:val="18"/>
                                  <w:lang w:val="en-US"/>
                                </w:rPr>
                              </w:pPr>
                              <w:r>
                                <w:rPr>
                                  <w:rFonts w:asciiTheme="majorHAnsi" w:hAnsiTheme="majorHAnsi" w:cstheme="majorHAnsi"/>
                                  <w:color w:val="002060"/>
                                  <w:sz w:val="18"/>
                                  <w:szCs w:val="18"/>
                                  <w:lang w:val="en-US"/>
                                </w:rPr>
                                <w:t>Reflects buy-in from the private sector</w:t>
                              </w:r>
                              <w:r w:rsidRPr="005F390F">
                                <w:rPr>
                                  <w:rFonts w:asciiTheme="majorHAnsi" w:hAnsiTheme="majorHAnsi" w:cstheme="majorHAnsi"/>
                                  <w:color w:val="002060"/>
                                  <w:sz w:val="18"/>
                                  <w:szCs w:val="18"/>
                                  <w:lang w:val="en-US"/>
                                </w:rPr>
                                <w:t xml:space="preserve"> to </w:t>
                              </w:r>
                              <w:r>
                                <w:rPr>
                                  <w:rFonts w:asciiTheme="majorHAnsi" w:hAnsiTheme="majorHAnsi" w:cstheme="majorHAnsi"/>
                                  <w:color w:val="002060"/>
                                  <w:sz w:val="18"/>
                                  <w:szCs w:val="18"/>
                                  <w:lang w:val="en-US"/>
                                </w:rPr>
                                <w:t xml:space="preserve">adopt and fund the innovations introduced through </w:t>
                              </w:r>
                              <w:r w:rsidRPr="005F390F">
                                <w:rPr>
                                  <w:rFonts w:asciiTheme="majorHAnsi" w:hAnsiTheme="majorHAnsi" w:cstheme="majorHAnsi"/>
                                  <w:color w:val="002060"/>
                                  <w:sz w:val="18"/>
                                  <w:szCs w:val="18"/>
                                  <w:lang w:val="en-US"/>
                                </w:rPr>
                                <w:t xml:space="preserve">PRISMA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3993927" name="Rectangle: Rounded Corners 1"/>
                        <wps:cNvSpPr/>
                        <wps:spPr>
                          <a:xfrm>
                            <a:off x="0" y="743822"/>
                            <a:ext cx="1737360" cy="775855"/>
                          </a:xfrm>
                          <a:prstGeom prst="round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D286248" w14:textId="77777777" w:rsidR="00FF7707" w:rsidRPr="005F390F" w:rsidRDefault="00FF7707" w:rsidP="00FF7707">
                              <w:pPr>
                                <w:spacing w:after="0" w:line="240" w:lineRule="auto"/>
                                <w:rPr>
                                  <w:rFonts w:asciiTheme="majorHAnsi" w:hAnsiTheme="majorHAnsi" w:cstheme="majorHAnsi"/>
                                  <w:color w:val="002060"/>
                                  <w:sz w:val="18"/>
                                  <w:szCs w:val="18"/>
                                </w:rPr>
                              </w:pPr>
                              <w:r>
                                <w:rPr>
                                  <w:rFonts w:asciiTheme="majorHAnsi" w:hAnsiTheme="majorHAnsi" w:cstheme="majorHAnsi"/>
                                  <w:color w:val="002060"/>
                                  <w:sz w:val="18"/>
                                  <w:szCs w:val="18"/>
                                </w:rPr>
                                <w:t>Reflects how</w:t>
                              </w:r>
                              <w:r w:rsidRPr="005F390F">
                                <w:rPr>
                                  <w:rFonts w:asciiTheme="majorHAnsi" w:hAnsiTheme="majorHAnsi" w:cstheme="majorHAnsi"/>
                                  <w:color w:val="002060"/>
                                  <w:sz w:val="18"/>
                                  <w:szCs w:val="18"/>
                                </w:rPr>
                                <w:t xml:space="preserve"> effective PRISMA</w:t>
                              </w:r>
                              <w:r>
                                <w:rPr>
                                  <w:rFonts w:asciiTheme="majorHAnsi" w:hAnsiTheme="majorHAnsi" w:cstheme="majorHAnsi"/>
                                  <w:color w:val="002060"/>
                                  <w:sz w:val="18"/>
                                  <w:szCs w:val="18"/>
                                </w:rPr>
                                <w:t xml:space="preserve"> is </w:t>
                              </w:r>
                              <w:r w:rsidRPr="005F390F">
                                <w:rPr>
                                  <w:rFonts w:asciiTheme="majorHAnsi" w:hAnsiTheme="majorHAnsi" w:cstheme="majorHAnsi"/>
                                  <w:color w:val="002060"/>
                                  <w:sz w:val="18"/>
                                  <w:szCs w:val="18"/>
                                </w:rPr>
                                <w:t xml:space="preserve">in generating </w:t>
                              </w:r>
                              <w:r>
                                <w:rPr>
                                  <w:rFonts w:asciiTheme="majorHAnsi" w:hAnsiTheme="majorHAnsi" w:cstheme="majorHAnsi"/>
                                  <w:color w:val="002060"/>
                                  <w:sz w:val="18"/>
                                  <w:szCs w:val="18"/>
                                </w:rPr>
                                <w:t>net-</w:t>
                              </w:r>
                              <w:r w:rsidRPr="005F390F">
                                <w:rPr>
                                  <w:rFonts w:asciiTheme="majorHAnsi" w:hAnsiTheme="majorHAnsi" w:cstheme="majorHAnsi"/>
                                  <w:color w:val="002060"/>
                                  <w:sz w:val="18"/>
                                  <w:szCs w:val="18"/>
                                </w:rPr>
                                <w:t>income increase</w:t>
                              </w:r>
                              <w:r>
                                <w:rPr>
                                  <w:rFonts w:asciiTheme="majorHAnsi" w:hAnsiTheme="majorHAnsi" w:cstheme="majorHAnsi"/>
                                  <w:color w:val="002060"/>
                                  <w:sz w:val="18"/>
                                  <w:szCs w:val="18"/>
                                </w:rPr>
                                <w:t>s for households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7204979" name="Rectangle: Rounded Corners 1"/>
                        <wps:cNvSpPr/>
                        <wps:spPr>
                          <a:xfrm>
                            <a:off x="7" y="1585939"/>
                            <a:ext cx="1737360" cy="678873"/>
                          </a:xfrm>
                          <a:prstGeom prst="round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14F3708" w14:textId="77777777" w:rsidR="00FF7707" w:rsidRPr="005F390F" w:rsidRDefault="00FF7707" w:rsidP="00FF7707">
                              <w:pPr>
                                <w:spacing w:after="0" w:line="240" w:lineRule="auto"/>
                                <w:rPr>
                                  <w:rFonts w:asciiTheme="majorHAnsi" w:hAnsiTheme="majorHAnsi" w:cstheme="majorHAnsi"/>
                                  <w:color w:val="002060"/>
                                  <w:sz w:val="18"/>
                                  <w:szCs w:val="18"/>
                                </w:rPr>
                              </w:pPr>
                              <w:r>
                                <w:rPr>
                                  <w:rFonts w:asciiTheme="majorHAnsi" w:hAnsiTheme="majorHAnsi" w:cstheme="majorHAnsi"/>
                                  <w:color w:val="002060"/>
                                  <w:sz w:val="18"/>
                                  <w:szCs w:val="18"/>
                                </w:rPr>
                                <w:t>Reflects how</w:t>
                              </w:r>
                              <w:r w:rsidRPr="005F390F">
                                <w:rPr>
                                  <w:rFonts w:asciiTheme="majorHAnsi" w:hAnsiTheme="majorHAnsi" w:cstheme="majorHAnsi"/>
                                  <w:color w:val="002060"/>
                                  <w:sz w:val="18"/>
                                  <w:szCs w:val="18"/>
                                </w:rPr>
                                <w:t xml:space="preserve"> efficient PRISMA is in </w:t>
                              </w:r>
                              <w:r>
                                <w:rPr>
                                  <w:rFonts w:asciiTheme="majorHAnsi" w:hAnsiTheme="majorHAnsi" w:cstheme="majorHAnsi"/>
                                  <w:color w:val="002060"/>
                                  <w:sz w:val="18"/>
                                  <w:szCs w:val="18"/>
                                </w:rPr>
                                <w:t>scaling innovations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7E0543" id="Group 499402553" o:spid="_x0000_s1055" alt="&quot;&quot;" style="position:absolute;left:0;text-align:left;margin-left:382pt;margin-top:26.05pt;width:136.8pt;height:201.45pt;z-index:251765248;mso-position-horizontal-relative:margin;mso-position-vertical-relative:text;mso-width-relative:margin;mso-height-relative:margin" coordorigin=",1142" coordsize="17373,21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">
                <v:roundrect id="Rectangle: Rounded Corners 1" o:spid="_x0000_s1056" style="position:absolute;top:1142;width:17373;height:677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" filled="f" stroked="f" strokeweight="2pt">
                  <v:textbox>
                    <w:txbxContent>
                      <w:p w14:paraId="5A133014" w14:textId="77777777" w:rsidR="00FF7707" w:rsidRPr="005F390F" w:rsidRDefault="00FF7707" w:rsidP="00FF7707">
                        <w:pPr>
                          <w:spacing w:after="0" w:line="240" w:lineRule="auto"/>
                          <w:rPr>
                            <w:rFonts w:asciiTheme="majorHAnsi" w:hAnsiTheme="majorHAnsi" w:cstheme="majorHAnsi"/>
                            <w:color w:val="002060"/>
                            <w:sz w:val="18"/>
                            <w:szCs w:val="18"/>
                            <w:lang w:val="en-US"/>
                          </w:rPr>
                        </w:pPr>
                        <w:r>
                          <w:rPr>
                            <w:rFonts w:asciiTheme="majorHAnsi" w:hAnsiTheme="majorHAnsi" w:cstheme="majorHAnsi"/>
                            <w:color w:val="002060"/>
                            <w:sz w:val="18"/>
                            <w:szCs w:val="18"/>
                            <w:lang w:val="en-US"/>
                          </w:rPr>
                          <w:t>Reflects buy-in from the private sector</w:t>
                        </w:r>
                        <w:r w:rsidRPr="005F390F">
                          <w:rPr>
                            <w:rFonts w:asciiTheme="majorHAnsi" w:hAnsiTheme="majorHAnsi" w:cstheme="majorHAnsi"/>
                            <w:color w:val="002060"/>
                            <w:sz w:val="18"/>
                            <w:szCs w:val="18"/>
                            <w:lang w:val="en-US"/>
                          </w:rPr>
                          <w:t xml:space="preserve"> to </w:t>
                        </w:r>
                        <w:r>
                          <w:rPr>
                            <w:rFonts w:asciiTheme="majorHAnsi" w:hAnsiTheme="majorHAnsi" w:cstheme="majorHAnsi"/>
                            <w:color w:val="002060"/>
                            <w:sz w:val="18"/>
                            <w:szCs w:val="18"/>
                            <w:lang w:val="en-US"/>
                          </w:rPr>
                          <w:t xml:space="preserve">adopt and fund the innovations introduced through </w:t>
                        </w:r>
                        <w:r w:rsidRPr="005F390F">
                          <w:rPr>
                            <w:rFonts w:asciiTheme="majorHAnsi" w:hAnsiTheme="majorHAnsi" w:cstheme="majorHAnsi"/>
                            <w:color w:val="002060"/>
                            <w:sz w:val="18"/>
                            <w:szCs w:val="18"/>
                            <w:lang w:val="en-US"/>
                          </w:rPr>
                          <w:t xml:space="preserve">PRISMA </w:t>
                        </w:r>
                      </w:p>
                    </w:txbxContent>
                  </v:textbox>
                </v:roundrect>
                <v:roundrect id="Rectangle: Rounded Corners 1" o:spid="_x0000_s1057" style="position:absolute;top:7438;width:17373;height:77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" filled="f" stroked="f" strokeweight="2pt">
                  <v:textbox>
                    <w:txbxContent>
                      <w:p w14:paraId="2D286248" w14:textId="77777777" w:rsidR="00FF7707" w:rsidRPr="005F390F" w:rsidRDefault="00FF7707" w:rsidP="00FF7707">
                        <w:pPr>
                          <w:spacing w:after="0" w:line="240" w:lineRule="auto"/>
                          <w:rPr>
                            <w:rFonts w:asciiTheme="majorHAnsi" w:hAnsiTheme="majorHAnsi" w:cstheme="majorHAnsi"/>
                            <w:color w:val="002060"/>
                            <w:sz w:val="18"/>
                            <w:szCs w:val="18"/>
                          </w:rPr>
                        </w:pPr>
                        <w:r>
                          <w:rPr>
                            <w:rFonts w:asciiTheme="majorHAnsi" w:hAnsiTheme="majorHAnsi" w:cstheme="majorHAnsi"/>
                            <w:color w:val="002060"/>
                            <w:sz w:val="18"/>
                            <w:szCs w:val="18"/>
                          </w:rPr>
                          <w:t>Reflects how</w:t>
                        </w:r>
                        <w:r w:rsidRPr="005F390F">
                          <w:rPr>
                            <w:rFonts w:asciiTheme="majorHAnsi" w:hAnsiTheme="majorHAnsi" w:cstheme="majorHAnsi"/>
                            <w:color w:val="002060"/>
                            <w:sz w:val="18"/>
                            <w:szCs w:val="18"/>
                          </w:rPr>
                          <w:t xml:space="preserve"> effective PRISMA</w:t>
                        </w:r>
                        <w:r>
                          <w:rPr>
                            <w:rFonts w:asciiTheme="majorHAnsi" w:hAnsiTheme="majorHAnsi" w:cstheme="majorHAnsi"/>
                            <w:color w:val="002060"/>
                            <w:sz w:val="18"/>
                            <w:szCs w:val="18"/>
                          </w:rPr>
                          <w:t xml:space="preserve"> is </w:t>
                        </w:r>
                        <w:r w:rsidRPr="005F390F">
                          <w:rPr>
                            <w:rFonts w:asciiTheme="majorHAnsi" w:hAnsiTheme="majorHAnsi" w:cstheme="majorHAnsi"/>
                            <w:color w:val="002060"/>
                            <w:sz w:val="18"/>
                            <w:szCs w:val="18"/>
                          </w:rPr>
                          <w:t xml:space="preserve">in generating </w:t>
                        </w:r>
                        <w:r>
                          <w:rPr>
                            <w:rFonts w:asciiTheme="majorHAnsi" w:hAnsiTheme="majorHAnsi" w:cstheme="majorHAnsi"/>
                            <w:color w:val="002060"/>
                            <w:sz w:val="18"/>
                            <w:szCs w:val="18"/>
                          </w:rPr>
                          <w:t>net-</w:t>
                        </w:r>
                        <w:r w:rsidRPr="005F390F">
                          <w:rPr>
                            <w:rFonts w:asciiTheme="majorHAnsi" w:hAnsiTheme="majorHAnsi" w:cstheme="majorHAnsi"/>
                            <w:color w:val="002060"/>
                            <w:sz w:val="18"/>
                            <w:szCs w:val="18"/>
                          </w:rPr>
                          <w:t>income increase</w:t>
                        </w:r>
                        <w:r>
                          <w:rPr>
                            <w:rFonts w:asciiTheme="majorHAnsi" w:hAnsiTheme="majorHAnsi" w:cstheme="majorHAnsi"/>
                            <w:color w:val="002060"/>
                            <w:sz w:val="18"/>
                            <w:szCs w:val="18"/>
                          </w:rPr>
                          <w:t>s for households</w:t>
                        </w:r>
                      </w:p>
                    </w:txbxContent>
                  </v:textbox>
                </v:roundrect>
                <v:roundrect id="Rectangle: Rounded Corners 1" o:spid="_x0000_s1058" style="position:absolute;top:15859;width:17373;height:67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" filled="f" stroked="f" strokeweight="2pt">
                  <v:textbox>
                    <w:txbxContent>
                      <w:p w14:paraId="014F3708" w14:textId="77777777" w:rsidR="00FF7707" w:rsidRPr="005F390F" w:rsidRDefault="00FF7707" w:rsidP="00FF7707">
                        <w:pPr>
                          <w:spacing w:after="0" w:line="240" w:lineRule="auto"/>
                          <w:rPr>
                            <w:rFonts w:asciiTheme="majorHAnsi" w:hAnsiTheme="majorHAnsi" w:cstheme="majorHAnsi"/>
                            <w:color w:val="002060"/>
                            <w:sz w:val="18"/>
                            <w:szCs w:val="18"/>
                          </w:rPr>
                        </w:pPr>
                        <w:r>
                          <w:rPr>
                            <w:rFonts w:asciiTheme="majorHAnsi" w:hAnsiTheme="majorHAnsi" w:cstheme="majorHAnsi"/>
                            <w:color w:val="002060"/>
                            <w:sz w:val="18"/>
                            <w:szCs w:val="18"/>
                          </w:rPr>
                          <w:t>Reflects how</w:t>
                        </w:r>
                        <w:r w:rsidRPr="005F390F">
                          <w:rPr>
                            <w:rFonts w:asciiTheme="majorHAnsi" w:hAnsiTheme="majorHAnsi" w:cstheme="majorHAnsi"/>
                            <w:color w:val="002060"/>
                            <w:sz w:val="18"/>
                            <w:szCs w:val="18"/>
                          </w:rPr>
                          <w:t xml:space="preserve"> efficient PRISMA is in </w:t>
                        </w:r>
                        <w:r>
                          <w:rPr>
                            <w:rFonts w:asciiTheme="majorHAnsi" w:hAnsiTheme="majorHAnsi" w:cstheme="majorHAnsi"/>
                            <w:color w:val="002060"/>
                            <w:sz w:val="18"/>
                            <w:szCs w:val="18"/>
                          </w:rPr>
                          <w:t>scaling innovations</w:t>
                        </w:r>
                      </w:p>
                    </w:txbxContent>
                  </v:textbox>
                </v:roundrect>
                <w10:wrap anchorx="margin"/>
              </v:group>
            </w:pict>
          </mc:Fallback>
        </mc:AlternateContent>
      </w:r>
      <w:r w:rsidRPr="00C64064">
        <w:rPr>
          <w:rFonts w:asciiTheme="majorHAnsi" w:hAnsiTheme="majorHAnsi" w:cstheme="majorHAnsi"/>
          <w:noProof/>
          <w:color w:val="FF0000"/>
          <w:lang w:val="en-AU"/>
        </w:rPr>
        <w:t xml:space="preserve"> </w:t>
      </w:r>
      <w:r w:rsidRPr="00C64064">
        <w:rPr>
          <w:rFonts w:asciiTheme="majorHAnsi" w:hAnsiTheme="majorHAnsi" w:cstheme="majorHAnsi"/>
          <w:noProof/>
          <w:color w:val="FF0000"/>
          <w:lang w:val="en-AU"/>
        </w:rPr>
        <w:drawing>
          <wp:inline distT="0" distB="0" distL="0" distR="0" wp14:anchorId="54A113C7" wp14:editId="4280990D">
            <wp:extent cx="4711700" cy="3085240"/>
            <wp:effectExtent l="0" t="0" r="0" b="0"/>
            <wp:docPr id="5" name="Picture 5" descr="Value for Money Indicators 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Value for Money Indicators infographic"/>
                    <pic:cNvPicPr/>
                  </pic:nvPicPr>
                  <pic:blipFill>
                    <a:blip r:embed="rId105"/>
                    <a:stretch>
                      <a:fillRect/>
                    </a:stretch>
                  </pic:blipFill>
                  <pic:spPr>
                    <a:xfrm>
                      <a:off x="0" y="0"/>
                      <a:ext cx="4722445" cy="3092276"/>
                    </a:xfrm>
                    <a:prstGeom prst="rect">
                      <a:avLst/>
                    </a:prstGeom>
                  </pic:spPr>
                </pic:pic>
              </a:graphicData>
            </a:graphic>
          </wp:inline>
        </w:drawing>
      </w:r>
      <w:r w:rsidR="001C4BE4" w:rsidRPr="00C64064">
        <w:rPr>
          <w:rFonts w:asciiTheme="majorHAnsi" w:hAnsiTheme="majorHAnsi" w:cstheme="majorHAnsi"/>
          <w:noProof/>
          <w:color w:val="FF0000"/>
          <w:lang w:val="en-AU"/>
        </w:rPr>
        <w:t xml:space="preserve"> </w:t>
      </w:r>
    </w:p>
    <w:p w14:paraId="04D388E3" w14:textId="5C18955D" w:rsidR="00447B58" w:rsidRPr="00A43F84" w:rsidRDefault="00447B58" w:rsidP="5583D54B">
      <w:pPr>
        <w:pStyle w:val="Figure"/>
        <w:numPr>
          <w:ilvl w:val="0"/>
          <w:numId w:val="0"/>
        </w:numPr>
        <w:rPr>
          <w:rFonts w:asciiTheme="majorHAnsi" w:hAnsiTheme="majorHAnsi" w:cstheme="majorBidi"/>
          <w:color w:val="auto"/>
        </w:rPr>
      </w:pPr>
      <w:r w:rsidRPr="5583D54B">
        <w:rPr>
          <w:rFonts w:asciiTheme="majorHAnsi" w:hAnsiTheme="majorHAnsi" w:cstheme="majorBidi"/>
          <w:color w:val="auto"/>
        </w:rPr>
        <w:t xml:space="preserve">Figure </w:t>
      </w:r>
      <w:r w:rsidRPr="5583D54B">
        <w:rPr>
          <w:rFonts w:asciiTheme="majorHAnsi" w:hAnsiTheme="majorHAnsi" w:cstheme="majorBidi"/>
          <w:color w:val="auto"/>
        </w:rPr>
        <w:fldChar w:fldCharType="begin"/>
      </w:r>
      <w:r w:rsidRPr="5583D54B">
        <w:rPr>
          <w:rFonts w:asciiTheme="majorHAnsi" w:hAnsiTheme="majorHAnsi" w:cstheme="majorBidi"/>
          <w:color w:val="auto"/>
        </w:rPr>
        <w:instrText xml:space="preserve"> SEQ Figure \* ARABIC </w:instrText>
      </w:r>
      <w:r w:rsidRPr="5583D54B">
        <w:rPr>
          <w:rFonts w:asciiTheme="majorHAnsi" w:hAnsiTheme="majorHAnsi" w:cstheme="majorBidi"/>
          <w:color w:val="auto"/>
        </w:rPr>
        <w:fldChar w:fldCharType="separate"/>
      </w:r>
      <w:r w:rsidR="009A4647">
        <w:rPr>
          <w:rFonts w:asciiTheme="majorHAnsi" w:hAnsiTheme="majorHAnsi" w:cstheme="majorBidi"/>
          <w:noProof/>
          <w:color w:val="auto"/>
        </w:rPr>
        <w:t>1</w:t>
      </w:r>
      <w:r w:rsidRPr="5583D54B">
        <w:rPr>
          <w:rFonts w:asciiTheme="majorHAnsi" w:hAnsiTheme="majorHAnsi" w:cstheme="majorBidi"/>
          <w:color w:val="auto"/>
        </w:rPr>
        <w:fldChar w:fldCharType="end"/>
      </w:r>
      <w:r w:rsidRPr="5583D54B">
        <w:rPr>
          <w:rFonts w:asciiTheme="majorHAnsi" w:hAnsiTheme="majorHAnsi" w:cstheme="majorBidi"/>
          <w:color w:val="auto"/>
        </w:rPr>
        <w:t xml:space="preserve"> Value for Money Indicators</w:t>
      </w:r>
      <w:r w:rsidRPr="5583D54B">
        <w:rPr>
          <w:rStyle w:val="FootnoteReference"/>
          <w:rFonts w:asciiTheme="majorHAnsi" w:hAnsiTheme="majorHAnsi" w:cstheme="majorBidi"/>
          <w:color w:val="auto"/>
        </w:rPr>
        <w:footnoteReference w:id="12"/>
      </w:r>
      <w:r w:rsidRPr="5583D54B">
        <w:rPr>
          <w:rFonts w:asciiTheme="majorHAnsi" w:hAnsiTheme="majorHAnsi" w:cstheme="majorBidi"/>
          <w:color w:val="auto"/>
          <w:vertAlign w:val="superscript"/>
        </w:rPr>
        <w:t xml:space="preserve"> </w:t>
      </w:r>
      <w:r w:rsidRPr="5583D54B">
        <w:rPr>
          <w:rStyle w:val="FootnoteReference"/>
          <w:rFonts w:asciiTheme="majorHAnsi" w:hAnsiTheme="majorHAnsi" w:cstheme="majorBidi"/>
          <w:color w:val="auto"/>
        </w:rPr>
        <w:footnoteReference w:id="13"/>
      </w:r>
      <w:r w:rsidRPr="5583D54B">
        <w:rPr>
          <w:rStyle w:val="FootnoteReference"/>
          <w:rFonts w:asciiTheme="majorHAnsi" w:hAnsiTheme="majorHAnsi" w:cstheme="majorBidi"/>
          <w:color w:val="auto"/>
          <w:vertAlign w:val="baseline"/>
        </w:rPr>
        <w:t xml:space="preserve">  </w:t>
      </w:r>
    </w:p>
    <w:p w14:paraId="1375F325" w14:textId="4237287C" w:rsidR="001C4BE4" w:rsidRPr="00C64064" w:rsidRDefault="001C4BE4" w:rsidP="00447B58">
      <w:pPr>
        <w:pStyle w:val="Caption"/>
        <w:jc w:val="both"/>
        <w:rPr>
          <w:rFonts w:asciiTheme="majorHAnsi" w:hAnsiTheme="majorHAnsi" w:cstheme="majorHAnsi"/>
          <w:color w:val="FF0000"/>
          <w:lang w:val="en-AU"/>
        </w:rPr>
      </w:pPr>
    </w:p>
    <w:p w14:paraId="067C513A" w14:textId="77777777" w:rsidR="0069376D" w:rsidRPr="00C64064" w:rsidRDefault="0069376D" w:rsidP="001C4BE4">
      <w:pPr>
        <w:spacing w:line="276" w:lineRule="auto"/>
        <w:jc w:val="both"/>
        <w:rPr>
          <w:rFonts w:asciiTheme="majorHAnsi" w:hAnsiTheme="majorHAnsi" w:cstheme="majorHAnsi"/>
          <w:b/>
          <w:color w:val="FF0000"/>
          <w:lang w:val="en-AU"/>
        </w:rPr>
      </w:pPr>
    </w:p>
    <w:p w14:paraId="6F7ABEC2" w14:textId="77777777" w:rsidR="0069376D" w:rsidRPr="00C64064" w:rsidRDefault="0069376D" w:rsidP="001C4BE4">
      <w:pPr>
        <w:spacing w:line="276" w:lineRule="auto"/>
        <w:jc w:val="both"/>
        <w:rPr>
          <w:rFonts w:asciiTheme="majorHAnsi" w:hAnsiTheme="majorHAnsi" w:cstheme="majorHAnsi"/>
          <w:b/>
          <w:color w:val="FF0000"/>
          <w:lang w:val="en-AU"/>
        </w:rPr>
      </w:pPr>
    </w:p>
    <w:p w14:paraId="05D61B2F" w14:textId="77777777" w:rsidR="00D77617" w:rsidRPr="00D77617" w:rsidRDefault="00D77617" w:rsidP="00D77617">
      <w:pPr>
        <w:spacing w:line="276" w:lineRule="auto"/>
        <w:rPr>
          <w:rFonts w:asciiTheme="majorHAnsi" w:hAnsiTheme="majorHAnsi" w:cstheme="majorHAnsi"/>
          <w:bCs/>
          <w:lang w:val="en-AU"/>
        </w:rPr>
      </w:pPr>
      <w:r w:rsidRPr="00D77617">
        <w:rPr>
          <w:rFonts w:asciiTheme="majorHAnsi" w:hAnsiTheme="majorHAnsi" w:cstheme="majorHAnsi"/>
          <w:b/>
          <w:lang w:val="en-AU"/>
        </w:rPr>
        <w:t>Investment leverage (private partners, ISPs, and farmers):</w:t>
      </w:r>
      <w:r w:rsidRPr="00D77617">
        <w:rPr>
          <w:rFonts w:asciiTheme="majorHAnsi" w:hAnsiTheme="majorHAnsi" w:cstheme="majorHAnsi"/>
          <w:bCs/>
          <w:lang w:val="en-AU"/>
        </w:rPr>
        <w:t xml:space="preserve"> PRISMA’s investment leverage is 3.13, which has grown at a compound annual growth rate of 11% since 2019. This means the private sector invests 3.13 dollars for every dollar invested by PRISMA.  As of June 2024, PRISMA had generated AUD306 million in private-sector investment.</w:t>
      </w:r>
    </w:p>
    <w:p w14:paraId="097BDFCA" w14:textId="3D6D73A7" w:rsidR="001C4BE4" w:rsidRDefault="00D77617" w:rsidP="00D77617">
      <w:pPr>
        <w:spacing w:line="276" w:lineRule="auto"/>
        <w:rPr>
          <w:rFonts w:asciiTheme="majorHAnsi" w:hAnsiTheme="majorHAnsi" w:cstheme="majorHAnsi"/>
          <w:b/>
          <w:lang w:val="en-AU"/>
        </w:rPr>
      </w:pPr>
      <w:r w:rsidRPr="00D77617">
        <w:rPr>
          <w:rFonts w:asciiTheme="majorHAnsi" w:hAnsiTheme="majorHAnsi" w:cstheme="majorHAnsi"/>
          <w:bCs/>
          <w:lang w:val="en-AU"/>
        </w:rPr>
        <w:t>This semester’s increase in investment leverage was mainly driven by higher investments, primarily in the beef sector (AUD8.72 million) and the pig sector (AUD3.5 million). Both sectors provided exciting opportunities, with KJUB Puspetasari in Java and Sierad Produce in NTT. Both sectors gained additional farmers' investments from continuing partner business after the partnership with PRISMA ended.</w:t>
      </w:r>
      <w:r w:rsidRPr="00D77617">
        <w:rPr>
          <w:rFonts w:asciiTheme="majorHAnsi" w:hAnsiTheme="majorHAnsi" w:cstheme="majorHAnsi"/>
          <w:b/>
          <w:lang w:val="en-AU"/>
        </w:rPr>
        <w:t xml:space="preserve"> </w:t>
      </w:r>
    </w:p>
    <w:p w14:paraId="2A1065F2" w14:textId="2F3F7B8C" w:rsidR="003A351B" w:rsidRPr="00C64064" w:rsidRDefault="003A351B" w:rsidP="00D77617">
      <w:pPr>
        <w:spacing w:line="276" w:lineRule="auto"/>
        <w:rPr>
          <w:rFonts w:asciiTheme="majorHAnsi" w:hAnsiTheme="majorHAnsi" w:cstheme="majorBidi"/>
          <w:color w:val="FF0000"/>
          <w:lang w:val="en-AU"/>
        </w:rPr>
      </w:pPr>
      <w:r>
        <w:rPr>
          <w:noProof/>
        </w:rPr>
        <w:drawing>
          <wp:inline distT="0" distB="0" distL="0" distR="0" wp14:anchorId="2FEA1A9D" wp14:editId="75DD99DE">
            <wp:extent cx="5953760" cy="3333802"/>
            <wp:effectExtent l="0" t="0" r="8890" b="0"/>
            <wp:docPr id="762090626" name="Chart 1">
              <a:extLst xmlns:a="http://schemas.openxmlformats.org/drawingml/2006/main">
                <a:ext uri="{FF2B5EF4-FFF2-40B4-BE49-F238E27FC236}">
                  <a16:creationId xmlns:a16="http://schemas.microsoft.com/office/drawing/2014/main" id="{240420E9-8CF4-4219-9A89-2910A19084DA}"/>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7044F796" w14:textId="568CD2E4" w:rsidR="001C4BE4" w:rsidRPr="00D77617" w:rsidRDefault="00447B58" w:rsidP="00447B58">
      <w:pPr>
        <w:pStyle w:val="Caption"/>
        <w:rPr>
          <w:rFonts w:asciiTheme="majorHAnsi" w:hAnsiTheme="majorHAnsi" w:cstheme="majorHAnsi"/>
          <w:color w:val="auto"/>
        </w:rPr>
      </w:pPr>
      <w:bookmarkStart w:id="69" w:name="_Toc157160366"/>
      <w:bookmarkStart w:id="70" w:name="_Toc157608411"/>
      <w:r w:rsidRPr="00C64064">
        <w:rPr>
          <w:rFonts w:asciiTheme="majorHAnsi" w:hAnsiTheme="majorHAnsi" w:cstheme="majorHAnsi"/>
        </w:rPr>
        <w:t xml:space="preserve">Figure </w:t>
      </w:r>
      <w:r w:rsidRPr="00D77617">
        <w:rPr>
          <w:rFonts w:asciiTheme="majorHAnsi" w:hAnsiTheme="majorHAnsi" w:cstheme="majorHAnsi"/>
          <w:color w:val="auto"/>
        </w:rPr>
        <w:fldChar w:fldCharType="begin"/>
      </w:r>
      <w:r w:rsidRPr="00D77617">
        <w:rPr>
          <w:rFonts w:asciiTheme="majorHAnsi" w:hAnsiTheme="majorHAnsi" w:cstheme="majorHAnsi"/>
          <w:color w:val="auto"/>
        </w:rPr>
        <w:instrText xml:space="preserve"> SEQ Figure \* ARABIC </w:instrText>
      </w:r>
      <w:r w:rsidRPr="00D77617">
        <w:rPr>
          <w:rFonts w:asciiTheme="majorHAnsi" w:hAnsiTheme="majorHAnsi" w:cstheme="majorHAnsi"/>
          <w:color w:val="auto"/>
        </w:rPr>
        <w:fldChar w:fldCharType="separate"/>
      </w:r>
      <w:r w:rsidR="009A4647">
        <w:rPr>
          <w:rFonts w:asciiTheme="majorHAnsi" w:hAnsiTheme="majorHAnsi" w:cstheme="majorHAnsi"/>
          <w:noProof/>
          <w:color w:val="auto"/>
        </w:rPr>
        <w:t>2</w:t>
      </w:r>
      <w:r w:rsidRPr="00D77617">
        <w:rPr>
          <w:rFonts w:asciiTheme="majorHAnsi" w:hAnsiTheme="majorHAnsi" w:cstheme="majorHAnsi"/>
          <w:color w:val="auto"/>
        </w:rPr>
        <w:fldChar w:fldCharType="end"/>
      </w:r>
      <w:r w:rsidRPr="00D77617">
        <w:rPr>
          <w:rFonts w:asciiTheme="majorHAnsi" w:hAnsiTheme="majorHAnsi" w:cstheme="majorHAnsi"/>
          <w:color w:val="auto"/>
        </w:rPr>
        <w:t xml:space="preserve">. </w:t>
      </w:r>
      <w:r w:rsidR="001C4BE4" w:rsidRPr="00D77617">
        <w:rPr>
          <w:rFonts w:asciiTheme="majorHAnsi" w:hAnsiTheme="majorHAnsi" w:cstheme="majorHAnsi"/>
          <w:color w:val="auto"/>
        </w:rPr>
        <w:t xml:space="preserve">Investment leverage (private partners, ISPs, and </w:t>
      </w:r>
      <w:r w:rsidR="0041270F" w:rsidRPr="00D77617">
        <w:rPr>
          <w:rFonts w:asciiTheme="majorHAnsi" w:hAnsiTheme="majorHAnsi" w:cstheme="majorHAnsi"/>
          <w:color w:val="auto"/>
        </w:rPr>
        <w:t>f</w:t>
      </w:r>
      <w:r w:rsidR="001C4BE4" w:rsidRPr="00D77617">
        <w:rPr>
          <w:rFonts w:asciiTheme="majorHAnsi" w:hAnsiTheme="majorHAnsi" w:cstheme="majorHAnsi"/>
          <w:color w:val="auto"/>
        </w:rPr>
        <w:t>armers)</w:t>
      </w:r>
      <w:bookmarkEnd w:id="69"/>
      <w:bookmarkEnd w:id="70"/>
      <w:r w:rsidR="001C4BE4" w:rsidRPr="00D77617">
        <w:rPr>
          <w:rFonts w:asciiTheme="majorHAnsi" w:hAnsiTheme="majorHAnsi" w:cstheme="majorHAnsi"/>
          <w:color w:val="auto"/>
        </w:rPr>
        <w:t xml:space="preserve">  </w:t>
      </w:r>
    </w:p>
    <w:p w14:paraId="20DB1FF8" w14:textId="77777777" w:rsidR="001C4BE4" w:rsidRPr="00C64064" w:rsidRDefault="001C4BE4" w:rsidP="001C4BE4">
      <w:pPr>
        <w:spacing w:line="276" w:lineRule="auto"/>
        <w:jc w:val="both"/>
        <w:rPr>
          <w:rFonts w:asciiTheme="majorHAnsi" w:hAnsiTheme="majorHAnsi" w:cstheme="majorHAnsi"/>
          <w:color w:val="FF0000"/>
          <w:lang w:val="en-AU"/>
        </w:rPr>
      </w:pPr>
    </w:p>
    <w:p w14:paraId="1247C078" w14:textId="098D6797" w:rsidR="00192DF5" w:rsidRPr="00192DF5" w:rsidRDefault="00192DF5" w:rsidP="00192DF5">
      <w:pPr>
        <w:pStyle w:val="Caption"/>
        <w:rPr>
          <w:rFonts w:asciiTheme="majorHAnsi" w:eastAsiaTheme="minorEastAsia" w:hAnsiTheme="majorHAnsi" w:cstheme="majorHAnsi"/>
          <w:bCs/>
          <w:color w:val="auto"/>
          <w:sz w:val="22"/>
          <w:szCs w:val="22"/>
          <w:lang w:val="en-AU" w:eastAsia="en-GB"/>
        </w:rPr>
      </w:pPr>
      <w:r w:rsidRPr="00192DF5">
        <w:rPr>
          <w:rFonts w:asciiTheme="majorHAnsi" w:eastAsiaTheme="minorEastAsia" w:hAnsiTheme="majorHAnsi" w:cstheme="majorHAnsi"/>
          <w:b/>
          <w:color w:val="auto"/>
          <w:sz w:val="22"/>
          <w:szCs w:val="22"/>
          <w:lang w:val="en-AU" w:eastAsia="en-GB"/>
        </w:rPr>
        <w:t>Social return on investment (SROI):</w:t>
      </w:r>
      <w:r w:rsidRPr="00192DF5">
        <w:rPr>
          <w:rFonts w:asciiTheme="majorHAnsi" w:eastAsiaTheme="minorEastAsia" w:hAnsiTheme="majorHAnsi" w:cstheme="majorHAnsi"/>
          <w:bCs/>
          <w:color w:val="auto"/>
          <w:sz w:val="22"/>
          <w:szCs w:val="22"/>
          <w:lang w:val="en-AU" w:eastAsia="en-GB"/>
        </w:rPr>
        <w:t xml:space="preserve"> There was a minor decrease in SROI, bringing it to 9.49 this semester, lower than the last 3 semesters. PRISMA’s SROI appears to have plateaued with an average of 9.58 over the past 4 semesters. This is 68% higher than the next highest SROI (5.69 in semester 1 of 2022). The SROI is the ratio of the actual value of additional money farming households are getting against PRISMA’s total intervention costs</w:t>
      </w:r>
      <w:r w:rsidRPr="00450972">
        <w:rPr>
          <w:rFonts w:asciiTheme="majorHAnsi" w:eastAsiaTheme="minorEastAsia" w:hAnsiTheme="majorHAnsi" w:cstheme="majorHAnsi"/>
          <w:bCs/>
          <w:color w:val="auto"/>
          <w:sz w:val="22"/>
          <w:szCs w:val="22"/>
          <w:lang w:val="en-AU" w:eastAsia="en-GB"/>
        </w:rPr>
        <w:t>. In other words, for every dollar PRISMA spends on an intervention, farmers will have a 9.58 dollar increase in net income.</w:t>
      </w:r>
      <w:r w:rsidRPr="00192DF5">
        <w:rPr>
          <w:rFonts w:asciiTheme="majorHAnsi" w:eastAsiaTheme="minorEastAsia" w:hAnsiTheme="majorHAnsi" w:cstheme="majorHAnsi"/>
          <w:bCs/>
          <w:color w:val="auto"/>
          <w:sz w:val="22"/>
          <w:szCs w:val="22"/>
          <w:lang w:val="en-AU" w:eastAsia="en-GB"/>
        </w:rPr>
        <w:t xml:space="preserve"> </w:t>
      </w:r>
      <w:r w:rsidRPr="00192DF5">
        <w:rPr>
          <w:rFonts w:asciiTheme="majorHAnsi" w:eastAsiaTheme="minorEastAsia" w:hAnsiTheme="majorHAnsi" w:cstheme="majorHAnsi"/>
          <w:bCs/>
          <w:color w:val="auto"/>
          <w:sz w:val="22"/>
          <w:szCs w:val="22"/>
          <w:lang w:val="en-AU" w:eastAsia="en-GB"/>
        </w:rPr>
        <w:br/>
      </w:r>
    </w:p>
    <w:p w14:paraId="459B629D" w14:textId="77777777" w:rsidR="00192DF5" w:rsidRPr="00192DF5" w:rsidRDefault="00192DF5" w:rsidP="00192DF5">
      <w:pPr>
        <w:pStyle w:val="Caption"/>
        <w:rPr>
          <w:rFonts w:asciiTheme="majorHAnsi" w:eastAsiaTheme="minorEastAsia" w:hAnsiTheme="majorHAnsi" w:cstheme="majorHAnsi"/>
          <w:bCs/>
          <w:color w:val="auto"/>
          <w:sz w:val="22"/>
          <w:szCs w:val="22"/>
          <w:lang w:val="en-AU" w:eastAsia="en-GB"/>
        </w:rPr>
      </w:pPr>
      <w:r w:rsidRPr="00192DF5">
        <w:rPr>
          <w:rFonts w:asciiTheme="majorHAnsi" w:eastAsiaTheme="minorEastAsia" w:hAnsiTheme="majorHAnsi" w:cstheme="majorHAnsi"/>
          <w:bCs/>
          <w:color w:val="auto"/>
          <w:sz w:val="22"/>
          <w:szCs w:val="22"/>
          <w:lang w:val="en-AU" w:eastAsia="en-GB"/>
        </w:rPr>
        <w:t>This semester’s slight decrease was driven by the lower increase in net income (AUD25.3 million) compared to the previous semester (AUD 68.9 million in semester 3 of 2023) because PRISMA has ended its implementations since December 2023. However, we can see that the mechanization and mung bean sectors can provide higher SROI than last semester. The mechanization made a 27% higher SROI of 4.35 compared to 3.43 in the last semester (semester 2 of 2023). Meanwhile, the mung bean sector gained a slightly higher SROI of 31% (SROI 9.81) compared to 7.51 in the last semester (semester 2 of 2023).</w:t>
      </w:r>
    </w:p>
    <w:p w14:paraId="43EE771B" w14:textId="77777777" w:rsidR="00192DF5" w:rsidRPr="00192DF5" w:rsidRDefault="00192DF5" w:rsidP="00192DF5">
      <w:pPr>
        <w:rPr>
          <w:lang w:val="en-AU"/>
        </w:rPr>
      </w:pPr>
    </w:p>
    <w:p w14:paraId="07F1E72B" w14:textId="752303DD" w:rsidR="001C4BE4" w:rsidRPr="00192DF5" w:rsidRDefault="00192DF5" w:rsidP="00192DF5">
      <w:pPr>
        <w:pStyle w:val="Caption"/>
        <w:rPr>
          <w:rFonts w:asciiTheme="majorHAnsi" w:hAnsiTheme="majorHAnsi" w:cstheme="majorHAnsi"/>
          <w:bCs/>
          <w:color w:val="auto"/>
        </w:rPr>
      </w:pPr>
      <w:r w:rsidRPr="00192DF5">
        <w:rPr>
          <w:rFonts w:asciiTheme="majorHAnsi" w:eastAsiaTheme="minorEastAsia" w:hAnsiTheme="majorHAnsi" w:cstheme="majorHAnsi"/>
          <w:bCs/>
          <w:color w:val="auto"/>
          <w:sz w:val="22"/>
          <w:szCs w:val="22"/>
          <w:lang w:val="en-AU" w:eastAsia="en-GB"/>
        </w:rPr>
        <w:lastRenderedPageBreak/>
        <w:t>From the mechanization sector, we get additional beneficiaries from partnerships with PT Rutan, Pilar Agri, and Galaxy, increasing the overall net income. In the mung bean sector, the partnership with CV Bunga Tani Sejahtera netting additional income increase from its beneficiaries.</w:t>
      </w:r>
    </w:p>
    <w:p w14:paraId="663E1A36" w14:textId="77777777" w:rsidR="001C4BE4" w:rsidRPr="00C64064" w:rsidRDefault="001C4BE4" w:rsidP="001C4BE4">
      <w:pPr>
        <w:pStyle w:val="Caption"/>
        <w:rPr>
          <w:rFonts w:asciiTheme="majorHAnsi" w:hAnsiTheme="majorHAnsi" w:cstheme="majorHAnsi"/>
          <w:color w:val="FF0000"/>
        </w:rPr>
      </w:pPr>
      <w:bookmarkStart w:id="71" w:name="_Toc157160367"/>
    </w:p>
    <w:p w14:paraId="77806F4B" w14:textId="77777777" w:rsidR="001C4BE4" w:rsidRPr="00C64064" w:rsidRDefault="001C4BE4" w:rsidP="001C4BE4">
      <w:pPr>
        <w:pStyle w:val="Caption"/>
        <w:rPr>
          <w:rFonts w:asciiTheme="majorHAnsi" w:hAnsiTheme="majorHAnsi" w:cstheme="majorHAnsi"/>
          <w:color w:val="FF0000"/>
        </w:rPr>
      </w:pPr>
    </w:p>
    <w:p w14:paraId="7FD05F75" w14:textId="5CAD7139" w:rsidR="001C4BE4" w:rsidRPr="00192DF5" w:rsidRDefault="00265306" w:rsidP="00447B58">
      <w:pPr>
        <w:pStyle w:val="Caption"/>
        <w:rPr>
          <w:rFonts w:asciiTheme="majorHAnsi" w:hAnsiTheme="majorHAnsi" w:cstheme="majorHAnsi"/>
          <w:color w:val="auto"/>
        </w:rPr>
      </w:pPr>
      <w:bookmarkStart w:id="72" w:name="_Toc157608412"/>
      <w:r>
        <w:rPr>
          <w:noProof/>
        </w:rPr>
        <w:drawing>
          <wp:inline distT="0" distB="0" distL="0" distR="0" wp14:anchorId="5F78237A" wp14:editId="0EB06E25">
            <wp:extent cx="5953760" cy="3075501"/>
            <wp:effectExtent l="0" t="0" r="8890" b="0"/>
            <wp:docPr id="677076868" name="Chart 1" descr="Social return on investment">
              <a:extLst xmlns:a="http://schemas.openxmlformats.org/drawingml/2006/main">
                <a:ext uri="{FF2B5EF4-FFF2-40B4-BE49-F238E27FC236}">
                  <a16:creationId xmlns:a16="http://schemas.microsoft.com/office/drawing/2014/main" id="{87F20BF4-90A8-4AC5-A3DE-F753C4E682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r w:rsidR="00447B58" w:rsidRPr="00192DF5">
        <w:rPr>
          <w:rFonts w:asciiTheme="majorHAnsi" w:hAnsiTheme="majorHAnsi" w:cstheme="majorHAnsi"/>
          <w:color w:val="auto"/>
        </w:rPr>
        <w:t xml:space="preserve">Figure </w:t>
      </w:r>
      <w:r w:rsidR="00447B58" w:rsidRPr="00192DF5">
        <w:rPr>
          <w:rFonts w:asciiTheme="majorHAnsi" w:hAnsiTheme="majorHAnsi" w:cstheme="majorHAnsi"/>
          <w:color w:val="auto"/>
        </w:rPr>
        <w:fldChar w:fldCharType="begin"/>
      </w:r>
      <w:r w:rsidR="00447B58" w:rsidRPr="00192DF5">
        <w:rPr>
          <w:rFonts w:asciiTheme="majorHAnsi" w:hAnsiTheme="majorHAnsi" w:cstheme="majorHAnsi"/>
          <w:color w:val="auto"/>
        </w:rPr>
        <w:instrText xml:space="preserve"> SEQ Figure \* ARABIC </w:instrText>
      </w:r>
      <w:r w:rsidR="00447B58" w:rsidRPr="00192DF5">
        <w:rPr>
          <w:rFonts w:asciiTheme="majorHAnsi" w:hAnsiTheme="majorHAnsi" w:cstheme="majorHAnsi"/>
          <w:color w:val="auto"/>
        </w:rPr>
        <w:fldChar w:fldCharType="separate"/>
      </w:r>
      <w:r w:rsidR="009A4647">
        <w:rPr>
          <w:rFonts w:asciiTheme="majorHAnsi" w:hAnsiTheme="majorHAnsi" w:cstheme="majorHAnsi"/>
          <w:noProof/>
          <w:color w:val="auto"/>
        </w:rPr>
        <w:t>3</w:t>
      </w:r>
      <w:r w:rsidR="00447B58" w:rsidRPr="00192DF5">
        <w:rPr>
          <w:rFonts w:asciiTheme="majorHAnsi" w:hAnsiTheme="majorHAnsi" w:cstheme="majorHAnsi"/>
          <w:color w:val="auto"/>
        </w:rPr>
        <w:fldChar w:fldCharType="end"/>
      </w:r>
      <w:r w:rsidR="00447B58" w:rsidRPr="00192DF5">
        <w:rPr>
          <w:rFonts w:asciiTheme="majorHAnsi" w:hAnsiTheme="majorHAnsi" w:cstheme="majorHAnsi"/>
          <w:color w:val="auto"/>
        </w:rPr>
        <w:t xml:space="preserve">. </w:t>
      </w:r>
      <w:r w:rsidR="001C4BE4" w:rsidRPr="00192DF5">
        <w:rPr>
          <w:rFonts w:asciiTheme="majorHAnsi" w:hAnsiTheme="majorHAnsi" w:cstheme="majorHAnsi"/>
          <w:color w:val="auto"/>
        </w:rPr>
        <w:t>Social return on investment</w:t>
      </w:r>
      <w:bookmarkEnd w:id="71"/>
      <w:bookmarkEnd w:id="72"/>
    </w:p>
    <w:p w14:paraId="77EB14EB" w14:textId="77777777" w:rsidR="001C4BE4" w:rsidRPr="00BC5821" w:rsidRDefault="001C4BE4" w:rsidP="001C4BE4">
      <w:pPr>
        <w:spacing w:line="276" w:lineRule="auto"/>
        <w:jc w:val="both"/>
        <w:rPr>
          <w:rFonts w:asciiTheme="majorHAnsi" w:hAnsiTheme="majorHAnsi" w:cstheme="majorHAnsi"/>
          <w:lang w:val="en-AU"/>
        </w:rPr>
      </w:pPr>
    </w:p>
    <w:p w14:paraId="29F30ED3" w14:textId="77777777" w:rsidR="00BC5821" w:rsidRPr="00BC5821" w:rsidRDefault="00BC5821" w:rsidP="00BC5821">
      <w:pPr>
        <w:pStyle w:val="Caption"/>
        <w:rPr>
          <w:rFonts w:asciiTheme="majorHAnsi" w:eastAsiaTheme="minorEastAsia" w:hAnsiTheme="majorHAnsi" w:cstheme="majorHAnsi"/>
          <w:bCs/>
          <w:color w:val="auto"/>
          <w:sz w:val="22"/>
          <w:szCs w:val="22"/>
          <w:lang w:val="en-AU" w:eastAsia="en-GB"/>
        </w:rPr>
      </w:pPr>
      <w:bookmarkStart w:id="73" w:name="_Toc157160368"/>
      <w:r w:rsidRPr="00BC5821">
        <w:rPr>
          <w:rFonts w:asciiTheme="majorHAnsi" w:eastAsiaTheme="minorEastAsia" w:hAnsiTheme="majorHAnsi" w:cstheme="majorHAnsi"/>
          <w:b/>
          <w:color w:val="auto"/>
          <w:sz w:val="22"/>
          <w:szCs w:val="22"/>
          <w:lang w:val="en-AU" w:eastAsia="en-GB"/>
        </w:rPr>
        <w:t>Investment per farming household:</w:t>
      </w:r>
      <w:r w:rsidRPr="00BC5821">
        <w:rPr>
          <w:rFonts w:asciiTheme="majorHAnsi" w:eastAsiaTheme="minorEastAsia" w:hAnsiTheme="majorHAnsi" w:cstheme="majorHAnsi"/>
          <w:bCs/>
          <w:color w:val="auto"/>
          <w:sz w:val="22"/>
          <w:szCs w:val="22"/>
          <w:lang w:val="en-AU" w:eastAsia="en-GB"/>
        </w:rPr>
        <w:t xml:space="preserve"> This indicator also remained relatively constant, with investment per farming household at AUD65.91 this semester and an average of AUD65.2 over the past four semesters. This is 35% lower than the next lowest (AUD101.1 in semester 1 of 2022). A lower figure indicates that PRISMA’s interventions are becoming more efficient in delivering returns to farmers.</w:t>
      </w:r>
    </w:p>
    <w:p w14:paraId="10EB12E9" w14:textId="77777777" w:rsidR="00BC5821" w:rsidRPr="00BC5821" w:rsidRDefault="00BC5821" w:rsidP="00BC5821">
      <w:pPr>
        <w:rPr>
          <w:lang w:val="en-AU"/>
        </w:rPr>
      </w:pPr>
    </w:p>
    <w:p w14:paraId="63531ABA" w14:textId="6C8C71A4" w:rsidR="001C4BE4" w:rsidRPr="00BC5821" w:rsidRDefault="00BC5821" w:rsidP="00BC5821">
      <w:pPr>
        <w:pStyle w:val="Caption"/>
        <w:rPr>
          <w:rFonts w:asciiTheme="majorHAnsi" w:hAnsiTheme="majorHAnsi" w:cstheme="majorHAnsi"/>
          <w:bCs/>
          <w:color w:val="auto"/>
        </w:rPr>
      </w:pPr>
      <w:r w:rsidRPr="00BC5821">
        <w:rPr>
          <w:rFonts w:asciiTheme="majorHAnsi" w:eastAsiaTheme="minorEastAsia" w:hAnsiTheme="majorHAnsi" w:cstheme="majorHAnsi"/>
          <w:bCs/>
          <w:color w:val="auto"/>
          <w:sz w:val="22"/>
          <w:szCs w:val="22"/>
          <w:lang w:val="en-AU" w:eastAsia="en-GB"/>
        </w:rPr>
        <w:t>In Phase 1, PRISMA needed to invest an average of AUD690 to benefit one farming household, with a peak reaching AUD1,300 in S2 of 2014. Initially, when companies were unfamiliar with PRISMA and its approach, PRISMA had to invest more funds to convince partners to work with the program. At that time, PRISMA mainly conducted small-scale pilot activities with limited outreach. As PRISMA began demonstrating positive results from its interventions and gained experience in the most efficient ways to reach farmers (for example, what promotional channels to use and what types of messaging work best), it became easier to attract new partners and scale up proven innovations. This led to a reduction of PRISMA’s contributions to partnership costs and exponential growth in outreach as partners began scaling up business models and copying innovations in new areas. As a result, PRISMA has significantly lowered its investment per farming household over time, achieving greater outreach for every dollar it spends.</w:t>
      </w:r>
    </w:p>
    <w:p w14:paraId="06353527" w14:textId="77777777" w:rsidR="001C4BE4" w:rsidRPr="00C64064" w:rsidRDefault="001C4BE4" w:rsidP="001C4BE4">
      <w:pPr>
        <w:pStyle w:val="Caption"/>
        <w:rPr>
          <w:rFonts w:asciiTheme="majorHAnsi" w:hAnsiTheme="majorHAnsi" w:cstheme="majorHAnsi"/>
          <w:color w:val="FF0000"/>
        </w:rPr>
      </w:pPr>
    </w:p>
    <w:p w14:paraId="4244DC01" w14:textId="77777777" w:rsidR="001C4BE4" w:rsidRPr="00C64064" w:rsidRDefault="001C4BE4" w:rsidP="001C4BE4">
      <w:pPr>
        <w:pStyle w:val="Caption"/>
        <w:rPr>
          <w:rFonts w:asciiTheme="majorHAnsi" w:hAnsiTheme="majorHAnsi" w:cstheme="majorHAnsi"/>
        </w:rPr>
      </w:pPr>
    </w:p>
    <w:p w14:paraId="66B8ED19" w14:textId="77777777" w:rsidR="001C4BE4" w:rsidRPr="00C64064" w:rsidRDefault="001C4BE4" w:rsidP="001C4BE4">
      <w:pPr>
        <w:pStyle w:val="Caption"/>
        <w:rPr>
          <w:rFonts w:asciiTheme="majorHAnsi" w:hAnsiTheme="majorHAnsi" w:cstheme="majorHAnsi"/>
        </w:rPr>
      </w:pPr>
    </w:p>
    <w:p w14:paraId="5F6CD702" w14:textId="77777777" w:rsidR="001C4BE4" w:rsidRPr="00C64064" w:rsidRDefault="001C4BE4" w:rsidP="001C4BE4">
      <w:pPr>
        <w:pStyle w:val="Caption"/>
        <w:rPr>
          <w:rFonts w:asciiTheme="majorHAnsi" w:hAnsiTheme="majorHAnsi" w:cstheme="majorHAnsi"/>
        </w:rPr>
      </w:pPr>
    </w:p>
    <w:p w14:paraId="6D815C63" w14:textId="77777777" w:rsidR="001C4BE4" w:rsidRPr="00C64064" w:rsidRDefault="001C4BE4" w:rsidP="001C4BE4">
      <w:pPr>
        <w:pStyle w:val="Caption"/>
        <w:rPr>
          <w:rFonts w:asciiTheme="majorHAnsi" w:hAnsiTheme="majorHAnsi" w:cstheme="majorHAnsi"/>
        </w:rPr>
      </w:pPr>
    </w:p>
    <w:p w14:paraId="16C23B0D" w14:textId="77777777" w:rsidR="001C4BE4" w:rsidRPr="00C64064" w:rsidRDefault="001C4BE4" w:rsidP="001C4BE4">
      <w:pPr>
        <w:pStyle w:val="Caption"/>
        <w:rPr>
          <w:rFonts w:asciiTheme="majorHAnsi" w:hAnsiTheme="majorHAnsi" w:cstheme="majorHAnsi"/>
        </w:rPr>
      </w:pPr>
    </w:p>
    <w:p w14:paraId="34602994" w14:textId="77777777" w:rsidR="001C4BE4" w:rsidRPr="00C64064" w:rsidRDefault="001C4BE4" w:rsidP="001C4BE4">
      <w:pPr>
        <w:pStyle w:val="Caption"/>
        <w:rPr>
          <w:rFonts w:asciiTheme="majorHAnsi" w:hAnsiTheme="majorHAnsi" w:cstheme="majorHAnsi"/>
        </w:rPr>
      </w:pPr>
    </w:p>
    <w:p w14:paraId="6827F405" w14:textId="4E3B7D90" w:rsidR="001C4BE4" w:rsidRPr="00C64064" w:rsidRDefault="0090728D" w:rsidP="001C4BE4">
      <w:pPr>
        <w:pStyle w:val="Caption"/>
        <w:rPr>
          <w:rFonts w:asciiTheme="majorHAnsi" w:hAnsiTheme="majorHAnsi" w:cstheme="majorBidi"/>
          <w:color w:val="FF0000"/>
          <w:sz w:val="22"/>
          <w:szCs w:val="22"/>
        </w:rPr>
      </w:pPr>
      <w:r>
        <w:rPr>
          <w:noProof/>
        </w:rPr>
        <w:lastRenderedPageBreak/>
        <w:drawing>
          <wp:inline distT="0" distB="0" distL="0" distR="0" wp14:anchorId="47361094" wp14:editId="37D1E030">
            <wp:extent cx="5953760" cy="3473027"/>
            <wp:effectExtent l="0" t="0" r="8890" b="0"/>
            <wp:docPr id="123827679" name="Chart 1">
              <a:extLst xmlns:a="http://schemas.openxmlformats.org/drawingml/2006/main">
                <a:ext uri="{FF2B5EF4-FFF2-40B4-BE49-F238E27FC236}">
                  <a16:creationId xmlns:a16="http://schemas.microsoft.com/office/drawing/2014/main" id="{872D9464-834E-4CBB-918A-52AFCB2EF94F}"/>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5FC95B2D" w14:textId="48E07F46" w:rsidR="001C4BE4" w:rsidRPr="00BC5821" w:rsidRDefault="00447B58" w:rsidP="00447B58">
      <w:pPr>
        <w:pStyle w:val="Caption"/>
        <w:rPr>
          <w:rFonts w:asciiTheme="majorHAnsi" w:hAnsiTheme="majorHAnsi" w:cstheme="majorHAnsi"/>
          <w:color w:val="auto"/>
        </w:rPr>
      </w:pPr>
      <w:bookmarkStart w:id="74" w:name="_Toc157608413"/>
      <w:r w:rsidRPr="00C64064">
        <w:rPr>
          <w:rFonts w:asciiTheme="majorHAnsi" w:hAnsiTheme="majorHAnsi" w:cstheme="majorHAnsi"/>
        </w:rPr>
        <w:t xml:space="preserve">Figure </w:t>
      </w:r>
      <w:r w:rsidRPr="00C64064">
        <w:rPr>
          <w:rFonts w:asciiTheme="majorHAnsi" w:hAnsiTheme="majorHAnsi" w:cstheme="majorHAnsi"/>
        </w:rPr>
        <w:fldChar w:fldCharType="begin"/>
      </w:r>
      <w:r w:rsidRPr="00C64064">
        <w:rPr>
          <w:rFonts w:asciiTheme="majorHAnsi" w:hAnsiTheme="majorHAnsi" w:cstheme="majorHAnsi"/>
        </w:rPr>
        <w:instrText xml:space="preserve"> SEQ Figure \* ARABIC </w:instrText>
      </w:r>
      <w:r w:rsidRPr="00C64064">
        <w:rPr>
          <w:rFonts w:asciiTheme="majorHAnsi" w:hAnsiTheme="majorHAnsi" w:cstheme="majorHAnsi"/>
        </w:rPr>
        <w:fldChar w:fldCharType="separate"/>
      </w:r>
      <w:r w:rsidR="009A4647">
        <w:rPr>
          <w:rFonts w:asciiTheme="majorHAnsi" w:hAnsiTheme="majorHAnsi" w:cstheme="majorHAnsi"/>
          <w:noProof/>
        </w:rPr>
        <w:t>4</w:t>
      </w:r>
      <w:r w:rsidRPr="00C64064">
        <w:rPr>
          <w:rFonts w:asciiTheme="majorHAnsi" w:hAnsiTheme="majorHAnsi" w:cstheme="majorHAnsi"/>
        </w:rPr>
        <w:fldChar w:fldCharType="end"/>
      </w:r>
      <w:r w:rsidRPr="00C64064">
        <w:rPr>
          <w:rFonts w:asciiTheme="majorHAnsi" w:hAnsiTheme="majorHAnsi" w:cstheme="majorHAnsi"/>
        </w:rPr>
        <w:t xml:space="preserve">. </w:t>
      </w:r>
      <w:r w:rsidR="001C4BE4" w:rsidRPr="00BC5821">
        <w:rPr>
          <w:rFonts w:asciiTheme="majorHAnsi" w:hAnsiTheme="majorHAnsi" w:cstheme="majorHAnsi"/>
          <w:color w:val="auto"/>
        </w:rPr>
        <w:t>Investment per farming household</w:t>
      </w:r>
      <w:bookmarkEnd w:id="73"/>
      <w:bookmarkEnd w:id="74"/>
    </w:p>
    <w:p w14:paraId="3B732497" w14:textId="10BFBF26" w:rsidR="001C4BE4" w:rsidRPr="00BC5821" w:rsidRDefault="001C4BE4" w:rsidP="001C4BE4">
      <w:pPr>
        <w:pStyle w:val="Head2"/>
        <w:numPr>
          <w:ilvl w:val="0"/>
          <w:numId w:val="0"/>
        </w:numPr>
        <w:ind w:left="14"/>
        <w:rPr>
          <w:rFonts w:eastAsiaTheme="minorEastAsia" w:cstheme="majorHAnsi"/>
          <w:b w:val="0"/>
          <w:bCs w:val="0"/>
          <w:i/>
          <w:iCs/>
          <w:color w:val="auto"/>
          <w:sz w:val="22"/>
          <w:szCs w:val="22"/>
          <w:lang w:val="en-US"/>
        </w:rPr>
      </w:pPr>
      <w:bookmarkStart w:id="75" w:name="_Toc172274365"/>
      <w:bookmarkStart w:id="76" w:name="_Toc172797526"/>
      <w:bookmarkStart w:id="77" w:name="_Toc172823290"/>
      <w:bookmarkStart w:id="78" w:name="_Toc173318306"/>
      <w:bookmarkStart w:id="79" w:name="_Toc179192298"/>
      <w:bookmarkStart w:id="80" w:name="_Toc180155163"/>
      <w:r w:rsidRPr="00BC5821">
        <w:rPr>
          <w:rFonts w:eastAsiaTheme="minorEastAsia" w:cstheme="majorHAnsi"/>
          <w:b w:val="0"/>
          <w:bCs w:val="0"/>
          <w:i/>
          <w:iCs/>
          <w:color w:val="auto"/>
          <w:sz w:val="22"/>
          <w:szCs w:val="22"/>
          <w:lang w:val="en-US"/>
        </w:rPr>
        <w:t>The direct intervention costs can be found in Annex 2: Detailed key performance indicators.</w:t>
      </w:r>
      <w:bookmarkEnd w:id="75"/>
      <w:bookmarkEnd w:id="76"/>
      <w:bookmarkEnd w:id="77"/>
      <w:bookmarkEnd w:id="78"/>
      <w:bookmarkEnd w:id="79"/>
      <w:bookmarkEnd w:id="80"/>
    </w:p>
    <w:p w14:paraId="1B27ACC4" w14:textId="77777777" w:rsidR="00BE2F6F" w:rsidRPr="00A342EE" w:rsidRDefault="00BE2F6F" w:rsidP="00BE2F6F">
      <w:pPr>
        <w:pStyle w:val="Head2"/>
      </w:pPr>
      <w:bookmarkStart w:id="81" w:name="_Toc180155164"/>
      <w:r w:rsidRPr="00A342EE">
        <w:t>Collaborations</w:t>
      </w:r>
      <w:bookmarkEnd w:id="81"/>
      <w:r w:rsidRPr="00A342EE">
        <w:tab/>
      </w:r>
    </w:p>
    <w:p w14:paraId="5C1B9D10" w14:textId="77777777" w:rsidR="00BE2F6F" w:rsidRPr="00C64064" w:rsidRDefault="00BE2F6F" w:rsidP="00BE2F6F">
      <w:pPr>
        <w:pStyle w:val="Body"/>
        <w:rPr>
          <w:rFonts w:asciiTheme="majorHAnsi" w:hAnsiTheme="majorHAnsi" w:cstheme="majorHAnsi"/>
          <w:lang w:val="en-US"/>
        </w:rPr>
      </w:pPr>
      <w:r w:rsidRPr="00C64064">
        <w:rPr>
          <w:rFonts w:asciiTheme="majorHAnsi" w:hAnsiTheme="majorHAnsi" w:cstheme="majorHAnsi"/>
        </w:rPr>
        <w:t>Collaboration facilitates the efficient allocation of resources, enabling the seizure of opportunities that may be beyond the reach of any single organisation. This semester, PRISMA collaborated with a DFAT program, the World Bank, and the Partnership for Indonesia's Sustainable Agriculture (PISAgro).</w:t>
      </w:r>
      <w:r w:rsidRPr="00C64064">
        <w:rPr>
          <w:rFonts w:asciiTheme="majorHAnsi" w:hAnsiTheme="majorHAnsi" w:cstheme="majorHAnsi"/>
          <w:lang w:val="en-US"/>
        </w:rPr>
        <w:t> </w:t>
      </w:r>
    </w:p>
    <w:p w14:paraId="2A65620E" w14:textId="77777777" w:rsidR="00BE2F6F" w:rsidRPr="00C64064" w:rsidRDefault="00BE2F6F" w:rsidP="00B03C3A">
      <w:pPr>
        <w:pStyle w:val="Head3"/>
        <w:rPr>
          <w:lang w:val="en-US"/>
        </w:rPr>
      </w:pPr>
      <w:bookmarkStart w:id="82" w:name="_Toc173318308"/>
      <w:bookmarkStart w:id="83" w:name="_Toc179192300"/>
      <w:bookmarkStart w:id="84" w:name="_Toc180155165"/>
      <w:r w:rsidRPr="00C64064">
        <w:t>Australia Indonesia Partnership for Economic Development (Prospera)</w:t>
      </w:r>
      <w:bookmarkEnd w:id="82"/>
      <w:bookmarkEnd w:id="83"/>
      <w:bookmarkEnd w:id="84"/>
      <w:r w:rsidRPr="00C64064">
        <w:t> </w:t>
      </w:r>
      <w:r w:rsidRPr="00C64064">
        <w:rPr>
          <w:lang w:val="en-US"/>
        </w:rPr>
        <w:t> </w:t>
      </w:r>
    </w:p>
    <w:p w14:paraId="0E6F7480" w14:textId="77777777" w:rsidR="00BE2F6F" w:rsidRDefault="00BE2F6F" w:rsidP="5583D54B">
      <w:pPr>
        <w:pStyle w:val="Body"/>
        <w:rPr>
          <w:rFonts w:asciiTheme="majorHAnsi" w:hAnsiTheme="majorHAnsi" w:cstheme="majorBidi"/>
          <w:lang w:val="en-US"/>
        </w:rPr>
      </w:pPr>
      <w:r w:rsidRPr="5583D54B">
        <w:rPr>
          <w:rFonts w:asciiTheme="majorHAnsi" w:hAnsiTheme="majorHAnsi" w:cstheme="majorBidi"/>
        </w:rPr>
        <w:t>Since 2023, PRISMA has collaborated with Prospera to engage the Indonesian Financial Service Authority (OJK) and share insights from PRISMA’s agri-kiosk survey. Leveraging Prospera's experience with OJK, the 2 programs worked together to establish a pathway for promoting flexible loans to agri-SMEs. Prospera analysed the data shared by PRISMA from the agri-kiosk survey to generate insights for OJK and offer recommendations for financial inclusion and related policies.</w:t>
      </w:r>
      <w:r w:rsidRPr="5583D54B">
        <w:rPr>
          <w:rFonts w:asciiTheme="majorHAnsi" w:hAnsiTheme="majorHAnsi" w:cstheme="majorBidi"/>
          <w:lang w:val="en-US"/>
        </w:rPr>
        <w:t> </w:t>
      </w:r>
    </w:p>
    <w:p w14:paraId="64D51BEE" w14:textId="77777777" w:rsidR="00BE2F6F" w:rsidRPr="00C64064" w:rsidRDefault="00BE2F6F" w:rsidP="00BE2F6F">
      <w:pPr>
        <w:pStyle w:val="Body"/>
        <w:rPr>
          <w:rFonts w:asciiTheme="majorHAnsi" w:hAnsiTheme="majorHAnsi" w:cstheme="majorHAnsi"/>
          <w:lang w:val="en-US"/>
        </w:rPr>
      </w:pPr>
    </w:p>
    <w:p w14:paraId="5E9D5399" w14:textId="2FEF73BF" w:rsidR="00BE2F6F" w:rsidRPr="00C64064" w:rsidRDefault="00BE2F6F" w:rsidP="5583D54B">
      <w:pPr>
        <w:pStyle w:val="Body"/>
        <w:rPr>
          <w:rFonts w:asciiTheme="majorHAnsi" w:hAnsiTheme="majorHAnsi" w:cstheme="majorBidi"/>
          <w:lang w:val="en-US"/>
        </w:rPr>
      </w:pPr>
      <w:r w:rsidRPr="5583D54B">
        <w:rPr>
          <w:rFonts w:asciiTheme="majorHAnsi" w:hAnsiTheme="majorHAnsi" w:cstheme="majorBidi"/>
        </w:rPr>
        <w:t>This semester, PRISMA has built on this collaboration by sharing data and insights on agri-SMEs' access to financing, covering both current access to finance and behaviours in obtaining financial services. PRISMA is currently developing an agri-SMEs policy brief and market brief, which will be shared through Prospera’s network, including the Coordinating Ministry for Economic Affairs and OJK, upon approval from DFAT.</w:t>
      </w:r>
      <w:r w:rsidRPr="5583D54B">
        <w:rPr>
          <w:rFonts w:asciiTheme="majorHAnsi" w:hAnsiTheme="majorHAnsi" w:cstheme="majorBidi"/>
          <w:lang w:val="en-US"/>
        </w:rPr>
        <w:t> </w:t>
      </w:r>
    </w:p>
    <w:p w14:paraId="549D0220" w14:textId="77777777" w:rsidR="00BE2F6F" w:rsidRPr="00C64064" w:rsidRDefault="00BE2F6F" w:rsidP="00B03C3A">
      <w:pPr>
        <w:pStyle w:val="Head3"/>
        <w:rPr>
          <w:lang w:val="en-US"/>
        </w:rPr>
      </w:pPr>
      <w:bookmarkStart w:id="85" w:name="_Toc173318309"/>
      <w:bookmarkStart w:id="86" w:name="_Toc179192301"/>
      <w:bookmarkStart w:id="87" w:name="_Toc180155166"/>
      <w:r w:rsidRPr="00C64064">
        <w:lastRenderedPageBreak/>
        <w:t>The World Bank</w:t>
      </w:r>
      <w:bookmarkEnd w:id="85"/>
      <w:bookmarkEnd w:id="86"/>
      <w:bookmarkEnd w:id="87"/>
      <w:r w:rsidRPr="00C64064">
        <w:rPr>
          <w:lang w:val="en-US"/>
        </w:rPr>
        <w:t> </w:t>
      </w:r>
    </w:p>
    <w:p w14:paraId="266774E5" w14:textId="77777777" w:rsidR="00BE2F6F" w:rsidRPr="00C64064" w:rsidRDefault="00BE2F6F" w:rsidP="00BE2F6F">
      <w:pPr>
        <w:pStyle w:val="Body"/>
        <w:rPr>
          <w:rFonts w:asciiTheme="majorHAnsi" w:hAnsiTheme="majorHAnsi" w:cstheme="majorHAnsi"/>
          <w:lang w:val="en-US"/>
        </w:rPr>
      </w:pPr>
      <w:r w:rsidRPr="00C64064">
        <w:rPr>
          <w:rFonts w:asciiTheme="majorHAnsi" w:hAnsiTheme="majorHAnsi" w:cstheme="majorHAnsi"/>
          <w:lang w:val="en-ID"/>
        </w:rPr>
        <w:t>PRISMA collaborated with the World Bank to host a national workshop, “Climate-Smart Agriculture: Increasing the Productivity, Resilience, and Sustainability of Indonesian Agriculture</w:t>
      </w:r>
      <w:r>
        <w:rPr>
          <w:rFonts w:asciiTheme="majorHAnsi" w:hAnsiTheme="majorHAnsi" w:cstheme="majorHAnsi"/>
          <w:lang w:val="en-ID"/>
        </w:rPr>
        <w:t>,” with the MoA and Bappenas. Held on 19-20 June 2024, this event gathered insights from various stakeholders and showcased</w:t>
      </w:r>
      <w:r w:rsidRPr="00C64064">
        <w:rPr>
          <w:rFonts w:asciiTheme="majorHAnsi" w:hAnsiTheme="majorHAnsi" w:cstheme="majorHAnsi"/>
          <w:lang w:val="en-ID"/>
        </w:rPr>
        <w:t xml:space="preserve"> climate mitigation efforts from PRISMA's private sector partners. </w:t>
      </w:r>
      <w:r>
        <w:rPr>
          <w:rFonts w:asciiTheme="majorHAnsi" w:hAnsiTheme="majorHAnsi" w:cstheme="majorHAnsi"/>
          <w:lang w:val="en-ID"/>
        </w:rPr>
        <w:t xml:space="preserve">Combining resources, networks, and logistical support with the World Bank helped PRISMA reach a broader audience in a cost-effective way, World Bank covered the venue and organised the agenda and international participants and PRISMA supported the promotion of the event, the media and an exhibition. See Chapter 3 for more information about the event. </w:t>
      </w:r>
    </w:p>
    <w:p w14:paraId="69FC44EA" w14:textId="77777777" w:rsidR="00BE2F6F" w:rsidRPr="00C64064" w:rsidRDefault="00BE2F6F" w:rsidP="00BE2F6F">
      <w:pPr>
        <w:pStyle w:val="Body"/>
        <w:rPr>
          <w:rFonts w:asciiTheme="majorHAnsi" w:hAnsiTheme="majorHAnsi" w:cstheme="majorHAnsi"/>
          <w:lang w:val="en-US"/>
        </w:rPr>
      </w:pPr>
    </w:p>
    <w:p w14:paraId="0DECA90A" w14:textId="01FA14C5" w:rsidR="00BE2F6F" w:rsidRPr="00C64064" w:rsidRDefault="00BE2F6F" w:rsidP="5583D54B">
      <w:pPr>
        <w:pStyle w:val="Body"/>
        <w:rPr>
          <w:rFonts w:asciiTheme="majorHAnsi" w:hAnsiTheme="majorHAnsi" w:cstheme="majorBidi"/>
          <w:lang w:val="en-US"/>
        </w:rPr>
      </w:pPr>
      <w:bookmarkStart w:id="88" w:name="_Toc173318310"/>
      <w:bookmarkStart w:id="89" w:name="_Toc179192302"/>
      <w:bookmarkStart w:id="90" w:name="_Toc180155167"/>
      <w:r w:rsidRPr="5583D54B">
        <w:rPr>
          <w:rStyle w:val="Head3Char"/>
          <w:color w:val="004155"/>
        </w:rPr>
        <w:t>Partnership for Indonesia's Sustainable Agriculture (PISAgro)</w:t>
      </w:r>
      <w:bookmarkEnd w:id="88"/>
      <w:bookmarkEnd w:id="89"/>
      <w:bookmarkEnd w:id="90"/>
      <w:r w:rsidRPr="5583D54B">
        <w:rPr>
          <w:rStyle w:val="Head3Char"/>
          <w:color w:val="004155"/>
          <w:lang w:val="en-US"/>
        </w:rPr>
        <w:t> </w:t>
      </w:r>
      <w:r>
        <w:br/>
      </w:r>
      <w:r w:rsidRPr="5583D54B">
        <w:rPr>
          <w:rFonts w:asciiTheme="majorHAnsi" w:hAnsiTheme="majorHAnsi" w:cstheme="majorBidi"/>
        </w:rPr>
        <w:t>PRISMA continued collaborating with PISAgro to promote women-inclusive business practices within the agricultural sector. PRISMA led initiatives within the beef and dairy sector working groups and participated in broader efforts. This semester, a seminar with the theme “Empowering Women in the Agriculture Sector – Opportunities for Business” was held to showcase practical strategies for businesses to adjust their promotional approaches to enhance accessibility for women farmers.  Post-event, PRISMA disseminated female sales agents' research findings as well as an agribusiness guideline for establishing inclusive sales, marketing, and outreach strategies.</w:t>
      </w:r>
      <w:r w:rsidRPr="5583D54B">
        <w:rPr>
          <w:rFonts w:asciiTheme="majorHAnsi" w:hAnsiTheme="majorHAnsi" w:cstheme="majorBidi"/>
          <w:lang w:val="en-US"/>
        </w:rPr>
        <w:t> </w:t>
      </w:r>
    </w:p>
    <w:p w14:paraId="4B1DAAEA" w14:textId="77777777" w:rsidR="00BE2F6F" w:rsidRPr="00C64064" w:rsidRDefault="00BE2F6F" w:rsidP="00BE2F6F">
      <w:pPr>
        <w:pStyle w:val="Body"/>
        <w:rPr>
          <w:rFonts w:asciiTheme="majorHAnsi" w:hAnsiTheme="majorHAnsi" w:cstheme="majorHAnsi"/>
          <w:lang w:val="en-US"/>
        </w:rPr>
      </w:pPr>
    </w:p>
    <w:p w14:paraId="4C32BB62" w14:textId="77777777" w:rsidR="00BE2F6F" w:rsidRPr="00C64064" w:rsidRDefault="00BE2F6F" w:rsidP="00BE2F6F">
      <w:pPr>
        <w:pStyle w:val="Body"/>
        <w:rPr>
          <w:rFonts w:asciiTheme="majorHAnsi" w:hAnsiTheme="majorHAnsi" w:cstheme="majorHAnsi"/>
          <w:lang w:val="en-US"/>
        </w:rPr>
      </w:pPr>
    </w:p>
    <w:p w14:paraId="514B796A" w14:textId="77777777" w:rsidR="00BE2F6F" w:rsidRPr="00C64064" w:rsidRDefault="00BE2F6F" w:rsidP="00BE2F6F">
      <w:pPr>
        <w:pStyle w:val="Body"/>
        <w:rPr>
          <w:rFonts w:asciiTheme="majorHAnsi" w:hAnsiTheme="majorHAnsi" w:cstheme="majorHAnsi"/>
          <w:lang w:val="en-US"/>
        </w:rPr>
      </w:pPr>
      <w:r w:rsidRPr="00C64064">
        <w:rPr>
          <w:rFonts w:asciiTheme="majorHAnsi" w:hAnsiTheme="majorHAnsi" w:cstheme="majorHAnsi"/>
          <w:lang w:val="en-US"/>
        </w:rPr>
        <w:t> </w:t>
      </w:r>
    </w:p>
    <w:p w14:paraId="577DB70A" w14:textId="77777777" w:rsidR="00BE2F6F" w:rsidRPr="00A342EE" w:rsidRDefault="00BE2F6F" w:rsidP="00BE2F6F">
      <w:pPr>
        <w:pStyle w:val="Head2"/>
      </w:pPr>
      <w:r w:rsidRPr="00C64064">
        <w:rPr>
          <w:lang w:val="en-US"/>
        </w:rPr>
        <w:t> </w:t>
      </w:r>
      <w:bookmarkStart w:id="91" w:name="_Toc180155168"/>
      <w:r w:rsidRPr="00A342EE">
        <w:t>Challenges, Responses, and Learnings</w:t>
      </w:r>
      <w:bookmarkEnd w:id="91"/>
      <w:r w:rsidRPr="00A342EE">
        <w:tab/>
      </w:r>
    </w:p>
    <w:p w14:paraId="0CE3EB2E" w14:textId="77777777" w:rsidR="00BE2F6F" w:rsidRPr="00C64064" w:rsidRDefault="00BE2F6F" w:rsidP="00BE2F6F">
      <w:pPr>
        <w:pStyle w:val="Body"/>
        <w:rPr>
          <w:rFonts w:asciiTheme="majorHAnsi" w:hAnsiTheme="majorHAnsi" w:cstheme="majorHAnsi"/>
          <w:color w:val="FF0000"/>
        </w:rPr>
      </w:pPr>
    </w:p>
    <w:p w14:paraId="1EC1F072" w14:textId="77777777" w:rsidR="00BE2F6F" w:rsidRPr="00C64064" w:rsidRDefault="00BE2F6F" w:rsidP="00BE2F6F">
      <w:pPr>
        <w:pStyle w:val="Body"/>
        <w:rPr>
          <w:rFonts w:asciiTheme="majorHAnsi" w:hAnsiTheme="majorHAnsi" w:cstheme="majorHAnsi"/>
        </w:rPr>
      </w:pPr>
      <w:r w:rsidRPr="00C64064">
        <w:rPr>
          <w:rFonts w:asciiTheme="majorHAnsi" w:hAnsiTheme="majorHAnsi" w:cstheme="majorHAnsi"/>
        </w:rPr>
        <w:t>Working in dynamic and evolving agriculture markets presents a unique set of challenges. PRISMA remains proactive in its response, and its learnings help the program evolve and improve. </w:t>
      </w:r>
    </w:p>
    <w:tbl>
      <w:tblPr>
        <w:tblStyle w:val="PlainTable2"/>
        <w:tblW w:w="0" w:type="auto"/>
        <w:tblCellMar>
          <w:top w:w="108" w:type="dxa"/>
          <w:bottom w:w="108" w:type="dxa"/>
        </w:tblCellMar>
        <w:tblLook w:val="04A0" w:firstRow="1" w:lastRow="0" w:firstColumn="1" w:lastColumn="0" w:noHBand="0" w:noVBand="1"/>
      </w:tblPr>
      <w:tblGrid>
        <w:gridCol w:w="3003"/>
        <w:gridCol w:w="3003"/>
        <w:gridCol w:w="3004"/>
      </w:tblGrid>
      <w:tr w:rsidR="00BE2F6F" w:rsidRPr="00C64064" w14:paraId="7097B5AC" w14:textId="77777777" w:rsidTr="00F141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252D65"/>
          </w:tcPr>
          <w:p w14:paraId="113209C0" w14:textId="77777777" w:rsidR="00BE2F6F" w:rsidRPr="00C64064" w:rsidRDefault="00BE2F6F">
            <w:pPr>
              <w:spacing w:line="276" w:lineRule="auto"/>
              <w:jc w:val="center"/>
              <w:rPr>
                <w:rFonts w:asciiTheme="majorHAnsi" w:hAnsiTheme="majorHAnsi" w:cstheme="majorHAnsi"/>
              </w:rPr>
            </w:pPr>
            <w:r w:rsidRPr="00C64064">
              <w:rPr>
                <w:rFonts w:asciiTheme="majorHAnsi" w:hAnsiTheme="majorHAnsi" w:cstheme="majorHAnsi"/>
              </w:rPr>
              <w:t>Challenge</w:t>
            </w:r>
          </w:p>
        </w:tc>
        <w:tc>
          <w:tcPr>
            <w:tcW w:w="3003" w:type="dxa"/>
            <w:shd w:val="clear" w:color="auto" w:fill="252D65"/>
          </w:tcPr>
          <w:p w14:paraId="47ACD767" w14:textId="77777777" w:rsidR="00BE2F6F" w:rsidRPr="00C64064" w:rsidRDefault="00BE2F6F">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C64064">
              <w:rPr>
                <w:rFonts w:asciiTheme="majorHAnsi" w:hAnsiTheme="majorHAnsi" w:cstheme="majorHAnsi"/>
              </w:rPr>
              <w:t>Response</w:t>
            </w:r>
          </w:p>
        </w:tc>
        <w:tc>
          <w:tcPr>
            <w:tcW w:w="3004" w:type="dxa"/>
            <w:shd w:val="clear" w:color="auto" w:fill="252D65"/>
          </w:tcPr>
          <w:p w14:paraId="4CD05D4A" w14:textId="77777777" w:rsidR="00BE2F6F" w:rsidRPr="00C64064" w:rsidRDefault="00BE2F6F">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C64064">
              <w:rPr>
                <w:rFonts w:asciiTheme="majorHAnsi" w:hAnsiTheme="majorHAnsi" w:cstheme="majorHAnsi"/>
              </w:rPr>
              <w:t>Learning</w:t>
            </w:r>
          </w:p>
        </w:tc>
      </w:tr>
      <w:tr w:rsidR="00A40C27" w:rsidRPr="00C64064" w14:paraId="2C3F9E09" w14:textId="77777777" w:rsidTr="00F14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2" w:themeFillShade="D9"/>
          </w:tcPr>
          <w:p w14:paraId="3FF81DBD" w14:textId="77777777" w:rsidR="00A40C27" w:rsidRPr="00C64064" w:rsidRDefault="00A40C27">
            <w:pPr>
              <w:spacing w:line="276" w:lineRule="auto"/>
              <w:jc w:val="center"/>
              <w:rPr>
                <w:rFonts w:asciiTheme="majorHAnsi" w:hAnsiTheme="majorHAnsi" w:cstheme="majorHAnsi"/>
                <w:b w:val="0"/>
                <w:bCs w:val="0"/>
              </w:rPr>
            </w:pPr>
            <w:r w:rsidRPr="00C64064">
              <w:rPr>
                <w:rFonts w:asciiTheme="majorHAnsi" w:hAnsiTheme="majorHAnsi" w:cstheme="majorHAnsi"/>
              </w:rPr>
              <w:t>Sector (for more sector challenges and learnings, see updates in Annex 1)</w:t>
            </w:r>
          </w:p>
        </w:tc>
        <w:tc>
          <w:tcPr>
            <w:tcW w:w="3003" w:type="dxa"/>
            <w:shd w:val="clear" w:color="auto" w:fill="D9D9D9" w:themeFill="background2" w:themeFillShade="D9"/>
          </w:tcPr>
          <w:p w14:paraId="2C99A158" w14:textId="77777777" w:rsidR="00A40C27" w:rsidRPr="00C64064" w:rsidRDefault="00A40C2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rPr>
            </w:pPr>
          </w:p>
        </w:tc>
        <w:tc>
          <w:tcPr>
            <w:tcW w:w="3004" w:type="dxa"/>
            <w:shd w:val="clear" w:color="auto" w:fill="D9D9D9" w:themeFill="background2" w:themeFillShade="D9"/>
          </w:tcPr>
          <w:p w14:paraId="072186DE" w14:textId="33B4F3C2" w:rsidR="00A40C27" w:rsidRPr="00C64064" w:rsidRDefault="00A40C2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r>
      <w:tr w:rsidR="00AB1DB2" w:rsidRPr="00C64064" w14:paraId="1D9EEFCF" w14:textId="77777777">
        <w:tc>
          <w:tcPr>
            <w:cnfStyle w:val="001000000000" w:firstRow="0" w:lastRow="0" w:firstColumn="1" w:lastColumn="0" w:oddVBand="0" w:evenVBand="0" w:oddHBand="0" w:evenHBand="0" w:firstRowFirstColumn="0" w:firstRowLastColumn="0" w:lastRowFirstColumn="0" w:lastRowLastColumn="0"/>
            <w:tcW w:w="3003" w:type="dxa"/>
            <w:shd w:val="clear" w:color="auto" w:fill="252D65"/>
          </w:tcPr>
          <w:p w14:paraId="6C696CE1" w14:textId="77777777" w:rsidR="00AB1DB2" w:rsidRPr="00C64064" w:rsidRDefault="00AB1DB2">
            <w:pPr>
              <w:spacing w:line="276" w:lineRule="auto"/>
              <w:jc w:val="center"/>
              <w:rPr>
                <w:rFonts w:asciiTheme="majorHAnsi" w:hAnsiTheme="majorHAnsi" w:cstheme="majorHAnsi"/>
                <w:b w:val="0"/>
                <w:bCs w:val="0"/>
              </w:rPr>
            </w:pPr>
            <w:r w:rsidRPr="00C64064">
              <w:rPr>
                <w:rFonts w:asciiTheme="majorHAnsi" w:hAnsiTheme="majorHAnsi" w:cstheme="majorHAnsi"/>
              </w:rPr>
              <w:t>Overcoming data collection delays and sharing learning</w:t>
            </w:r>
          </w:p>
        </w:tc>
        <w:tc>
          <w:tcPr>
            <w:tcW w:w="3003" w:type="dxa"/>
            <w:shd w:val="clear" w:color="auto" w:fill="252D65"/>
          </w:tcPr>
          <w:p w14:paraId="2382F750" w14:textId="77777777" w:rsidR="00AB1DB2" w:rsidRPr="00C64064" w:rsidRDefault="00AB1DB2">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rPr>
            </w:pPr>
          </w:p>
        </w:tc>
        <w:tc>
          <w:tcPr>
            <w:tcW w:w="3004" w:type="dxa"/>
            <w:shd w:val="clear" w:color="auto" w:fill="252D65"/>
          </w:tcPr>
          <w:p w14:paraId="1F9E7944" w14:textId="3D6F284A" w:rsidR="00AB1DB2" w:rsidRPr="00C64064" w:rsidRDefault="00AB1DB2">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r>
      <w:tr w:rsidR="00BE2F6F" w:rsidRPr="00C64064" w14:paraId="29E3B57C" w14:textId="77777777" w:rsidTr="00F14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tcPr>
          <w:p w14:paraId="7562A453" w14:textId="77777777" w:rsidR="00BE2F6F" w:rsidRPr="00C64064" w:rsidRDefault="00BE2F6F">
            <w:pPr>
              <w:pStyle w:val="Body"/>
              <w:rPr>
                <w:rFonts w:asciiTheme="majorHAnsi" w:hAnsiTheme="majorHAnsi" w:cstheme="majorHAnsi"/>
                <w:b w:val="0"/>
                <w:bCs w:val="0"/>
                <w:lang w:val="en-US"/>
              </w:rPr>
            </w:pPr>
            <w:r w:rsidRPr="00C64064">
              <w:rPr>
                <w:rFonts w:asciiTheme="majorHAnsi" w:hAnsiTheme="majorHAnsi" w:cstheme="majorHAnsi"/>
              </w:rPr>
              <w:t xml:space="preserve">The maize and cattle sectors experienced a setback in deriving and sharing learning. The data collection and analysis of </w:t>
            </w:r>
            <w:r w:rsidRPr="00C64064">
              <w:rPr>
                <w:rFonts w:asciiTheme="majorHAnsi" w:hAnsiTheme="majorHAnsi" w:cstheme="majorHAnsi"/>
              </w:rPr>
              <w:lastRenderedPageBreak/>
              <w:t>the maize smart subsidy initiative were delayed due to overlapping national holidays and religious events in April and May 2024. The leadership transition in the Sumenep Food Security and Agriculture Agency (DKPP) in March 2024 further complicated the data collection process.</w:t>
            </w:r>
            <w:r w:rsidRPr="00C64064">
              <w:rPr>
                <w:rFonts w:asciiTheme="majorHAnsi" w:hAnsiTheme="majorHAnsi" w:cstheme="majorHAnsi"/>
                <w:lang w:val="en-US"/>
              </w:rPr>
              <w:t> </w:t>
            </w:r>
          </w:p>
          <w:p w14:paraId="6446F2F8" w14:textId="77777777" w:rsidR="00BE2F6F" w:rsidRPr="00C64064" w:rsidRDefault="00BE2F6F">
            <w:pPr>
              <w:spacing w:line="276" w:lineRule="auto"/>
              <w:rPr>
                <w:rFonts w:asciiTheme="majorHAnsi" w:hAnsiTheme="majorHAnsi" w:cstheme="majorHAnsi"/>
                <w:b w:val="0"/>
                <w:bCs w:val="0"/>
                <w:lang w:val="en-US"/>
              </w:rPr>
            </w:pPr>
            <w:r w:rsidRPr="00C64064">
              <w:rPr>
                <w:rFonts w:asciiTheme="majorHAnsi" w:hAnsiTheme="majorHAnsi" w:cstheme="majorHAnsi"/>
              </w:rPr>
              <w:t>In the cattle sector, data collection for a policy brief to support the NTT government in developing an enabling environment for private sector investment was hampered by the limited field data collection time and the complexity of coordinating with multiple stakeholders.</w:t>
            </w:r>
            <w:r w:rsidRPr="00C64064">
              <w:rPr>
                <w:rFonts w:asciiTheme="majorHAnsi" w:hAnsiTheme="majorHAnsi" w:cstheme="majorHAnsi"/>
                <w:lang w:val="en-US"/>
              </w:rPr>
              <w:t> </w:t>
            </w:r>
          </w:p>
          <w:p w14:paraId="10E406D0" w14:textId="77777777" w:rsidR="00BE2F6F" w:rsidRPr="00C64064" w:rsidRDefault="00BE2F6F">
            <w:pPr>
              <w:spacing w:line="276" w:lineRule="auto"/>
              <w:rPr>
                <w:rFonts w:asciiTheme="majorHAnsi" w:hAnsiTheme="majorHAnsi" w:cstheme="majorHAnsi"/>
                <w:b w:val="0"/>
                <w:bCs w:val="0"/>
                <w:lang w:val="en-US"/>
              </w:rPr>
            </w:pPr>
          </w:p>
          <w:p w14:paraId="16E61090" w14:textId="77777777" w:rsidR="00BE2F6F" w:rsidRPr="00C64064" w:rsidRDefault="00BE2F6F">
            <w:pPr>
              <w:spacing w:line="276" w:lineRule="auto"/>
              <w:rPr>
                <w:rFonts w:asciiTheme="majorHAnsi" w:hAnsiTheme="majorHAnsi" w:cstheme="majorHAnsi"/>
                <w:b w:val="0"/>
                <w:bCs w:val="0"/>
                <w:lang w:val="en-US"/>
              </w:rPr>
            </w:pPr>
          </w:p>
          <w:p w14:paraId="1316243B" w14:textId="77777777" w:rsidR="00BE2F6F" w:rsidRPr="00C64064" w:rsidRDefault="00BE2F6F">
            <w:pPr>
              <w:spacing w:line="276" w:lineRule="auto"/>
              <w:rPr>
                <w:rFonts w:asciiTheme="majorHAnsi" w:hAnsiTheme="majorHAnsi" w:cstheme="majorHAnsi"/>
                <w:b w:val="0"/>
                <w:bCs w:val="0"/>
                <w:lang w:val="en-US"/>
              </w:rPr>
            </w:pPr>
          </w:p>
          <w:p w14:paraId="53789C96" w14:textId="77777777" w:rsidR="00BE2F6F" w:rsidRPr="00C64064" w:rsidRDefault="00BE2F6F">
            <w:pPr>
              <w:spacing w:line="276" w:lineRule="auto"/>
              <w:rPr>
                <w:rFonts w:asciiTheme="majorHAnsi" w:hAnsiTheme="majorHAnsi" w:cstheme="majorHAnsi"/>
              </w:rPr>
            </w:pPr>
          </w:p>
        </w:tc>
        <w:tc>
          <w:tcPr>
            <w:tcW w:w="3003" w:type="dxa"/>
          </w:tcPr>
          <w:p w14:paraId="551C0653" w14:textId="77777777" w:rsidR="00BE2F6F" w:rsidRPr="00C64064" w:rsidRDefault="00BE2F6F">
            <w:pPr>
              <w:pStyle w:val="Body"/>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n-US"/>
              </w:rPr>
            </w:pPr>
            <w:r w:rsidRPr="00C64064">
              <w:rPr>
                <w:rFonts w:asciiTheme="majorHAnsi" w:hAnsiTheme="majorHAnsi" w:cstheme="majorHAnsi"/>
              </w:rPr>
              <w:lastRenderedPageBreak/>
              <w:t xml:space="preserve">PRISMA responded by working closely with a think tank, the </w:t>
            </w:r>
            <w:r w:rsidRPr="00C64064">
              <w:rPr>
                <w:rFonts w:asciiTheme="majorHAnsi" w:hAnsiTheme="majorHAnsi" w:cstheme="majorHAnsi"/>
                <w:lang w:val="en-ID"/>
              </w:rPr>
              <w:t>Center for Indonesian Policy Studies</w:t>
            </w:r>
            <w:r w:rsidRPr="00C64064">
              <w:rPr>
                <w:rFonts w:asciiTheme="majorHAnsi" w:hAnsiTheme="majorHAnsi" w:cstheme="majorHAnsi"/>
              </w:rPr>
              <w:t xml:space="preserve"> (CIPS) and ensuring the </w:t>
            </w:r>
            <w:r w:rsidRPr="00C64064">
              <w:rPr>
                <w:rFonts w:asciiTheme="majorHAnsi" w:hAnsiTheme="majorHAnsi" w:cstheme="majorHAnsi"/>
              </w:rPr>
              <w:lastRenderedPageBreak/>
              <w:t>timely completion of data analysis by June 2024. This allowed PRISMA to present the study results and the smart subsidy good practice outline at an FGD event, followed by the publication and dissemination of the smart subsidy policy brief.</w:t>
            </w:r>
            <w:r w:rsidRPr="00C64064">
              <w:rPr>
                <w:rFonts w:asciiTheme="majorHAnsi" w:hAnsiTheme="majorHAnsi" w:cstheme="majorHAnsi"/>
                <w:lang w:val="en-US"/>
              </w:rPr>
              <w:t> </w:t>
            </w:r>
          </w:p>
          <w:p w14:paraId="2F2B8435" w14:textId="77777777" w:rsidR="00BE2F6F" w:rsidRPr="00C64064" w:rsidRDefault="00BE2F6F">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C64064">
              <w:rPr>
                <w:rFonts w:asciiTheme="majorHAnsi" w:hAnsiTheme="majorHAnsi" w:cstheme="majorHAnsi"/>
              </w:rPr>
              <w:t>PRISMA triangulated data and enriched findings through multi-stakeholder FGDs and conducted intensive coordination with the NTT</w:t>
            </w:r>
            <w:r w:rsidRPr="00C64064">
              <w:rPr>
                <w:rFonts w:asciiTheme="majorHAnsi" w:eastAsia="Times New Roman" w:hAnsiTheme="majorHAnsi" w:cstheme="majorHAnsi"/>
                <w:color w:val="000000"/>
                <w:sz w:val="20"/>
                <w:szCs w:val="20"/>
                <w:lang w:val="en-AU"/>
              </w:rPr>
              <w:t xml:space="preserve"> </w:t>
            </w:r>
            <w:r w:rsidRPr="00C64064">
              <w:rPr>
                <w:rFonts w:asciiTheme="majorHAnsi" w:hAnsiTheme="majorHAnsi" w:cstheme="majorHAnsi"/>
                <w:lang w:val="en-AU"/>
              </w:rPr>
              <w:t>Regional Development Planning, Research, and Innovation Agency (Bapperida)</w:t>
            </w:r>
            <w:r w:rsidRPr="00C64064">
              <w:rPr>
                <w:rFonts w:asciiTheme="majorHAnsi" w:hAnsiTheme="majorHAnsi" w:cstheme="majorHAnsi"/>
              </w:rPr>
              <w:t>, local government technical offices, and other private actors to optimise data processing and insight analysis in the cattle sector.</w:t>
            </w:r>
            <w:r w:rsidRPr="00C64064">
              <w:rPr>
                <w:rFonts w:asciiTheme="majorHAnsi" w:hAnsiTheme="majorHAnsi" w:cstheme="majorHAnsi"/>
                <w:lang w:val="en-US"/>
              </w:rPr>
              <w:t> </w:t>
            </w:r>
          </w:p>
        </w:tc>
        <w:tc>
          <w:tcPr>
            <w:tcW w:w="3004" w:type="dxa"/>
          </w:tcPr>
          <w:p w14:paraId="337BA7DE" w14:textId="77777777" w:rsidR="00BE2F6F" w:rsidRPr="00C64064" w:rsidRDefault="00BE2F6F">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C64064">
              <w:rPr>
                <w:rFonts w:asciiTheme="majorHAnsi" w:hAnsiTheme="majorHAnsi" w:cstheme="majorHAnsi"/>
              </w:rPr>
              <w:lastRenderedPageBreak/>
              <w:t xml:space="preserve">Systematic data management and proactive stakeholder engagement are key to deriving meaningful learning. </w:t>
            </w:r>
            <w:r w:rsidRPr="00C64064">
              <w:rPr>
                <w:rFonts w:asciiTheme="majorHAnsi" w:hAnsiTheme="majorHAnsi" w:cstheme="majorHAnsi"/>
              </w:rPr>
              <w:lastRenderedPageBreak/>
              <w:t>Flexibility in adjusting schedules to the local context is crucial for accommodating unforeseen challenges such as leadership transition.</w:t>
            </w:r>
            <w:r w:rsidRPr="00C64064">
              <w:rPr>
                <w:rFonts w:asciiTheme="majorHAnsi" w:hAnsiTheme="majorHAnsi" w:cstheme="majorHAnsi"/>
                <w:lang w:val="en-US"/>
              </w:rPr>
              <w:t> </w:t>
            </w:r>
          </w:p>
        </w:tc>
      </w:tr>
      <w:tr w:rsidR="00AB1DB2" w:rsidRPr="00C64064" w14:paraId="27419837" w14:textId="77777777">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2" w:themeFillShade="D9"/>
          </w:tcPr>
          <w:p w14:paraId="597AA7DA" w14:textId="77777777" w:rsidR="00AB1DB2" w:rsidRPr="00C64064" w:rsidRDefault="00AB1DB2">
            <w:pPr>
              <w:spacing w:line="276" w:lineRule="auto"/>
              <w:jc w:val="center"/>
              <w:rPr>
                <w:rFonts w:asciiTheme="majorHAnsi" w:hAnsiTheme="majorHAnsi" w:cstheme="majorHAnsi"/>
                <w:b w:val="0"/>
                <w:bCs w:val="0"/>
              </w:rPr>
            </w:pPr>
            <w:r w:rsidRPr="00C64064">
              <w:rPr>
                <w:rFonts w:asciiTheme="majorHAnsi" w:hAnsiTheme="majorHAnsi" w:cstheme="majorHAnsi"/>
              </w:rPr>
              <w:lastRenderedPageBreak/>
              <w:t>Across the program</w:t>
            </w:r>
          </w:p>
        </w:tc>
        <w:tc>
          <w:tcPr>
            <w:tcW w:w="3003" w:type="dxa"/>
            <w:shd w:val="clear" w:color="auto" w:fill="D9D9D9" w:themeFill="background2" w:themeFillShade="D9"/>
          </w:tcPr>
          <w:p w14:paraId="518636AA" w14:textId="77777777" w:rsidR="00AB1DB2" w:rsidRPr="00C64064" w:rsidRDefault="00AB1DB2">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rPr>
            </w:pPr>
          </w:p>
        </w:tc>
        <w:tc>
          <w:tcPr>
            <w:tcW w:w="3004" w:type="dxa"/>
            <w:shd w:val="clear" w:color="auto" w:fill="D9D9D9" w:themeFill="background2" w:themeFillShade="D9"/>
          </w:tcPr>
          <w:p w14:paraId="1FB6149D" w14:textId="1EC728F3" w:rsidR="00AB1DB2" w:rsidRPr="00C64064" w:rsidRDefault="00AB1DB2">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r>
      <w:tr w:rsidR="00AB1DB2" w:rsidRPr="00C64064" w14:paraId="35BC793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252D65"/>
          </w:tcPr>
          <w:p w14:paraId="613AB59D" w14:textId="77777777" w:rsidR="00AB1DB2" w:rsidRPr="00C64064" w:rsidRDefault="00AB1DB2" w:rsidP="00AB1DB2">
            <w:pPr>
              <w:spacing w:line="276" w:lineRule="auto"/>
              <w:rPr>
                <w:rFonts w:asciiTheme="majorHAnsi" w:hAnsiTheme="majorHAnsi" w:cstheme="majorHAnsi"/>
                <w:b w:val="0"/>
                <w:bCs w:val="0"/>
              </w:rPr>
            </w:pPr>
            <w:r w:rsidRPr="00C64064">
              <w:rPr>
                <w:rFonts w:asciiTheme="majorHAnsi" w:hAnsiTheme="majorHAnsi" w:cstheme="majorHAnsi"/>
              </w:rPr>
              <w:t>Managing staff transition and retention</w:t>
            </w:r>
          </w:p>
        </w:tc>
        <w:tc>
          <w:tcPr>
            <w:tcW w:w="3003" w:type="dxa"/>
            <w:shd w:val="clear" w:color="auto" w:fill="252D65"/>
          </w:tcPr>
          <w:p w14:paraId="24562B3E" w14:textId="77777777" w:rsidR="00AB1DB2" w:rsidRPr="00C64064" w:rsidRDefault="00AB1DB2">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rPr>
            </w:pPr>
          </w:p>
        </w:tc>
        <w:tc>
          <w:tcPr>
            <w:tcW w:w="3004" w:type="dxa"/>
            <w:shd w:val="clear" w:color="auto" w:fill="252D65"/>
          </w:tcPr>
          <w:p w14:paraId="1A792CE8" w14:textId="3FF97CEF" w:rsidR="00AB1DB2" w:rsidRPr="00C64064" w:rsidRDefault="00AB1DB2">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r>
      <w:tr w:rsidR="00BE2F6F" w:rsidRPr="00C64064" w14:paraId="4496D9B5" w14:textId="77777777" w:rsidTr="00F141EE">
        <w:tc>
          <w:tcPr>
            <w:cnfStyle w:val="001000000000" w:firstRow="0" w:lastRow="0" w:firstColumn="1" w:lastColumn="0" w:oddVBand="0" w:evenVBand="0" w:oddHBand="0" w:evenHBand="0" w:firstRowFirstColumn="0" w:firstRowLastColumn="0" w:lastRowFirstColumn="0" w:lastRowLastColumn="0"/>
            <w:tcW w:w="3003" w:type="dxa"/>
          </w:tcPr>
          <w:p w14:paraId="1A8381B6" w14:textId="77777777" w:rsidR="00BE2F6F" w:rsidRPr="00C64064" w:rsidRDefault="00BE2F6F">
            <w:pPr>
              <w:pStyle w:val="Body"/>
              <w:rPr>
                <w:rFonts w:asciiTheme="majorHAnsi" w:hAnsiTheme="majorHAnsi" w:cstheme="majorHAnsi"/>
                <w:b w:val="0"/>
                <w:bCs w:val="0"/>
                <w:lang w:val="en-US"/>
              </w:rPr>
            </w:pPr>
            <w:r w:rsidRPr="00C64064">
              <w:rPr>
                <w:rFonts w:asciiTheme="majorHAnsi" w:hAnsiTheme="majorHAnsi" w:cstheme="majorHAnsi"/>
              </w:rPr>
              <w:t>With the program scheduled to end in 2024, several experienced staff members have begun pursuing more secure employment opportunities. </w:t>
            </w:r>
            <w:r w:rsidRPr="00C64064">
              <w:rPr>
                <w:rFonts w:asciiTheme="majorHAnsi" w:hAnsiTheme="majorHAnsi" w:cstheme="majorHAnsi"/>
                <w:lang w:val="en-US"/>
              </w:rPr>
              <w:t> </w:t>
            </w:r>
          </w:p>
          <w:p w14:paraId="4213DC36" w14:textId="77777777" w:rsidR="00BE2F6F" w:rsidRPr="00C64064" w:rsidRDefault="00BE2F6F">
            <w:pPr>
              <w:pStyle w:val="Body"/>
              <w:rPr>
                <w:rFonts w:asciiTheme="majorHAnsi" w:hAnsiTheme="majorHAnsi" w:cstheme="majorHAnsi"/>
                <w:b w:val="0"/>
                <w:bCs w:val="0"/>
                <w:lang w:val="en-US"/>
              </w:rPr>
            </w:pPr>
            <w:r w:rsidRPr="00C64064">
              <w:rPr>
                <w:rFonts w:asciiTheme="majorHAnsi" w:hAnsiTheme="majorHAnsi" w:cstheme="majorHAnsi"/>
              </w:rPr>
              <w:t xml:space="preserve">The relocation of some staff from Surabaya to the Jakarta office has posed challenges and required </w:t>
            </w:r>
            <w:r w:rsidRPr="00C64064">
              <w:rPr>
                <w:rFonts w:asciiTheme="majorHAnsi" w:hAnsiTheme="majorHAnsi" w:cstheme="majorHAnsi"/>
              </w:rPr>
              <w:lastRenderedPageBreak/>
              <w:t>considerable time to adjust to new practices and workflows.</w:t>
            </w:r>
          </w:p>
        </w:tc>
        <w:tc>
          <w:tcPr>
            <w:tcW w:w="3003" w:type="dxa"/>
          </w:tcPr>
          <w:p w14:paraId="0EF3ED32" w14:textId="77777777" w:rsidR="00BE2F6F" w:rsidRPr="00C64064" w:rsidRDefault="00BE2F6F">
            <w:pPr>
              <w:pStyle w:val="Body"/>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n-US"/>
              </w:rPr>
            </w:pPr>
            <w:r w:rsidRPr="00C64064">
              <w:rPr>
                <w:rFonts w:asciiTheme="majorHAnsi" w:hAnsiTheme="majorHAnsi" w:cstheme="majorHAnsi"/>
              </w:rPr>
              <w:lastRenderedPageBreak/>
              <w:t>PRISMA implemented a calibrated and transparent performance appraisal system correlated with salary increments and has engaged several short-term advisors for specialised activities to replace natural turnover as the program concludes.</w:t>
            </w:r>
            <w:r w:rsidRPr="00C64064">
              <w:rPr>
                <w:rFonts w:asciiTheme="majorHAnsi" w:hAnsiTheme="majorHAnsi" w:cstheme="majorHAnsi"/>
                <w:lang w:val="en-US"/>
              </w:rPr>
              <w:t> </w:t>
            </w:r>
          </w:p>
          <w:p w14:paraId="3EDF4805" w14:textId="77777777" w:rsidR="00BE2F6F" w:rsidRPr="00C64064" w:rsidRDefault="00BE2F6F">
            <w:pPr>
              <w:pStyle w:val="Body"/>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n-US"/>
              </w:rPr>
            </w:pPr>
            <w:r w:rsidRPr="00C64064">
              <w:rPr>
                <w:rFonts w:asciiTheme="majorHAnsi" w:hAnsiTheme="majorHAnsi" w:cstheme="majorHAnsi"/>
                <w:lang w:val="en-US"/>
              </w:rPr>
              <w:t> </w:t>
            </w:r>
          </w:p>
          <w:p w14:paraId="16DAABC7" w14:textId="77777777" w:rsidR="00BE2F6F" w:rsidRPr="00C64064" w:rsidRDefault="00BE2F6F">
            <w:pPr>
              <w:pStyle w:val="Body"/>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n-US"/>
              </w:rPr>
            </w:pPr>
            <w:r w:rsidRPr="00C64064">
              <w:rPr>
                <w:rFonts w:asciiTheme="majorHAnsi" w:hAnsiTheme="majorHAnsi" w:cstheme="majorHAnsi"/>
              </w:rPr>
              <w:lastRenderedPageBreak/>
              <w:t>PRISMA also established regular check-ins and support mechanisms to maintain staff well-being and productivity during the transition period.</w:t>
            </w:r>
          </w:p>
        </w:tc>
        <w:tc>
          <w:tcPr>
            <w:tcW w:w="3004" w:type="dxa"/>
          </w:tcPr>
          <w:p w14:paraId="5DFCC177" w14:textId="77777777" w:rsidR="00BE2F6F" w:rsidRPr="00C64064" w:rsidRDefault="00BE2F6F">
            <w:pPr>
              <w:pStyle w:val="Body"/>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64064">
              <w:rPr>
                <w:rFonts w:asciiTheme="majorHAnsi" w:hAnsiTheme="majorHAnsi" w:cstheme="majorHAnsi"/>
              </w:rPr>
              <w:lastRenderedPageBreak/>
              <w:t>With careful planning, effective transition management, and a robust support system, logistical and staff transition challenges can be significantly eased, even within tight timeframes.</w:t>
            </w:r>
          </w:p>
        </w:tc>
      </w:tr>
    </w:tbl>
    <w:p w14:paraId="6A2AC8AC" w14:textId="77777777" w:rsidR="00BE2F6F" w:rsidRPr="00C64064" w:rsidRDefault="00BE2F6F" w:rsidP="00BE2F6F">
      <w:pPr>
        <w:pStyle w:val="Body"/>
        <w:rPr>
          <w:rFonts w:asciiTheme="majorHAnsi" w:hAnsiTheme="majorHAnsi" w:cstheme="majorHAnsi"/>
          <w:color w:val="FF0000"/>
          <w:lang w:val="en-US"/>
        </w:rPr>
      </w:pPr>
    </w:p>
    <w:p w14:paraId="0661591C" w14:textId="77777777" w:rsidR="00BE2F6F" w:rsidRPr="00A342EE" w:rsidRDefault="00BE2F6F" w:rsidP="00BE2F6F">
      <w:pPr>
        <w:pStyle w:val="Head2"/>
      </w:pPr>
      <w:bookmarkStart w:id="92" w:name="_Toc180155169"/>
      <w:r w:rsidRPr="00A342EE">
        <w:t>Risk Matrix</w:t>
      </w:r>
      <w:bookmarkEnd w:id="92"/>
      <w:r w:rsidRPr="00A342EE">
        <w:tab/>
      </w:r>
    </w:p>
    <w:p w14:paraId="5FA44CDB" w14:textId="77777777" w:rsidR="00BE2F6F" w:rsidRPr="00C64064" w:rsidRDefault="00BE2F6F" w:rsidP="00BE2F6F">
      <w:pPr>
        <w:spacing w:before="120" w:after="120" w:line="276" w:lineRule="auto"/>
        <w:contextualSpacing/>
        <w:jc w:val="both"/>
        <w:rPr>
          <w:rFonts w:asciiTheme="majorHAnsi" w:eastAsia="Times New Roman" w:hAnsiTheme="majorHAnsi" w:cstheme="majorHAnsi"/>
        </w:rPr>
      </w:pPr>
      <w:r w:rsidRPr="00C64064">
        <w:rPr>
          <w:rFonts w:asciiTheme="majorHAnsi" w:eastAsia="Times New Roman" w:hAnsiTheme="majorHAnsi" w:cstheme="majorHAnsi"/>
        </w:rPr>
        <w:br/>
        <w:t>PRISMA’s risk matrix is provided as a separate document.</w:t>
      </w:r>
    </w:p>
    <w:p w14:paraId="3D25448D" w14:textId="77777777" w:rsidR="00BE2F6F" w:rsidRPr="00C64064" w:rsidRDefault="00BE2F6F" w:rsidP="00BE2F6F">
      <w:pPr>
        <w:spacing w:before="120" w:after="120" w:line="276" w:lineRule="auto"/>
        <w:contextualSpacing/>
        <w:jc w:val="both"/>
        <w:rPr>
          <w:rFonts w:asciiTheme="majorHAnsi" w:eastAsia="Times New Roman" w:hAnsiTheme="majorHAnsi" w:cstheme="majorHAnsi"/>
          <w:color w:val="FF0000"/>
        </w:rPr>
      </w:pPr>
    </w:p>
    <w:p w14:paraId="59C3AAA4" w14:textId="77777777" w:rsidR="00BE2F6F" w:rsidRPr="00C64064" w:rsidRDefault="00BE2F6F" w:rsidP="00BE2F6F">
      <w:pPr>
        <w:pStyle w:val="Head4"/>
        <w:rPr>
          <w:rFonts w:asciiTheme="majorHAnsi" w:hAnsiTheme="majorHAnsi" w:cstheme="majorHAnsi"/>
          <w:color w:val="FF0000"/>
        </w:rPr>
      </w:pPr>
    </w:p>
    <w:p w14:paraId="4276321D" w14:textId="77777777" w:rsidR="00BE2F6F" w:rsidRPr="00C64064" w:rsidRDefault="00BE2F6F" w:rsidP="00BE2F6F">
      <w:pPr>
        <w:spacing w:before="120" w:after="120" w:line="276" w:lineRule="auto"/>
        <w:contextualSpacing/>
        <w:jc w:val="both"/>
        <w:rPr>
          <w:rFonts w:asciiTheme="majorHAnsi" w:eastAsia="Times New Roman" w:hAnsiTheme="majorHAnsi" w:cstheme="majorHAnsi"/>
          <w:color w:val="FF0000"/>
        </w:rPr>
      </w:pPr>
    </w:p>
    <w:p w14:paraId="5B67DED4" w14:textId="3ADC5B09" w:rsidR="00003791" w:rsidRDefault="00003791">
      <w:pPr>
        <w:rPr>
          <w:rFonts w:asciiTheme="majorHAnsi" w:hAnsiTheme="majorHAnsi" w:cstheme="majorHAnsi"/>
          <w:i/>
          <w:iCs/>
          <w:lang w:val="en-US"/>
        </w:rPr>
      </w:pPr>
      <w:r>
        <w:rPr>
          <w:rFonts w:cstheme="majorHAnsi"/>
          <w:b/>
          <w:bCs/>
          <w:i/>
          <w:iCs/>
          <w:lang w:val="en-US"/>
        </w:rPr>
        <w:br w:type="page"/>
      </w:r>
    </w:p>
    <w:p w14:paraId="329D30F3" w14:textId="71FB7C5D" w:rsidR="00003791" w:rsidRPr="00BE2F6F" w:rsidRDefault="00BE2F6F" w:rsidP="00BE2F6F">
      <w:pPr>
        <w:pStyle w:val="Head1"/>
        <w:rPr>
          <w:rFonts w:asciiTheme="majorHAnsi" w:hAnsiTheme="majorHAnsi" w:cstheme="majorHAnsi"/>
        </w:rPr>
      </w:pPr>
      <w:r w:rsidRPr="00C64064">
        <w:rPr>
          <w:rFonts w:asciiTheme="majorHAnsi" w:hAnsiTheme="majorHAnsi" w:cstheme="majorHAnsi"/>
        </w:rPr>
        <w:lastRenderedPageBreak/>
        <w:br/>
      </w:r>
      <w:bookmarkStart w:id="93" w:name="_Toc180155170"/>
      <w:r>
        <w:rPr>
          <w:rFonts w:asciiTheme="majorHAnsi" w:hAnsiTheme="majorHAnsi" w:cstheme="majorHAnsi"/>
        </w:rPr>
        <w:t xml:space="preserve">Final Year </w:t>
      </w:r>
      <w:r w:rsidR="007473BA">
        <w:rPr>
          <w:rFonts w:asciiTheme="majorHAnsi" w:hAnsiTheme="majorHAnsi" w:cstheme="majorHAnsi"/>
        </w:rPr>
        <w:t>Focus</w:t>
      </w:r>
      <w:bookmarkEnd w:id="93"/>
    </w:p>
    <w:p w14:paraId="703A9774" w14:textId="01FF3691" w:rsidR="00D041F9" w:rsidRPr="00C64064" w:rsidRDefault="0007153C" w:rsidP="00447B58">
      <w:pPr>
        <w:pStyle w:val="Head2"/>
        <w:rPr>
          <w:rFonts w:cstheme="majorHAnsi"/>
        </w:rPr>
      </w:pPr>
      <w:bookmarkStart w:id="94" w:name="_Toc172823291"/>
      <w:bookmarkStart w:id="95" w:name="_Toc180155171"/>
      <w:r w:rsidRPr="00C64064">
        <w:rPr>
          <w:rFonts w:cstheme="majorHAnsi"/>
        </w:rPr>
        <w:t xml:space="preserve">Systemic </w:t>
      </w:r>
      <w:r w:rsidR="00B77576" w:rsidRPr="00C64064">
        <w:rPr>
          <w:rFonts w:cstheme="majorHAnsi"/>
        </w:rPr>
        <w:t>C</w:t>
      </w:r>
      <w:r w:rsidRPr="00C64064">
        <w:rPr>
          <w:rFonts w:cstheme="majorHAnsi"/>
        </w:rPr>
        <w:t xml:space="preserve">hange and </w:t>
      </w:r>
      <w:r w:rsidR="00B77576" w:rsidRPr="00C64064">
        <w:rPr>
          <w:rFonts w:cstheme="majorHAnsi"/>
        </w:rPr>
        <w:t>S</w:t>
      </w:r>
      <w:r w:rsidRPr="00C64064">
        <w:rPr>
          <w:rFonts w:cstheme="majorHAnsi"/>
        </w:rPr>
        <w:t>ustainability</w:t>
      </w:r>
      <w:bookmarkEnd w:id="94"/>
      <w:bookmarkEnd w:id="95"/>
    </w:p>
    <w:p w14:paraId="75752FE6" w14:textId="77777777" w:rsidR="00E26194" w:rsidRPr="00302B4E" w:rsidRDefault="00E26194" w:rsidP="00D67282">
      <w:pPr>
        <w:pStyle w:val="paragraph"/>
        <w:spacing w:after="0" w:line="276" w:lineRule="auto"/>
        <w:textAlignment w:val="baseline"/>
        <w:rPr>
          <w:rFonts w:asciiTheme="majorHAnsi" w:eastAsiaTheme="majorEastAsia" w:hAnsiTheme="majorHAnsi" w:cstheme="majorHAnsi"/>
          <w:b/>
          <w:bCs/>
          <w:color w:val="005C71"/>
          <w:szCs w:val="26"/>
          <w:lang w:eastAsia="en-US"/>
        </w:rPr>
      </w:pPr>
      <w:r w:rsidRPr="00302B4E">
        <w:rPr>
          <w:rFonts w:asciiTheme="majorHAnsi" w:eastAsiaTheme="majorEastAsia" w:hAnsiTheme="majorHAnsi" w:cstheme="majorHAnsi"/>
          <w:b/>
          <w:bCs/>
          <w:color w:val="005C71"/>
          <w:szCs w:val="26"/>
          <w:lang w:eastAsia="en-US"/>
        </w:rPr>
        <w:t xml:space="preserve">An enduring commitment to sustainability </w:t>
      </w:r>
    </w:p>
    <w:p w14:paraId="1585D0EE" w14:textId="0B667A79" w:rsidR="00D0432C" w:rsidRDefault="00D0432C" w:rsidP="00D67282">
      <w:pPr>
        <w:pStyle w:val="paragraph"/>
        <w:spacing w:after="0" w:line="276" w:lineRule="auto"/>
        <w:textAlignment w:val="baseline"/>
        <w:rPr>
          <w:rFonts w:asciiTheme="majorHAnsi" w:eastAsia="Arial" w:hAnsiTheme="majorHAnsi" w:cstheme="majorHAnsi"/>
          <w:sz w:val="22"/>
          <w:szCs w:val="22"/>
          <w:lang w:eastAsia="en-US"/>
        </w:rPr>
      </w:pPr>
      <w:r>
        <w:rPr>
          <w:rFonts w:asciiTheme="majorHAnsi" w:eastAsia="Arial" w:hAnsiTheme="majorHAnsi" w:cstheme="majorHAnsi"/>
          <w:sz w:val="22"/>
          <w:szCs w:val="22"/>
          <w:lang w:eastAsia="en-US"/>
        </w:rPr>
        <w:t>PRISMA is committed to promoting systemic change and sustainability through its MSD approach to development. This approach focuses on understanding how key actors perform functions in a market system and how these functions can be improved and sustained after development assistance ends.</w:t>
      </w:r>
    </w:p>
    <w:p w14:paraId="4ADA2380" w14:textId="750AB7BF" w:rsidR="00515C13" w:rsidRDefault="00D0432C" w:rsidP="00D67282">
      <w:pPr>
        <w:pStyle w:val="paragraph"/>
        <w:spacing w:after="0" w:line="276" w:lineRule="auto"/>
        <w:textAlignment w:val="baseline"/>
        <w:rPr>
          <w:rFonts w:asciiTheme="majorHAnsi" w:eastAsia="Arial" w:hAnsiTheme="majorHAnsi" w:cstheme="majorHAnsi"/>
          <w:sz w:val="22"/>
          <w:szCs w:val="22"/>
          <w:lang w:eastAsia="en-US"/>
        </w:rPr>
      </w:pPr>
      <w:r>
        <w:rPr>
          <w:rFonts w:asciiTheme="majorHAnsi" w:eastAsia="Arial" w:hAnsiTheme="majorHAnsi" w:cstheme="majorHAnsi"/>
          <w:sz w:val="22"/>
          <w:szCs w:val="22"/>
          <w:lang w:eastAsia="en-US"/>
        </w:rPr>
        <w:t xml:space="preserve">To achieve this goal, PRISMA identifies barriers to growth and works with both the private and public sectors to modify their </w:t>
      </w:r>
      <w:r w:rsidR="00F14B74">
        <w:rPr>
          <w:rFonts w:asciiTheme="majorHAnsi" w:eastAsia="Arial" w:hAnsiTheme="majorHAnsi" w:cstheme="majorHAnsi"/>
          <w:sz w:val="22"/>
          <w:szCs w:val="22"/>
          <w:lang w:eastAsia="en-US"/>
        </w:rPr>
        <w:t>behaviour</w:t>
      </w:r>
      <w:r>
        <w:rPr>
          <w:rFonts w:asciiTheme="majorHAnsi" w:eastAsia="Arial" w:hAnsiTheme="majorHAnsi" w:cstheme="majorHAnsi"/>
          <w:sz w:val="22"/>
          <w:szCs w:val="22"/>
          <w:lang w:eastAsia="en-US"/>
        </w:rPr>
        <w:t>, address these barriers, and encourage investment in business models that benefit smallholder farmers. By smoothing the way for businesses to operate and grow, PRISMA ensures the sustainability of its interventions.</w:t>
      </w:r>
    </w:p>
    <w:p w14:paraId="269404D8" w14:textId="0A2BBC0E" w:rsidR="009C0795" w:rsidRPr="00C64064" w:rsidRDefault="009C0795" w:rsidP="00D67282">
      <w:pPr>
        <w:pStyle w:val="paragraph"/>
        <w:spacing w:after="0" w:line="276" w:lineRule="auto"/>
        <w:textAlignment w:val="baseline"/>
        <w:rPr>
          <w:rFonts w:asciiTheme="majorHAnsi" w:eastAsia="Arial" w:hAnsiTheme="majorHAnsi" w:cstheme="majorHAnsi"/>
          <w:sz w:val="22"/>
          <w:szCs w:val="22"/>
          <w:lang w:val="en-US" w:eastAsia="en-US"/>
        </w:rPr>
      </w:pPr>
      <w:r w:rsidRPr="00C64064">
        <w:rPr>
          <w:rFonts w:asciiTheme="majorHAnsi" w:eastAsia="Arial" w:hAnsiTheme="majorHAnsi" w:cstheme="majorHAnsi"/>
          <w:sz w:val="22"/>
          <w:szCs w:val="22"/>
          <w:lang w:eastAsia="en-US"/>
        </w:rPr>
        <w:t xml:space="preserve">This approach to sustainability operates at </w:t>
      </w:r>
      <w:r w:rsidR="00B77576" w:rsidRPr="00C64064">
        <w:rPr>
          <w:rFonts w:asciiTheme="majorHAnsi" w:eastAsia="Arial" w:hAnsiTheme="majorHAnsi" w:cstheme="majorHAnsi"/>
          <w:sz w:val="22"/>
          <w:szCs w:val="22"/>
          <w:lang w:eastAsia="en-US"/>
        </w:rPr>
        <w:t>3</w:t>
      </w:r>
      <w:r w:rsidRPr="00C64064">
        <w:rPr>
          <w:rFonts w:asciiTheme="majorHAnsi" w:eastAsia="Arial" w:hAnsiTheme="majorHAnsi" w:cstheme="majorHAnsi"/>
          <w:sz w:val="22"/>
          <w:szCs w:val="22"/>
          <w:lang w:eastAsia="en-US"/>
        </w:rPr>
        <w:t xml:space="preserve"> levels: </w:t>
      </w:r>
      <w:r w:rsidRPr="00C64064">
        <w:rPr>
          <w:rFonts w:asciiTheme="majorHAnsi" w:eastAsia="Arial" w:hAnsiTheme="majorHAnsi" w:cstheme="majorHAnsi"/>
          <w:sz w:val="22"/>
          <w:szCs w:val="22"/>
          <w:lang w:val="en-US" w:eastAsia="en-US"/>
        </w:rPr>
        <w:t> </w:t>
      </w:r>
    </w:p>
    <w:p w14:paraId="5D262A8D" w14:textId="227842B5" w:rsidR="00047D49" w:rsidRDefault="00047D49" w:rsidP="00FF05FD">
      <w:pPr>
        <w:pStyle w:val="paragraph"/>
        <w:spacing w:after="0" w:line="276" w:lineRule="auto"/>
        <w:textAlignment w:val="baseline"/>
        <w:rPr>
          <w:rFonts w:asciiTheme="majorHAnsi" w:eastAsia="Arial" w:hAnsiTheme="majorHAnsi" w:cstheme="majorHAnsi"/>
          <w:sz w:val="22"/>
          <w:szCs w:val="22"/>
          <w:lang w:eastAsia="en-US"/>
        </w:rPr>
      </w:pPr>
      <w:r>
        <w:rPr>
          <w:rFonts w:asciiTheme="majorHAnsi" w:eastAsia="Arial" w:hAnsiTheme="majorHAnsi" w:cstheme="majorHAnsi"/>
          <w:sz w:val="22"/>
          <w:szCs w:val="22"/>
          <w:lang w:eastAsia="en-US"/>
        </w:rPr>
        <w:t xml:space="preserve">Level 1: The program aims to ensure that innovations and investments are sustainable. Partners adopt or adapt the innovations or business models at the intervention level. </w:t>
      </w:r>
      <w:r w:rsidRPr="00170430">
        <w:rPr>
          <w:rFonts w:asciiTheme="majorHAnsi" w:eastAsia="Arial" w:hAnsiTheme="majorHAnsi" w:cstheme="majorHAnsi"/>
          <w:sz w:val="22"/>
          <w:szCs w:val="22"/>
          <w:lang w:eastAsia="en-US"/>
        </w:rPr>
        <w:t>Sustainability is achieved when the innovation brings tangible benefits to farming households and generates a commercial return for private sector partners.</w:t>
      </w:r>
    </w:p>
    <w:p w14:paraId="44247064" w14:textId="06E9A0BE" w:rsidR="00047D49" w:rsidRDefault="00047D49" w:rsidP="00FF05FD">
      <w:pPr>
        <w:pStyle w:val="paragraph"/>
        <w:spacing w:after="0" w:line="276" w:lineRule="auto"/>
        <w:textAlignment w:val="baseline"/>
        <w:rPr>
          <w:rFonts w:asciiTheme="majorHAnsi" w:eastAsia="Arial" w:hAnsiTheme="majorHAnsi" w:cstheme="majorHAnsi"/>
          <w:sz w:val="22"/>
          <w:szCs w:val="22"/>
          <w:lang w:eastAsia="en-US"/>
        </w:rPr>
      </w:pPr>
      <w:r>
        <w:rPr>
          <w:rFonts w:asciiTheme="majorHAnsi" w:eastAsia="Arial" w:hAnsiTheme="majorHAnsi" w:cstheme="majorHAnsi"/>
          <w:sz w:val="22"/>
          <w:szCs w:val="22"/>
          <w:lang w:eastAsia="en-US"/>
        </w:rPr>
        <w:t>Level 2: The program also aims to build on initial innovations to strengthen sector adaptability and resilience.</w:t>
      </w:r>
      <w:r w:rsidR="00FF05FD">
        <w:rPr>
          <w:rFonts w:asciiTheme="majorHAnsi" w:eastAsia="Arial" w:hAnsiTheme="majorHAnsi" w:cstheme="majorHAnsi"/>
          <w:sz w:val="22"/>
          <w:szCs w:val="22"/>
          <w:lang w:eastAsia="en-US"/>
        </w:rPr>
        <w:t xml:space="preserve"> </w:t>
      </w:r>
      <w:r>
        <w:rPr>
          <w:rFonts w:asciiTheme="majorHAnsi" w:eastAsia="Arial" w:hAnsiTheme="majorHAnsi" w:cstheme="majorHAnsi"/>
          <w:sz w:val="22"/>
          <w:szCs w:val="22"/>
          <w:lang w:eastAsia="en-US"/>
        </w:rPr>
        <w:t xml:space="preserve">At the sector level, partners focusing on different market functions (agricultural products and services) should be able to respond to opportunities or threats. </w:t>
      </w:r>
      <w:r w:rsidRPr="00170430">
        <w:rPr>
          <w:rFonts w:asciiTheme="majorHAnsi" w:eastAsia="Arial" w:hAnsiTheme="majorHAnsi" w:cstheme="majorHAnsi"/>
          <w:sz w:val="22"/>
          <w:szCs w:val="22"/>
          <w:lang w:eastAsia="en-US"/>
        </w:rPr>
        <w:t>New competitors may start adopting PRISMA's business models or taking advantage of the growing opportunities in the sector.</w:t>
      </w:r>
    </w:p>
    <w:p w14:paraId="4A71C977" w14:textId="17E9C5E2" w:rsidR="009C0795" w:rsidRPr="00FF05FD" w:rsidRDefault="00047D49" w:rsidP="00FF05FD">
      <w:pPr>
        <w:pStyle w:val="paragraph"/>
        <w:spacing w:after="0" w:line="276" w:lineRule="auto"/>
        <w:textAlignment w:val="baseline"/>
        <w:rPr>
          <w:rFonts w:asciiTheme="majorHAnsi" w:eastAsia="Arial" w:hAnsiTheme="majorHAnsi" w:cstheme="majorHAnsi"/>
          <w:sz w:val="22"/>
          <w:szCs w:val="22"/>
          <w:lang w:eastAsia="en-US"/>
        </w:rPr>
      </w:pPr>
      <w:r>
        <w:rPr>
          <w:rFonts w:asciiTheme="majorHAnsi" w:eastAsia="Arial" w:hAnsiTheme="majorHAnsi" w:cstheme="majorHAnsi"/>
          <w:sz w:val="22"/>
          <w:szCs w:val="22"/>
          <w:lang w:eastAsia="en-US"/>
        </w:rPr>
        <w:t xml:space="preserve">Level 3: The program </w:t>
      </w:r>
      <w:r w:rsidRPr="00170430">
        <w:rPr>
          <w:rFonts w:asciiTheme="majorHAnsi" w:eastAsia="Arial" w:hAnsiTheme="majorHAnsi" w:cstheme="majorHAnsi"/>
          <w:sz w:val="22"/>
          <w:szCs w:val="22"/>
          <w:lang w:eastAsia="en-US"/>
        </w:rPr>
        <w:t xml:space="preserve">seeks to influence policy and institutional </w:t>
      </w:r>
      <w:r w:rsidR="00FC0657" w:rsidRPr="00170430">
        <w:rPr>
          <w:rFonts w:asciiTheme="majorHAnsi" w:eastAsia="Arial" w:hAnsiTheme="majorHAnsi" w:cstheme="majorHAnsi"/>
          <w:sz w:val="22"/>
          <w:szCs w:val="22"/>
          <w:lang w:eastAsia="en-US"/>
        </w:rPr>
        <w:t>behaviour</w:t>
      </w:r>
      <w:r w:rsidRPr="00170430">
        <w:rPr>
          <w:rFonts w:asciiTheme="majorHAnsi" w:eastAsia="Arial" w:hAnsiTheme="majorHAnsi" w:cstheme="majorHAnsi"/>
          <w:sz w:val="22"/>
          <w:szCs w:val="22"/>
          <w:lang w:eastAsia="en-US"/>
        </w:rPr>
        <w:t>,</w:t>
      </w:r>
      <w:r>
        <w:rPr>
          <w:rFonts w:asciiTheme="majorHAnsi" w:eastAsia="Arial" w:hAnsiTheme="majorHAnsi" w:cstheme="majorHAnsi"/>
          <w:sz w:val="22"/>
          <w:szCs w:val="22"/>
          <w:lang w:eastAsia="en-US"/>
        </w:rPr>
        <w:t xml:space="preserve"> either directly or through influencing the influencers.</w:t>
      </w:r>
      <w:r w:rsidR="00FF05FD">
        <w:rPr>
          <w:rFonts w:asciiTheme="majorHAnsi" w:eastAsia="Arial" w:hAnsiTheme="majorHAnsi" w:cstheme="majorHAnsi"/>
          <w:sz w:val="22"/>
          <w:szCs w:val="22"/>
          <w:lang w:eastAsia="en-US"/>
        </w:rPr>
        <w:t xml:space="preserve"> </w:t>
      </w:r>
      <w:r>
        <w:rPr>
          <w:rFonts w:asciiTheme="majorHAnsi" w:eastAsia="Arial" w:hAnsiTheme="majorHAnsi" w:cstheme="majorHAnsi"/>
          <w:sz w:val="22"/>
          <w:szCs w:val="22"/>
          <w:lang w:eastAsia="en-US"/>
        </w:rPr>
        <w:t xml:space="preserve">At the policy level and in academia, PRISMA's initiatives are expected to bring about positive and tangible changes in the way the public sector operates and strengthens university content and teaching. This will </w:t>
      </w:r>
      <w:r w:rsidRPr="00170430">
        <w:rPr>
          <w:rFonts w:asciiTheme="majorHAnsi" w:eastAsia="Arial" w:hAnsiTheme="majorHAnsi" w:cstheme="majorHAnsi"/>
          <w:sz w:val="22"/>
          <w:szCs w:val="22"/>
          <w:lang w:eastAsia="en-US"/>
        </w:rPr>
        <w:t>create a more enabling environment</w:t>
      </w:r>
      <w:r>
        <w:rPr>
          <w:rFonts w:asciiTheme="majorHAnsi" w:eastAsia="Arial" w:hAnsiTheme="majorHAnsi" w:cstheme="majorHAnsi"/>
          <w:sz w:val="22"/>
          <w:szCs w:val="22"/>
          <w:lang w:eastAsia="en-US"/>
        </w:rPr>
        <w:t xml:space="preserve"> for private sector-led agricultural growth.</w:t>
      </w:r>
    </w:p>
    <w:p w14:paraId="3F59395D" w14:textId="0D135954" w:rsidR="00472D3F" w:rsidRPr="00577990" w:rsidRDefault="00E26194" w:rsidP="00E26194">
      <w:pPr>
        <w:pStyle w:val="paragraph"/>
        <w:spacing w:after="0" w:line="276" w:lineRule="auto"/>
        <w:textAlignment w:val="baseline"/>
        <w:rPr>
          <w:rFonts w:asciiTheme="majorHAnsi" w:eastAsiaTheme="majorEastAsia" w:hAnsiTheme="majorHAnsi" w:cstheme="majorHAnsi"/>
          <w:b/>
          <w:color w:val="005C71"/>
          <w:szCs w:val="26"/>
          <w:lang w:eastAsia="en-US"/>
        </w:rPr>
      </w:pPr>
      <w:r w:rsidRPr="00577990">
        <w:rPr>
          <w:rFonts w:asciiTheme="majorHAnsi" w:eastAsiaTheme="majorEastAsia" w:hAnsiTheme="majorHAnsi" w:cstheme="majorHAnsi"/>
          <w:b/>
          <w:bCs/>
          <w:color w:val="005C71"/>
          <w:szCs w:val="26"/>
          <w:lang w:eastAsia="en-US"/>
        </w:rPr>
        <w:t xml:space="preserve">Final year </w:t>
      </w:r>
      <w:r w:rsidR="009D3049">
        <w:rPr>
          <w:rFonts w:asciiTheme="majorHAnsi" w:eastAsiaTheme="majorEastAsia" w:hAnsiTheme="majorHAnsi" w:cstheme="majorHAnsi"/>
          <w:b/>
          <w:bCs/>
          <w:color w:val="005C71"/>
          <w:szCs w:val="26"/>
          <w:lang w:eastAsia="en-US"/>
        </w:rPr>
        <w:t>focus</w:t>
      </w:r>
      <w:r w:rsidR="009D3049" w:rsidRPr="00577990">
        <w:rPr>
          <w:rFonts w:asciiTheme="majorHAnsi" w:eastAsiaTheme="majorEastAsia" w:hAnsiTheme="majorHAnsi" w:cstheme="majorHAnsi"/>
          <w:b/>
          <w:bCs/>
          <w:color w:val="005C71"/>
          <w:szCs w:val="26"/>
          <w:lang w:eastAsia="en-US"/>
        </w:rPr>
        <w:t xml:space="preserve"> </w:t>
      </w:r>
    </w:p>
    <w:p w14:paraId="06233953" w14:textId="47490CE4" w:rsidR="00DD44CF" w:rsidRPr="00D02516" w:rsidRDefault="00DD44CF" w:rsidP="00DD44CF">
      <w:r>
        <w:t>Building on its success, PRISMA</w:t>
      </w:r>
      <w:r w:rsidR="00D56FC3">
        <w:t>, in its final year,</w:t>
      </w:r>
      <w:r>
        <w:t xml:space="preserve"> </w:t>
      </w:r>
      <w:r w:rsidR="00D56FC3">
        <w:t xml:space="preserve">aims </w:t>
      </w:r>
      <w:r>
        <w:t>to influence the market with its know-how and expertise. The eleventh year was an extension granted by DFAT in recognition of the opportunity to share the PRISMA experience more widely. The program for the final year split</w:t>
      </w:r>
      <w:r w:rsidRPr="00D02516">
        <w:t xml:space="preserve"> </w:t>
      </w:r>
      <w:r w:rsidRPr="00170430">
        <w:t>sustainability targets into sector-level activities (</w:t>
      </w:r>
      <w:r w:rsidRPr="00170430">
        <w:rPr>
          <w:b/>
          <w:bCs/>
          <w:u w:val="single"/>
        </w:rPr>
        <w:t>market resilience</w:t>
      </w:r>
      <w:r w:rsidRPr="00170430">
        <w:t>) and policy- and academic-institution-focused activities (</w:t>
      </w:r>
      <w:r w:rsidRPr="00170430">
        <w:rPr>
          <w:b/>
          <w:bCs/>
          <w:u w:val="single"/>
        </w:rPr>
        <w:t>high-priority policy initiatives</w:t>
      </w:r>
      <w:r w:rsidRPr="00170430">
        <w:t>).</w:t>
      </w:r>
    </w:p>
    <w:p w14:paraId="105AD1E3" w14:textId="77777777" w:rsidR="00DD44CF" w:rsidRDefault="00DD44CF" w:rsidP="00DD44CF">
      <w:r w:rsidRPr="00D02516">
        <w:lastRenderedPageBreak/>
        <w:t xml:space="preserve">Resilience activities spanned 12 sectors, bolstering market actors' ability to navigate market stress and uncertainties. These </w:t>
      </w:r>
      <w:r>
        <w:t>i</w:t>
      </w:r>
      <w:r w:rsidRPr="00D02516">
        <w:t xml:space="preserve">ncluded activities and events for </w:t>
      </w:r>
      <w:r>
        <w:t>building</w:t>
      </w:r>
      <w:r w:rsidRPr="00D02516">
        <w:t xml:space="preserve"> private and public sector capacities, enhancing market functions critical for sector performance, and institutionalizing essential functions like research and marketing.</w:t>
      </w:r>
      <w:r>
        <w:t xml:space="preserve"> Twenty-seven events were held</w:t>
      </w:r>
      <w:r w:rsidRPr="005C6BE1">
        <w:t xml:space="preserve">, reaching more than 2.5 million people and influencing </w:t>
      </w:r>
      <w:r>
        <w:t xml:space="preserve">more than </w:t>
      </w:r>
      <w:r w:rsidRPr="005C6BE1">
        <w:t>2,500 people face-to-face</w:t>
      </w:r>
      <w:r>
        <w:t xml:space="preserve">. </w:t>
      </w:r>
    </w:p>
    <w:p w14:paraId="0732B5CE" w14:textId="77777777" w:rsidR="00DD44CF" w:rsidRPr="00955628" w:rsidRDefault="00DD44CF" w:rsidP="00DD44CF">
      <w:pPr>
        <w:spacing w:before="120"/>
        <w:jc w:val="both"/>
      </w:pPr>
      <w:r>
        <w:t>The high-priority policy initiatives targeted policy and institutional behaviour changes to foster a more conducive environment for private sector-led agricultural growth.</w:t>
      </w:r>
      <w:r w:rsidRPr="00C234C1">
        <w:rPr>
          <w:rFonts w:asciiTheme="majorHAnsi" w:hAnsiTheme="majorHAnsi" w:cstheme="majorHAnsi"/>
          <w:lang w:val="en-AU"/>
        </w:rPr>
        <w:t xml:space="preserve"> </w:t>
      </w:r>
      <w:r w:rsidRPr="00C64064">
        <w:rPr>
          <w:rFonts w:asciiTheme="majorHAnsi" w:hAnsiTheme="majorHAnsi" w:cstheme="majorHAnsi"/>
          <w:lang w:val="en-AU"/>
        </w:rPr>
        <w:t xml:space="preserve">These initiatives build on PRISMA efforts to foster a more enabling business environment in key sectors and national and </w:t>
      </w:r>
      <w:r w:rsidRPr="00955628">
        <w:t xml:space="preserve">regional agricultural planning. </w:t>
      </w:r>
    </w:p>
    <w:p w14:paraId="59FCE179" w14:textId="45D8B1B8" w:rsidR="00B46215" w:rsidRPr="00C64064" w:rsidRDefault="00B46215" w:rsidP="00B03C3A">
      <w:pPr>
        <w:pStyle w:val="Head3"/>
        <w:rPr>
          <w:lang w:eastAsia="en-US"/>
        </w:rPr>
      </w:pPr>
      <w:bookmarkStart w:id="96" w:name="_Toc173318315"/>
      <w:bookmarkStart w:id="97" w:name="_Toc179192307"/>
      <w:bookmarkStart w:id="98" w:name="_Toc180155172"/>
      <w:r w:rsidRPr="00C64064">
        <w:rPr>
          <w:lang w:eastAsia="en-US"/>
        </w:rPr>
        <w:t>Market resilience activities</w:t>
      </w:r>
      <w:bookmarkEnd w:id="96"/>
      <w:bookmarkEnd w:id="97"/>
      <w:bookmarkEnd w:id="98"/>
    </w:p>
    <w:p w14:paraId="1A19D1E3" w14:textId="77777777" w:rsidR="00AB7F69" w:rsidRPr="00AB7F69" w:rsidRDefault="00AB7F69" w:rsidP="00AB7F69">
      <w:pPr>
        <w:pStyle w:val="paragraph"/>
        <w:spacing w:after="0" w:line="276" w:lineRule="auto"/>
        <w:textAlignment w:val="baseline"/>
        <w:rPr>
          <w:rFonts w:asciiTheme="majorHAnsi" w:eastAsia="Arial" w:hAnsiTheme="majorHAnsi" w:cstheme="majorHAnsi"/>
          <w:sz w:val="22"/>
          <w:szCs w:val="22"/>
          <w:lang w:val="en-US" w:eastAsia="en-US"/>
        </w:rPr>
      </w:pPr>
      <w:r w:rsidRPr="00AB7F69">
        <w:rPr>
          <w:rFonts w:asciiTheme="majorHAnsi" w:eastAsia="Arial" w:hAnsiTheme="majorHAnsi" w:cstheme="majorHAnsi"/>
          <w:sz w:val="22"/>
          <w:szCs w:val="22"/>
          <w:lang w:val="en-US" w:eastAsia="en-US"/>
        </w:rPr>
        <w:t>Resilience means that PRISMA's innovations continue to thrive despite market stress and uncertainty. Each activity aims to address a gap or opportunity that, when strengthened, will ensure the sustainability of PRISMA’s interventions.</w:t>
      </w:r>
    </w:p>
    <w:p w14:paraId="6B95B652" w14:textId="77777777" w:rsidR="00AB7F69" w:rsidRPr="00AB7F69" w:rsidRDefault="00AB7F69" w:rsidP="00AB7F69">
      <w:pPr>
        <w:pStyle w:val="paragraph"/>
        <w:spacing w:after="0" w:line="276" w:lineRule="auto"/>
        <w:textAlignment w:val="baseline"/>
        <w:rPr>
          <w:rFonts w:asciiTheme="majorHAnsi" w:eastAsia="Arial" w:hAnsiTheme="majorHAnsi" w:cstheme="majorHAnsi"/>
          <w:sz w:val="22"/>
          <w:szCs w:val="22"/>
          <w:lang w:val="en-US" w:eastAsia="en-US"/>
        </w:rPr>
      </w:pPr>
      <w:r w:rsidRPr="00AB7F69">
        <w:rPr>
          <w:rFonts w:asciiTheme="majorHAnsi" w:eastAsia="Arial" w:hAnsiTheme="majorHAnsi" w:cstheme="majorHAnsi"/>
          <w:sz w:val="22"/>
          <w:szCs w:val="22"/>
          <w:lang w:val="en-US" w:eastAsia="en-US"/>
        </w:rPr>
        <w:t>During this reporting period, resilience activities occurred across 12 active sectors to enhance market actors’ ability to withstand shocks, respond to unexpected threats, and maintain business operations under stressful conditions.</w:t>
      </w:r>
    </w:p>
    <w:p w14:paraId="44A75754" w14:textId="69806538" w:rsidR="009C0795" w:rsidRDefault="00AB7F69" w:rsidP="00AB7F69">
      <w:pPr>
        <w:pStyle w:val="paragraph"/>
        <w:spacing w:after="0" w:line="276" w:lineRule="auto"/>
        <w:textAlignment w:val="baseline"/>
        <w:rPr>
          <w:rFonts w:asciiTheme="majorHAnsi" w:eastAsia="Arial" w:hAnsiTheme="majorHAnsi" w:cstheme="majorHAnsi"/>
          <w:sz w:val="22"/>
          <w:szCs w:val="22"/>
          <w:lang w:val="en-US" w:eastAsia="en-US"/>
        </w:rPr>
      </w:pPr>
      <w:r w:rsidRPr="00AB7F69">
        <w:rPr>
          <w:rFonts w:asciiTheme="majorHAnsi" w:eastAsia="Arial" w:hAnsiTheme="majorHAnsi" w:cstheme="majorHAnsi"/>
          <w:sz w:val="22"/>
          <w:szCs w:val="22"/>
          <w:lang w:val="en-US" w:eastAsia="en-US"/>
        </w:rPr>
        <w:t>These activities can be broadly categorized as:</w:t>
      </w:r>
    </w:p>
    <w:tbl>
      <w:tblPr>
        <w:tblStyle w:val="TableGrid"/>
        <w:tblW w:w="9900" w:type="dxa"/>
        <w:shd w:val="clear" w:color="auto" w:fill="252E65"/>
        <w:tblLook w:val="04A0" w:firstRow="1" w:lastRow="0" w:firstColumn="1" w:lastColumn="0" w:noHBand="0" w:noVBand="1"/>
      </w:tblPr>
      <w:tblGrid>
        <w:gridCol w:w="9900"/>
      </w:tblGrid>
      <w:tr w:rsidR="00753780" w14:paraId="6A690744" w14:textId="77777777" w:rsidTr="00E73D1F">
        <w:trPr>
          <w:cnfStyle w:val="100000000000" w:firstRow="1" w:lastRow="0" w:firstColumn="0" w:lastColumn="0" w:oddVBand="0" w:evenVBand="0" w:oddHBand="0" w:evenHBand="0" w:firstRowFirstColumn="0" w:firstRowLastColumn="0" w:lastRowFirstColumn="0" w:lastRowLastColumn="0"/>
        </w:trPr>
        <w:tc>
          <w:tcPr>
            <w:tcW w:w="9900" w:type="dxa"/>
            <w:shd w:val="clear" w:color="auto" w:fill="252E65"/>
          </w:tcPr>
          <w:p w14:paraId="1FBE8109" w14:textId="5F6FBB21" w:rsidR="00753780" w:rsidRPr="00E73D1F" w:rsidRDefault="00753780" w:rsidP="00753780">
            <w:pPr>
              <w:pStyle w:val="paragraph"/>
              <w:spacing w:after="0" w:line="276" w:lineRule="auto"/>
              <w:textAlignment w:val="baseline"/>
              <w:rPr>
                <w:rFonts w:asciiTheme="majorHAnsi" w:eastAsia="Arial" w:hAnsiTheme="majorHAnsi" w:cstheme="majorHAnsi"/>
                <w:color w:val="FFFFFF" w:themeColor="background1"/>
                <w:sz w:val="22"/>
                <w:szCs w:val="22"/>
                <w:lang w:val="en-US" w:eastAsia="en-US"/>
              </w:rPr>
            </w:pPr>
            <w:r w:rsidRPr="00E73D1F">
              <w:rPr>
                <w:noProof/>
                <w:color w:val="FFFFFF" w:themeColor="background1"/>
              </w:rPr>
              <w:drawing>
                <wp:inline distT="0" distB="0" distL="0" distR="0" wp14:anchorId="6A2006A1" wp14:editId="69AB4B9E">
                  <wp:extent cx="457200" cy="457200"/>
                  <wp:effectExtent l="0" t="0" r="0" b="0"/>
                  <wp:docPr id="1125786378" name="Graphic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786378" name="Graphic 41">
                            <a:extLst>
                              <a:ext uri="{C183D7F6-B498-43B3-948B-1728B52AA6E4}">
                                <adec:decorative xmlns:adec="http://schemas.microsoft.com/office/drawing/2017/decorative" val="1"/>
                              </a:ext>
                            </a:extLst>
                          </pic:cNvPr>
                          <pic:cNvPicPr/>
                        </pic:nvPicPr>
                        <pic:blipFill>
                          <a:blip r:embed="rId109">
                            <a:extLst>
                              <a:ext uri="{96DAC541-7B7A-43D3-8B79-37D633B846F1}">
                                <asvg:svgBlip xmlns:asvg="http://schemas.microsoft.com/office/drawing/2016/SVG/main" r:embed="rId110"/>
                              </a:ext>
                            </a:extLst>
                          </a:blip>
                          <a:stretch>
                            <a:fillRect/>
                          </a:stretch>
                        </pic:blipFill>
                        <pic:spPr>
                          <a:xfrm>
                            <a:off x="0" y="0"/>
                            <a:ext cx="457200" cy="457200"/>
                          </a:xfrm>
                          <a:prstGeom prst="rect">
                            <a:avLst/>
                          </a:prstGeom>
                        </pic:spPr>
                      </pic:pic>
                    </a:graphicData>
                  </a:graphic>
                </wp:inline>
              </w:drawing>
            </w:r>
            <w:r w:rsidR="00E73D1F">
              <w:rPr>
                <w:rFonts w:asciiTheme="majorHAnsi" w:eastAsia="Arial" w:hAnsiTheme="majorHAnsi" w:cstheme="majorHAnsi"/>
                <w:b/>
                <w:bCs/>
                <w:color w:val="FFFFFF" w:themeColor="background1"/>
                <w:sz w:val="40"/>
                <w:szCs w:val="40"/>
                <w:lang w:val="en-US" w:eastAsia="en-US"/>
              </w:rPr>
              <w:t xml:space="preserve">   </w:t>
            </w:r>
            <w:r w:rsidR="00E73D1F" w:rsidRPr="00E73D1F">
              <w:rPr>
                <w:rFonts w:asciiTheme="majorHAnsi" w:eastAsia="Arial" w:hAnsiTheme="majorHAnsi" w:cstheme="majorHAnsi"/>
                <w:b/>
                <w:bCs/>
                <w:color w:val="FFFFFF" w:themeColor="background1"/>
                <w:sz w:val="40"/>
                <w:szCs w:val="40"/>
                <w:lang w:val="en-US" w:eastAsia="en-US"/>
              </w:rPr>
              <w:t>Exit Strategies</w:t>
            </w:r>
          </w:p>
        </w:tc>
      </w:tr>
    </w:tbl>
    <w:tbl>
      <w:tblPr>
        <w:tblStyle w:val="GridTable7Colorful"/>
        <w:tblW w:w="9895" w:type="dxa"/>
        <w:tblInd w:w="5" w:type="dxa"/>
        <w:tblBorders>
          <w:top w:val="none" w:sz="0" w:space="0" w:color="auto"/>
          <w:left w:val="none" w:sz="0" w:space="0" w:color="auto"/>
          <w:bottom w:val="none" w:sz="0" w:space="0" w:color="auto"/>
          <w:right w:val="none" w:sz="0" w:space="0" w:color="auto"/>
          <w:insideH w:val="single" w:sz="6" w:space="0" w:color="auto"/>
          <w:insideV w:val="none" w:sz="0" w:space="0" w:color="auto"/>
        </w:tblBorders>
        <w:tblCellMar>
          <w:top w:w="108" w:type="dxa"/>
          <w:bottom w:w="108" w:type="dxa"/>
        </w:tblCellMar>
        <w:tblLook w:val="04A0" w:firstRow="1" w:lastRow="0" w:firstColumn="1" w:lastColumn="0" w:noHBand="0" w:noVBand="1"/>
      </w:tblPr>
      <w:tblGrid>
        <w:gridCol w:w="2592"/>
        <w:gridCol w:w="2124"/>
        <w:gridCol w:w="5179"/>
      </w:tblGrid>
      <w:tr w:rsidR="00A76918" w:rsidRPr="002B3D3E" w14:paraId="31383770" w14:textId="77777777" w:rsidTr="00EE453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92" w:type="dxa"/>
            <w:shd w:val="clear" w:color="auto" w:fill="F7E6B7"/>
          </w:tcPr>
          <w:p w14:paraId="278C058A" w14:textId="77777777" w:rsidR="00A76918" w:rsidRPr="002B3D3E" w:rsidRDefault="00A76918" w:rsidP="00EE453C">
            <w:pPr>
              <w:pStyle w:val="paragraph"/>
              <w:spacing w:before="0" w:line="276" w:lineRule="auto"/>
              <w:jc w:val="left"/>
              <w:textAlignment w:val="baseline"/>
              <w:rPr>
                <w:rFonts w:asciiTheme="majorHAnsi" w:eastAsia="Arial" w:hAnsiTheme="majorHAnsi" w:cstheme="majorHAnsi"/>
                <w:b w:val="0"/>
                <w:bCs w:val="0"/>
                <w:i w:val="0"/>
                <w:iCs w:val="0"/>
                <w:color w:val="auto"/>
                <w:sz w:val="22"/>
                <w:szCs w:val="22"/>
                <w:lang w:val="en-US" w:eastAsia="en-US"/>
              </w:rPr>
            </w:pPr>
            <w:bookmarkStart w:id="99" w:name="_Hlk172882800"/>
            <w:r w:rsidRPr="002B3D3E">
              <w:rPr>
                <w:rFonts w:asciiTheme="majorHAnsi" w:eastAsia="Arial" w:hAnsiTheme="majorHAnsi" w:cstheme="majorHAnsi"/>
                <w:b w:val="0"/>
                <w:bCs w:val="0"/>
                <w:i w:val="0"/>
                <w:iCs w:val="0"/>
                <w:color w:val="auto"/>
                <w:lang w:val="en-US" w:eastAsia="en-US"/>
              </w:rPr>
              <w:t>Strategies towards ensuring greater sustainability</w:t>
            </w:r>
          </w:p>
        </w:tc>
        <w:tc>
          <w:tcPr>
            <w:tcW w:w="2124" w:type="dxa"/>
            <w:shd w:val="clear" w:color="auto" w:fill="F7E6B7"/>
          </w:tcPr>
          <w:p w14:paraId="41BD341B" w14:textId="77777777" w:rsidR="00A76918" w:rsidRPr="002B3D3E" w:rsidRDefault="00A76918" w:rsidP="00EE453C">
            <w:pPr>
              <w:pStyle w:val="paragraph"/>
              <w:spacing w:before="0" w:beforeAutospacing="0" w:after="0" w:afterAutospacing="0" w:line="276" w:lineRule="auto"/>
              <w:ind w:left="360"/>
              <w:textAlignment w:val="baseline"/>
              <w:cnfStyle w:val="100000000000" w:firstRow="1" w:lastRow="0" w:firstColumn="0" w:lastColumn="0" w:oddVBand="0" w:evenVBand="0" w:oddHBand="0" w:evenHBand="0" w:firstRowFirstColumn="0" w:firstRowLastColumn="0" w:lastRowFirstColumn="0" w:lastRowLastColumn="0"/>
              <w:rPr>
                <w:rFonts w:asciiTheme="majorHAnsi" w:eastAsia="Arial" w:hAnsiTheme="majorHAnsi" w:cstheme="majorHAnsi"/>
                <w:color w:val="auto"/>
                <w:sz w:val="22"/>
                <w:szCs w:val="22"/>
                <w:lang w:val="en-US" w:eastAsia="en-US"/>
              </w:rPr>
            </w:pPr>
          </w:p>
        </w:tc>
        <w:tc>
          <w:tcPr>
            <w:tcW w:w="5179" w:type="dxa"/>
            <w:shd w:val="clear" w:color="auto" w:fill="F7E6B7"/>
          </w:tcPr>
          <w:p w14:paraId="1284D9C3" w14:textId="77777777" w:rsidR="00A76918" w:rsidRPr="002B3D3E" w:rsidRDefault="00A76918" w:rsidP="00A76918">
            <w:pPr>
              <w:pStyle w:val="paragraph"/>
              <w:numPr>
                <w:ilvl w:val="0"/>
                <w:numId w:val="17"/>
              </w:numPr>
              <w:spacing w:before="0" w:beforeAutospacing="0" w:after="120" w:afterAutospacing="0" w:line="276" w:lineRule="auto"/>
              <w:ind w:left="360"/>
              <w:textAlignment w:val="baseline"/>
              <w:cnfStyle w:val="100000000000" w:firstRow="1" w:lastRow="0" w:firstColumn="0" w:lastColumn="0" w:oddVBand="0" w:evenVBand="0" w:oddHBand="0" w:evenHBand="0" w:firstRowFirstColumn="0" w:firstRowLastColumn="0" w:lastRowFirstColumn="0" w:lastRowLastColumn="0"/>
              <w:rPr>
                <w:rFonts w:asciiTheme="majorHAnsi" w:eastAsia="Arial" w:hAnsiTheme="majorHAnsi" w:cstheme="majorHAnsi"/>
                <w:color w:val="auto"/>
                <w:sz w:val="22"/>
                <w:szCs w:val="22"/>
                <w:lang w:val="en-US" w:eastAsia="en-US"/>
              </w:rPr>
            </w:pPr>
            <w:r w:rsidRPr="002B3D3E">
              <w:rPr>
                <w:rFonts w:asciiTheme="majorHAnsi" w:eastAsia="Arial" w:hAnsiTheme="majorHAnsi" w:cstheme="majorHAnsi"/>
                <w:color w:val="auto"/>
                <w:sz w:val="22"/>
                <w:szCs w:val="22"/>
                <w:lang w:val="en-US" w:eastAsia="en-US"/>
              </w:rPr>
              <w:t>Improving the private and public sectors' institutional capacity to sustain the changed behaviour without PRISMA's support.  </w:t>
            </w:r>
          </w:p>
          <w:p w14:paraId="0DA2BB2D" w14:textId="77777777" w:rsidR="00A76918" w:rsidRPr="002B3D3E" w:rsidRDefault="00A76918" w:rsidP="00A76918">
            <w:pPr>
              <w:pStyle w:val="paragraph"/>
              <w:numPr>
                <w:ilvl w:val="0"/>
                <w:numId w:val="17"/>
              </w:numPr>
              <w:spacing w:before="0" w:beforeAutospacing="0" w:after="120" w:afterAutospacing="0" w:line="276" w:lineRule="auto"/>
              <w:ind w:left="360"/>
              <w:textAlignment w:val="baseline"/>
              <w:cnfStyle w:val="100000000000" w:firstRow="1" w:lastRow="0" w:firstColumn="0" w:lastColumn="0" w:oddVBand="0" w:evenVBand="0" w:oddHBand="0" w:evenHBand="0" w:firstRowFirstColumn="0" w:firstRowLastColumn="0" w:lastRowFirstColumn="0" w:lastRowLastColumn="0"/>
              <w:rPr>
                <w:rFonts w:asciiTheme="majorHAnsi" w:eastAsia="Arial" w:hAnsiTheme="majorHAnsi" w:cstheme="majorHAnsi"/>
                <w:color w:val="auto"/>
                <w:sz w:val="22"/>
                <w:szCs w:val="22"/>
                <w:lang w:val="en-US" w:eastAsia="en-US"/>
              </w:rPr>
            </w:pPr>
            <w:r w:rsidRPr="002B3D3E">
              <w:rPr>
                <w:rFonts w:asciiTheme="majorHAnsi" w:eastAsia="Arial" w:hAnsiTheme="majorHAnsi" w:cstheme="majorHAnsi"/>
                <w:color w:val="auto"/>
                <w:sz w:val="22"/>
                <w:szCs w:val="22"/>
                <w:lang w:val="en-US" w:eastAsia="en-US"/>
              </w:rPr>
              <w:t>Improving selected market functions that are critical to improving sector performance.  </w:t>
            </w:r>
          </w:p>
          <w:p w14:paraId="36F35CB4" w14:textId="77777777" w:rsidR="00A76918" w:rsidRPr="002B3D3E" w:rsidRDefault="00A76918" w:rsidP="00A76918">
            <w:pPr>
              <w:pStyle w:val="paragraph"/>
              <w:numPr>
                <w:ilvl w:val="0"/>
                <w:numId w:val="17"/>
              </w:numPr>
              <w:spacing w:before="0" w:beforeAutospacing="0" w:after="120" w:afterAutospacing="0" w:line="276" w:lineRule="auto"/>
              <w:ind w:left="360"/>
              <w:textAlignment w:val="baseline"/>
              <w:cnfStyle w:val="100000000000" w:firstRow="1" w:lastRow="0" w:firstColumn="0" w:lastColumn="0" w:oddVBand="0" w:evenVBand="0" w:oddHBand="0" w:evenHBand="0" w:firstRowFirstColumn="0" w:firstRowLastColumn="0" w:lastRowFirstColumn="0" w:lastRowLastColumn="0"/>
              <w:rPr>
                <w:rFonts w:asciiTheme="majorHAnsi" w:eastAsia="Arial" w:hAnsiTheme="majorHAnsi" w:cstheme="majorHAnsi"/>
                <w:color w:val="auto"/>
                <w:sz w:val="22"/>
                <w:szCs w:val="22"/>
                <w:lang w:val="en-US" w:eastAsia="en-US"/>
              </w:rPr>
            </w:pPr>
            <w:r w:rsidRPr="002B3D3E">
              <w:rPr>
                <w:rFonts w:asciiTheme="majorHAnsi" w:eastAsia="Arial" w:hAnsiTheme="majorHAnsi" w:cstheme="majorHAnsi"/>
                <w:color w:val="auto"/>
                <w:sz w:val="22"/>
                <w:szCs w:val="22"/>
                <w:lang w:val="en-US" w:eastAsia="en-US"/>
              </w:rPr>
              <w:t>Institutionalising critical functions, such as research and marketing activities in untapped areas.  </w:t>
            </w:r>
          </w:p>
        </w:tc>
      </w:tr>
      <w:tr w:rsidR="00A76918" w:rsidRPr="00C64064" w14:paraId="4C392C7D" w14:textId="77777777" w:rsidTr="00EE45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92" w:type="dxa"/>
            <w:shd w:val="clear" w:color="auto" w:fill="auto"/>
          </w:tcPr>
          <w:p w14:paraId="54B3998E" w14:textId="77777777" w:rsidR="00A76918" w:rsidRPr="008675B7" w:rsidRDefault="00A76918" w:rsidP="00EE453C">
            <w:pPr>
              <w:pStyle w:val="paragraph"/>
              <w:spacing w:after="0" w:line="276" w:lineRule="auto"/>
              <w:jc w:val="left"/>
              <w:textAlignment w:val="baseline"/>
              <w:rPr>
                <w:rFonts w:asciiTheme="majorHAnsi" w:eastAsia="Arial" w:hAnsiTheme="majorHAnsi" w:cstheme="majorHAnsi"/>
                <w:b/>
                <w:bCs/>
                <w:color w:val="002060"/>
                <w:sz w:val="20"/>
                <w:szCs w:val="20"/>
                <w:lang w:val="en-US" w:eastAsia="en-US"/>
              </w:rPr>
            </w:pPr>
            <w:bookmarkStart w:id="100" w:name="_Hlk172884267"/>
            <w:bookmarkEnd w:id="99"/>
            <w:r w:rsidRPr="001A7C6B">
              <w:rPr>
                <w:rFonts w:asciiTheme="majorHAnsi" w:eastAsia="Arial" w:hAnsiTheme="majorHAnsi" w:cstheme="majorHAnsi"/>
                <w:b/>
                <w:bCs/>
                <w:i w:val="0"/>
                <w:iCs w:val="0"/>
                <w:color w:val="002060"/>
                <w:sz w:val="20"/>
                <w:szCs w:val="20"/>
                <w:lang w:val="en-US" w:eastAsia="en-US"/>
              </w:rPr>
              <w:t>Example</w:t>
            </w:r>
            <w:r>
              <w:rPr>
                <w:rFonts w:asciiTheme="majorHAnsi" w:eastAsia="Arial" w:hAnsiTheme="majorHAnsi" w:cstheme="majorHAnsi"/>
                <w:b/>
                <w:bCs/>
                <w:i w:val="0"/>
                <w:iCs w:val="0"/>
                <w:color w:val="002060"/>
                <w:sz w:val="20"/>
                <w:szCs w:val="20"/>
                <w:lang w:val="en-US" w:eastAsia="en-US"/>
              </w:rPr>
              <w:t>:</w:t>
            </w:r>
          </w:p>
        </w:tc>
        <w:tc>
          <w:tcPr>
            <w:tcW w:w="2124" w:type="dxa"/>
            <w:shd w:val="clear" w:color="auto" w:fill="B7E7BD"/>
            <w:vAlign w:val="center"/>
          </w:tcPr>
          <w:p w14:paraId="0916BC93" w14:textId="77777777" w:rsidR="00A76918" w:rsidRPr="008675B7" w:rsidRDefault="00A76918" w:rsidP="00EE453C">
            <w:pPr>
              <w:pStyle w:val="paragraph"/>
              <w:spacing w:before="0" w:beforeAutospacing="0" w:after="0" w:afterAutospacing="0" w:line="276" w:lineRule="auto"/>
              <w:ind w:left="-20"/>
              <w:jc w:val="center"/>
              <w:textAlignment w:val="baseline"/>
              <w:cnfStyle w:val="000000100000" w:firstRow="0" w:lastRow="0" w:firstColumn="0" w:lastColumn="0" w:oddVBand="0" w:evenVBand="0" w:oddHBand="1" w:evenHBand="0" w:firstRowFirstColumn="0" w:firstRowLastColumn="0" w:lastRowFirstColumn="0" w:lastRowLastColumn="0"/>
              <w:rPr>
                <w:rStyle w:val="eop"/>
                <w:rFonts w:asciiTheme="majorHAnsi" w:hAnsiTheme="majorHAnsi" w:cstheme="majorHAnsi"/>
                <w:b/>
                <w:bCs/>
                <w:sz w:val="22"/>
                <w:szCs w:val="22"/>
              </w:rPr>
            </w:pPr>
            <w:r>
              <w:rPr>
                <w:noProof/>
              </w:rPr>
              <w:drawing>
                <wp:inline distT="0" distB="0" distL="0" distR="0" wp14:anchorId="472D0405" wp14:editId="17A9ED62">
                  <wp:extent cx="349250" cy="394804"/>
                  <wp:effectExtent l="0" t="0" r="0" b="5715"/>
                  <wp:docPr id="617338631" name="Graphic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338631" name="Graphic 42">
                            <a:extLst>
                              <a:ext uri="{C183D7F6-B498-43B3-948B-1728B52AA6E4}">
                                <adec:decorative xmlns:adec="http://schemas.microsoft.com/office/drawing/2017/decorative" val="1"/>
                              </a:ext>
                            </a:extLst>
                          </pic:cNvPr>
                          <pic:cNvPicPr/>
                        </pic:nvPicPr>
                        <pic:blipFill>
                          <a:blip r:embed="rId111">
                            <a:extLst>
                              <a:ext uri="{96DAC541-7B7A-43D3-8B79-37D633B846F1}">
                                <asvg:svgBlip xmlns:asvg="http://schemas.microsoft.com/office/drawing/2016/SVG/main" r:embed="rId112"/>
                              </a:ext>
                            </a:extLst>
                          </a:blip>
                          <a:stretch>
                            <a:fillRect/>
                          </a:stretch>
                        </pic:blipFill>
                        <pic:spPr>
                          <a:xfrm>
                            <a:off x="0" y="0"/>
                            <a:ext cx="350927" cy="396699"/>
                          </a:xfrm>
                          <a:prstGeom prst="rect">
                            <a:avLst/>
                          </a:prstGeom>
                        </pic:spPr>
                      </pic:pic>
                    </a:graphicData>
                  </a:graphic>
                </wp:inline>
              </w:drawing>
            </w:r>
            <w:r>
              <w:rPr>
                <w:rStyle w:val="eop"/>
                <w:rFonts w:asciiTheme="majorHAnsi" w:hAnsiTheme="majorHAnsi" w:cstheme="majorHAnsi"/>
                <w:b/>
                <w:bCs/>
                <w:sz w:val="22"/>
                <w:szCs w:val="22"/>
              </w:rPr>
              <w:br/>
            </w:r>
            <w:r w:rsidRPr="008675B7">
              <w:rPr>
                <w:rStyle w:val="eop"/>
                <w:rFonts w:asciiTheme="majorHAnsi" w:hAnsiTheme="majorHAnsi" w:cstheme="majorHAnsi"/>
                <w:b/>
                <w:bCs/>
                <w:sz w:val="22"/>
                <w:szCs w:val="22"/>
              </w:rPr>
              <w:t>Strategic focus</w:t>
            </w:r>
          </w:p>
        </w:tc>
        <w:tc>
          <w:tcPr>
            <w:tcW w:w="5179" w:type="dxa"/>
            <w:shd w:val="clear" w:color="auto" w:fill="auto"/>
          </w:tcPr>
          <w:p w14:paraId="484CFAAA" w14:textId="77777777" w:rsidR="00A76918" w:rsidRPr="00C64064" w:rsidRDefault="00A76918" w:rsidP="00EE453C">
            <w:pPr>
              <w:pStyle w:val="paragraph"/>
              <w:spacing w:before="0" w:beforeAutospacing="0" w:after="0" w:afterAutospacing="0" w:line="276" w:lineRule="auto"/>
              <w:textAlignment w:val="baseline"/>
              <w:cnfStyle w:val="000000100000" w:firstRow="0" w:lastRow="0" w:firstColumn="0" w:lastColumn="0" w:oddVBand="0" w:evenVBand="0" w:oddHBand="1" w:evenHBand="0" w:firstRowFirstColumn="0" w:firstRowLastColumn="0" w:lastRowFirstColumn="0" w:lastRowLastColumn="0"/>
              <w:rPr>
                <w:rFonts w:asciiTheme="majorHAnsi" w:eastAsia="Arial" w:hAnsiTheme="majorHAnsi" w:cstheme="majorHAnsi"/>
                <w:sz w:val="22"/>
                <w:szCs w:val="22"/>
                <w:lang w:val="en-US" w:eastAsia="en-US"/>
              </w:rPr>
            </w:pPr>
            <w:r w:rsidRPr="008675B7">
              <w:rPr>
                <w:rStyle w:val="eop"/>
                <w:rFonts w:asciiTheme="majorHAnsi" w:hAnsiTheme="majorHAnsi" w:cstheme="majorHAnsi"/>
                <w:sz w:val="22"/>
                <w:szCs w:val="22"/>
              </w:rPr>
              <w:t>Enhancing a critical market function to improve sector performance.</w:t>
            </w:r>
          </w:p>
        </w:tc>
      </w:tr>
      <w:tr w:rsidR="00A76918" w:rsidRPr="00C64064" w14:paraId="1289F58F" w14:textId="77777777" w:rsidTr="00EE453C">
        <w:tc>
          <w:tcPr>
            <w:cnfStyle w:val="001000000000" w:firstRow="0" w:lastRow="0" w:firstColumn="1" w:lastColumn="0" w:oddVBand="0" w:evenVBand="0" w:oddHBand="0" w:evenHBand="0" w:firstRowFirstColumn="0" w:firstRowLastColumn="0" w:lastRowFirstColumn="0" w:lastRowLastColumn="0"/>
            <w:tcW w:w="2592" w:type="dxa"/>
            <w:shd w:val="clear" w:color="auto" w:fill="auto"/>
          </w:tcPr>
          <w:p w14:paraId="486CA45B" w14:textId="6831A937" w:rsidR="00A76918" w:rsidRPr="008675B7" w:rsidRDefault="00A76918" w:rsidP="00EE453C">
            <w:pPr>
              <w:pStyle w:val="paragraph"/>
              <w:spacing w:after="0" w:line="276" w:lineRule="auto"/>
              <w:jc w:val="left"/>
              <w:textAlignment w:val="baseline"/>
              <w:rPr>
                <w:rFonts w:asciiTheme="majorHAnsi" w:eastAsia="Arial" w:hAnsiTheme="majorHAnsi" w:cstheme="majorHAnsi"/>
                <w:color w:val="002060"/>
                <w:sz w:val="20"/>
                <w:szCs w:val="20"/>
                <w:lang w:val="en-US" w:eastAsia="en-US"/>
              </w:rPr>
            </w:pPr>
            <w:r w:rsidRPr="008675B7">
              <w:rPr>
                <w:rFonts w:asciiTheme="majorHAnsi" w:eastAsia="Arial" w:hAnsiTheme="majorHAnsi" w:cstheme="majorHAnsi"/>
                <w:color w:val="002060"/>
                <w:sz w:val="20"/>
                <w:szCs w:val="20"/>
                <w:lang w:val="en-US" w:eastAsia="en-US"/>
              </w:rPr>
              <w:t xml:space="preserve">Spurring production and promotion of </w:t>
            </w:r>
            <w:r w:rsidR="00D7323E">
              <w:rPr>
                <w:rFonts w:asciiTheme="majorHAnsi" w:eastAsia="Arial" w:hAnsiTheme="majorHAnsi" w:cstheme="majorHAnsi"/>
                <w:color w:val="002060"/>
                <w:sz w:val="20"/>
                <w:szCs w:val="20"/>
                <w:lang w:val="en-US" w:eastAsia="en-US"/>
              </w:rPr>
              <w:t>pioneering</w:t>
            </w:r>
            <w:r w:rsidRPr="008675B7">
              <w:rPr>
                <w:rFonts w:asciiTheme="majorHAnsi" w:eastAsia="Arial" w:hAnsiTheme="majorHAnsi" w:cstheme="majorHAnsi"/>
                <w:color w:val="002060"/>
                <w:sz w:val="20"/>
                <w:szCs w:val="20"/>
                <w:lang w:val="en-US" w:eastAsia="en-US"/>
              </w:rPr>
              <w:t xml:space="preserve"> climate-smart seeds</w:t>
            </w:r>
          </w:p>
        </w:tc>
        <w:tc>
          <w:tcPr>
            <w:tcW w:w="2124" w:type="dxa"/>
            <w:shd w:val="clear" w:color="auto" w:fill="B7E7BD"/>
            <w:vAlign w:val="center"/>
          </w:tcPr>
          <w:p w14:paraId="0AEA14F3" w14:textId="77777777" w:rsidR="00A76918" w:rsidRPr="008675B7" w:rsidRDefault="00A76918" w:rsidP="00EE453C">
            <w:pPr>
              <w:pStyle w:val="paragraph"/>
              <w:spacing w:before="0" w:beforeAutospacing="0" w:after="0" w:afterAutospacing="0" w:line="276" w:lineRule="auto"/>
              <w:ind w:left="-20"/>
              <w:jc w:val="center"/>
              <w:textAlignment w:val="baseline"/>
              <w:cnfStyle w:val="000000000000" w:firstRow="0" w:lastRow="0" w:firstColumn="0" w:lastColumn="0" w:oddVBand="0" w:evenVBand="0" w:oddHBand="0" w:evenHBand="0" w:firstRowFirstColumn="0" w:firstRowLastColumn="0" w:lastRowFirstColumn="0" w:lastRowLastColumn="0"/>
              <w:rPr>
                <w:rStyle w:val="eop"/>
                <w:rFonts w:asciiTheme="majorHAnsi" w:hAnsiTheme="majorHAnsi" w:cstheme="majorHAnsi"/>
                <w:b/>
                <w:bCs/>
                <w:sz w:val="22"/>
                <w:szCs w:val="22"/>
              </w:rPr>
            </w:pPr>
            <w:r>
              <w:rPr>
                <w:noProof/>
              </w:rPr>
              <w:drawing>
                <wp:inline distT="0" distB="0" distL="0" distR="0" wp14:anchorId="10D8F805" wp14:editId="6D048D29">
                  <wp:extent cx="349250" cy="336315"/>
                  <wp:effectExtent l="0" t="0" r="0" b="6985"/>
                  <wp:docPr id="69726774" name="Graphic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26774" name="Graphic 43">
                            <a:extLst>
                              <a:ext uri="{C183D7F6-B498-43B3-948B-1728B52AA6E4}">
                                <adec:decorative xmlns:adec="http://schemas.microsoft.com/office/drawing/2017/decorative" val="1"/>
                              </a:ext>
                            </a:extLst>
                          </pic:cNvPr>
                          <pic:cNvPicPr/>
                        </pic:nvPicPr>
                        <pic:blipFill>
                          <a:blip r:embed="rId113">
                            <a:extLst>
                              <a:ext uri="{96DAC541-7B7A-43D3-8B79-37D633B846F1}">
                                <asvg:svgBlip xmlns:asvg="http://schemas.microsoft.com/office/drawing/2016/SVG/main" r:embed="rId114"/>
                              </a:ext>
                            </a:extLst>
                          </a:blip>
                          <a:stretch>
                            <a:fillRect/>
                          </a:stretch>
                        </pic:blipFill>
                        <pic:spPr>
                          <a:xfrm>
                            <a:off x="0" y="0"/>
                            <a:ext cx="349834" cy="336878"/>
                          </a:xfrm>
                          <a:prstGeom prst="rect">
                            <a:avLst/>
                          </a:prstGeom>
                        </pic:spPr>
                      </pic:pic>
                    </a:graphicData>
                  </a:graphic>
                </wp:inline>
              </w:drawing>
            </w:r>
            <w:r>
              <w:rPr>
                <w:rStyle w:val="eop"/>
                <w:rFonts w:asciiTheme="majorHAnsi" w:hAnsiTheme="majorHAnsi" w:cstheme="majorHAnsi"/>
                <w:b/>
                <w:bCs/>
                <w:sz w:val="22"/>
                <w:szCs w:val="22"/>
              </w:rPr>
              <w:br/>
            </w:r>
            <w:r w:rsidRPr="008675B7">
              <w:rPr>
                <w:rStyle w:val="eop"/>
                <w:rFonts w:asciiTheme="majorHAnsi" w:hAnsiTheme="majorHAnsi" w:cstheme="majorHAnsi"/>
                <w:b/>
                <w:bCs/>
                <w:sz w:val="22"/>
                <w:szCs w:val="22"/>
              </w:rPr>
              <w:t>Challenge</w:t>
            </w:r>
          </w:p>
        </w:tc>
        <w:tc>
          <w:tcPr>
            <w:tcW w:w="5179" w:type="dxa"/>
            <w:shd w:val="clear" w:color="auto" w:fill="auto"/>
          </w:tcPr>
          <w:p w14:paraId="5132523E" w14:textId="77777777" w:rsidR="00A76918" w:rsidRPr="00474DF4" w:rsidRDefault="00A76918" w:rsidP="00EE453C">
            <w:pPr>
              <w:pStyle w:val="paragraph"/>
              <w:spacing w:before="0" w:beforeAutospacing="0" w:after="0" w:afterAutospacing="0" w:line="276" w:lineRule="auto"/>
              <w:textAlignment w:val="baseline"/>
              <w:cnfStyle w:val="000000000000" w:firstRow="0" w:lastRow="0" w:firstColumn="0" w:lastColumn="0" w:oddVBand="0" w:evenVBand="0" w:oddHBand="0" w:evenHBand="0" w:firstRowFirstColumn="0" w:firstRowLastColumn="0" w:lastRowFirstColumn="0" w:lastRowLastColumn="0"/>
              <w:rPr>
                <w:rStyle w:val="eop"/>
                <w:rFonts w:asciiTheme="majorHAnsi" w:hAnsiTheme="majorHAnsi" w:cstheme="majorHAnsi"/>
                <w:sz w:val="22"/>
                <w:szCs w:val="22"/>
              </w:rPr>
            </w:pPr>
            <w:r w:rsidRPr="008675B7">
              <w:rPr>
                <w:rStyle w:val="eop"/>
                <w:rFonts w:asciiTheme="majorHAnsi" w:hAnsiTheme="majorHAnsi" w:cstheme="majorHAnsi"/>
                <w:sz w:val="22"/>
                <w:szCs w:val="22"/>
              </w:rPr>
              <w:t xml:space="preserve">Climate change poses a significant threat to rice production, rendering the sector vulnerable. As the impacts of climate change intensify, it becomes </w:t>
            </w:r>
            <w:r w:rsidRPr="008675B7">
              <w:rPr>
                <w:rStyle w:val="eop"/>
                <w:rFonts w:asciiTheme="majorHAnsi" w:hAnsiTheme="majorHAnsi" w:cstheme="majorHAnsi"/>
                <w:sz w:val="22"/>
                <w:szCs w:val="22"/>
              </w:rPr>
              <w:lastRenderedPageBreak/>
              <w:t>increasingly vital to enhance farmers' adoption and supply of high-yielding seed varieties (HYV).</w:t>
            </w:r>
          </w:p>
        </w:tc>
      </w:tr>
      <w:tr w:rsidR="00A76918" w:rsidRPr="00C64064" w14:paraId="7048170B" w14:textId="77777777" w:rsidTr="00EE45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92" w:type="dxa"/>
            <w:shd w:val="clear" w:color="auto" w:fill="auto"/>
          </w:tcPr>
          <w:p w14:paraId="519E2B0A" w14:textId="77777777" w:rsidR="00A76918" w:rsidRPr="001A7C6B" w:rsidRDefault="00A76918" w:rsidP="00EE453C">
            <w:pPr>
              <w:pStyle w:val="paragraph"/>
              <w:spacing w:after="0" w:line="276" w:lineRule="auto"/>
              <w:textAlignment w:val="baseline"/>
              <w:rPr>
                <w:rFonts w:asciiTheme="majorHAnsi" w:eastAsia="Arial" w:hAnsiTheme="majorHAnsi" w:cstheme="majorHAnsi"/>
                <w:b/>
                <w:bCs/>
                <w:i w:val="0"/>
                <w:iCs w:val="0"/>
                <w:color w:val="002060"/>
                <w:sz w:val="20"/>
                <w:szCs w:val="20"/>
                <w:lang w:val="en-US" w:eastAsia="en-US"/>
              </w:rPr>
            </w:pPr>
          </w:p>
        </w:tc>
        <w:tc>
          <w:tcPr>
            <w:tcW w:w="2124" w:type="dxa"/>
            <w:shd w:val="clear" w:color="auto" w:fill="B7E7BD"/>
            <w:vAlign w:val="center"/>
          </w:tcPr>
          <w:p w14:paraId="3BE61266" w14:textId="77777777" w:rsidR="00A76918" w:rsidRPr="008675B7" w:rsidRDefault="00A76918" w:rsidP="00EE453C">
            <w:pPr>
              <w:pStyle w:val="paragraph"/>
              <w:spacing w:before="0" w:beforeAutospacing="0" w:after="0" w:afterAutospacing="0" w:line="276" w:lineRule="auto"/>
              <w:ind w:left="-20"/>
              <w:jc w:val="center"/>
              <w:textAlignment w:val="baseline"/>
              <w:cnfStyle w:val="000000100000" w:firstRow="0" w:lastRow="0" w:firstColumn="0" w:lastColumn="0" w:oddVBand="0" w:evenVBand="0" w:oddHBand="1" w:evenHBand="0" w:firstRowFirstColumn="0" w:firstRowLastColumn="0" w:lastRowFirstColumn="0" w:lastRowLastColumn="0"/>
              <w:rPr>
                <w:rStyle w:val="eop"/>
                <w:rFonts w:asciiTheme="majorHAnsi" w:hAnsiTheme="majorHAnsi" w:cstheme="majorHAnsi"/>
                <w:b/>
                <w:bCs/>
                <w:sz w:val="22"/>
                <w:szCs w:val="22"/>
              </w:rPr>
            </w:pPr>
            <w:r>
              <w:rPr>
                <w:noProof/>
              </w:rPr>
              <w:drawing>
                <wp:inline distT="0" distB="0" distL="0" distR="0" wp14:anchorId="6359818F" wp14:editId="62A83F73">
                  <wp:extent cx="342900" cy="384048"/>
                  <wp:effectExtent l="0" t="0" r="0" b="0"/>
                  <wp:docPr id="1935642513" name="Graphic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642513" name="Graphic 44">
                            <a:extLst>
                              <a:ext uri="{C183D7F6-B498-43B3-948B-1728B52AA6E4}">
                                <adec:decorative xmlns:adec="http://schemas.microsoft.com/office/drawing/2017/decorative" val="1"/>
                              </a:ext>
                            </a:extLst>
                          </pic:cNvPr>
                          <pic:cNvPicPr/>
                        </pic:nvPicPr>
                        <pic:blipFill>
                          <a:blip r:embed="rId115">
                            <a:extLst>
                              <a:ext uri="{96DAC541-7B7A-43D3-8B79-37D633B846F1}">
                                <asvg:svgBlip xmlns:asvg="http://schemas.microsoft.com/office/drawing/2016/SVG/main" r:embed="rId116"/>
                              </a:ext>
                            </a:extLst>
                          </a:blip>
                          <a:stretch>
                            <a:fillRect/>
                          </a:stretch>
                        </pic:blipFill>
                        <pic:spPr>
                          <a:xfrm>
                            <a:off x="0" y="0"/>
                            <a:ext cx="344428" cy="385759"/>
                          </a:xfrm>
                          <a:prstGeom prst="rect">
                            <a:avLst/>
                          </a:prstGeom>
                        </pic:spPr>
                      </pic:pic>
                    </a:graphicData>
                  </a:graphic>
                </wp:inline>
              </w:drawing>
            </w:r>
            <w:r>
              <w:rPr>
                <w:rStyle w:val="eop"/>
                <w:rFonts w:asciiTheme="majorHAnsi" w:hAnsiTheme="majorHAnsi" w:cstheme="majorHAnsi"/>
                <w:b/>
                <w:bCs/>
                <w:sz w:val="22"/>
                <w:szCs w:val="22"/>
              </w:rPr>
              <w:br/>
            </w:r>
            <w:r w:rsidRPr="008675B7">
              <w:rPr>
                <w:rStyle w:val="eop"/>
                <w:rFonts w:asciiTheme="majorHAnsi" w:hAnsiTheme="majorHAnsi" w:cstheme="majorHAnsi"/>
                <w:b/>
                <w:bCs/>
                <w:sz w:val="22"/>
                <w:szCs w:val="22"/>
              </w:rPr>
              <w:t>Opportunity</w:t>
            </w:r>
          </w:p>
        </w:tc>
        <w:tc>
          <w:tcPr>
            <w:tcW w:w="5179" w:type="dxa"/>
            <w:shd w:val="clear" w:color="auto" w:fill="auto"/>
          </w:tcPr>
          <w:p w14:paraId="045C9EE3" w14:textId="77777777" w:rsidR="00A76918" w:rsidRPr="00474DF4" w:rsidRDefault="00A76918" w:rsidP="00EE453C">
            <w:pPr>
              <w:pStyle w:val="paragraph"/>
              <w:spacing w:before="0" w:beforeAutospacing="0" w:after="0" w:afterAutospacing="0" w:line="276" w:lineRule="auto"/>
              <w:textAlignment w:val="baseline"/>
              <w:cnfStyle w:val="000000100000" w:firstRow="0" w:lastRow="0" w:firstColumn="0" w:lastColumn="0" w:oddVBand="0" w:evenVBand="0" w:oddHBand="1" w:evenHBand="0" w:firstRowFirstColumn="0" w:firstRowLastColumn="0" w:lastRowFirstColumn="0" w:lastRowLastColumn="0"/>
              <w:rPr>
                <w:rStyle w:val="eop"/>
                <w:rFonts w:asciiTheme="majorHAnsi" w:hAnsiTheme="majorHAnsi" w:cstheme="majorHAnsi"/>
                <w:sz w:val="22"/>
                <w:szCs w:val="22"/>
              </w:rPr>
            </w:pPr>
            <w:r w:rsidRPr="008675B7">
              <w:rPr>
                <w:rStyle w:val="eop"/>
                <w:rFonts w:asciiTheme="majorHAnsi" w:hAnsiTheme="majorHAnsi" w:cstheme="majorHAnsi"/>
                <w:sz w:val="22"/>
                <w:szCs w:val="22"/>
              </w:rPr>
              <w:t>Promoting the production and adoption of HYV will contribute to an improvement in sector performance.</w:t>
            </w:r>
          </w:p>
        </w:tc>
      </w:tr>
      <w:bookmarkEnd w:id="100"/>
      <w:tr w:rsidR="00A76918" w:rsidRPr="00C64064" w14:paraId="18A0254A" w14:textId="77777777" w:rsidTr="00EE453C">
        <w:tc>
          <w:tcPr>
            <w:cnfStyle w:val="001000000000" w:firstRow="0" w:lastRow="0" w:firstColumn="1" w:lastColumn="0" w:oddVBand="0" w:evenVBand="0" w:oddHBand="0" w:evenHBand="0" w:firstRowFirstColumn="0" w:firstRowLastColumn="0" w:lastRowFirstColumn="0" w:lastRowLastColumn="0"/>
            <w:tcW w:w="2592" w:type="dxa"/>
            <w:shd w:val="clear" w:color="auto" w:fill="auto"/>
          </w:tcPr>
          <w:p w14:paraId="18A90420" w14:textId="77777777" w:rsidR="00A76918" w:rsidRPr="001A7C6B" w:rsidRDefault="00A76918" w:rsidP="00EE453C">
            <w:pPr>
              <w:pStyle w:val="paragraph"/>
              <w:spacing w:after="0" w:line="276" w:lineRule="auto"/>
              <w:textAlignment w:val="baseline"/>
              <w:rPr>
                <w:rFonts w:asciiTheme="majorHAnsi" w:eastAsia="Arial" w:hAnsiTheme="majorHAnsi" w:cstheme="majorHAnsi"/>
                <w:b/>
                <w:bCs/>
                <w:i w:val="0"/>
                <w:iCs w:val="0"/>
                <w:color w:val="002060"/>
                <w:sz w:val="20"/>
                <w:szCs w:val="20"/>
                <w:lang w:val="en-US" w:eastAsia="en-US"/>
              </w:rPr>
            </w:pPr>
          </w:p>
        </w:tc>
        <w:tc>
          <w:tcPr>
            <w:tcW w:w="2124" w:type="dxa"/>
            <w:shd w:val="clear" w:color="auto" w:fill="B7E7BD"/>
            <w:vAlign w:val="center"/>
          </w:tcPr>
          <w:p w14:paraId="270FEE4F" w14:textId="77777777" w:rsidR="00A76918" w:rsidRPr="008675B7" w:rsidRDefault="00A76918" w:rsidP="00EE453C">
            <w:pPr>
              <w:pStyle w:val="paragraph"/>
              <w:spacing w:before="0" w:beforeAutospacing="0" w:after="0" w:afterAutospacing="0" w:line="276" w:lineRule="auto"/>
              <w:ind w:left="-20"/>
              <w:jc w:val="center"/>
              <w:textAlignment w:val="baseline"/>
              <w:cnfStyle w:val="000000000000" w:firstRow="0" w:lastRow="0" w:firstColumn="0" w:lastColumn="0" w:oddVBand="0" w:evenVBand="0" w:oddHBand="0" w:evenHBand="0" w:firstRowFirstColumn="0" w:firstRowLastColumn="0" w:lastRowFirstColumn="0" w:lastRowLastColumn="0"/>
              <w:rPr>
                <w:rStyle w:val="eop"/>
                <w:rFonts w:asciiTheme="majorHAnsi" w:hAnsiTheme="majorHAnsi" w:cstheme="majorHAnsi"/>
                <w:b/>
                <w:bCs/>
                <w:sz w:val="22"/>
                <w:szCs w:val="22"/>
              </w:rPr>
            </w:pPr>
            <w:r>
              <w:rPr>
                <w:noProof/>
              </w:rPr>
              <w:drawing>
                <wp:inline distT="0" distB="0" distL="0" distR="0" wp14:anchorId="6280E17C" wp14:editId="3112D425">
                  <wp:extent cx="385116" cy="415925"/>
                  <wp:effectExtent l="0" t="0" r="0" b="3175"/>
                  <wp:docPr id="1444176003" name="Graphic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176003" name="Graphic 45">
                            <a:extLst>
                              <a:ext uri="{C183D7F6-B498-43B3-948B-1728B52AA6E4}">
                                <adec:decorative xmlns:adec="http://schemas.microsoft.com/office/drawing/2017/decorative" val="1"/>
                              </a:ext>
                            </a:extLst>
                          </pic:cNvPr>
                          <pic:cNvPicPr/>
                        </pic:nvPicPr>
                        <pic:blipFill>
                          <a:blip r:embed="rId117">
                            <a:extLst>
                              <a:ext uri="{96DAC541-7B7A-43D3-8B79-37D633B846F1}">
                                <asvg:svgBlip xmlns:asvg="http://schemas.microsoft.com/office/drawing/2016/SVG/main" r:embed="rId118"/>
                              </a:ext>
                            </a:extLst>
                          </a:blip>
                          <a:stretch>
                            <a:fillRect/>
                          </a:stretch>
                        </pic:blipFill>
                        <pic:spPr>
                          <a:xfrm>
                            <a:off x="0" y="0"/>
                            <a:ext cx="389110" cy="420239"/>
                          </a:xfrm>
                          <a:prstGeom prst="rect">
                            <a:avLst/>
                          </a:prstGeom>
                        </pic:spPr>
                      </pic:pic>
                    </a:graphicData>
                  </a:graphic>
                </wp:inline>
              </w:drawing>
            </w:r>
            <w:r w:rsidRPr="008675B7">
              <w:rPr>
                <w:rStyle w:val="eop"/>
                <w:rFonts w:asciiTheme="majorHAnsi" w:hAnsiTheme="majorHAnsi" w:cstheme="majorHAnsi"/>
                <w:b/>
                <w:bCs/>
                <w:sz w:val="22"/>
                <w:szCs w:val="22"/>
              </w:rPr>
              <w:t xml:space="preserve"> </w:t>
            </w:r>
            <w:r>
              <w:rPr>
                <w:rStyle w:val="eop"/>
                <w:rFonts w:asciiTheme="majorHAnsi" w:hAnsiTheme="majorHAnsi" w:cstheme="majorHAnsi"/>
                <w:b/>
                <w:bCs/>
                <w:sz w:val="22"/>
                <w:szCs w:val="22"/>
              </w:rPr>
              <w:br/>
            </w:r>
            <w:r w:rsidRPr="008675B7">
              <w:rPr>
                <w:rStyle w:val="eop"/>
                <w:rFonts w:asciiTheme="majorHAnsi" w:hAnsiTheme="majorHAnsi" w:cstheme="majorHAnsi"/>
                <w:b/>
                <w:bCs/>
                <w:sz w:val="22"/>
                <w:szCs w:val="22"/>
              </w:rPr>
              <w:t>Activity</w:t>
            </w:r>
          </w:p>
        </w:tc>
        <w:tc>
          <w:tcPr>
            <w:tcW w:w="5179" w:type="dxa"/>
            <w:shd w:val="clear" w:color="auto" w:fill="auto"/>
          </w:tcPr>
          <w:p w14:paraId="29360665" w14:textId="1B6B4055" w:rsidR="00A76918" w:rsidRPr="00474DF4" w:rsidRDefault="00A76918" w:rsidP="00EE453C">
            <w:pPr>
              <w:pStyle w:val="paragraph"/>
              <w:spacing w:before="0" w:beforeAutospacing="0" w:after="0" w:afterAutospacing="0" w:line="276" w:lineRule="auto"/>
              <w:textAlignment w:val="baseline"/>
              <w:cnfStyle w:val="000000000000" w:firstRow="0" w:lastRow="0" w:firstColumn="0" w:lastColumn="0" w:oddVBand="0" w:evenVBand="0" w:oddHBand="0" w:evenHBand="0" w:firstRowFirstColumn="0" w:firstRowLastColumn="0" w:lastRowFirstColumn="0" w:lastRowLastColumn="0"/>
              <w:rPr>
                <w:rStyle w:val="eop"/>
                <w:rFonts w:asciiTheme="majorHAnsi" w:hAnsiTheme="majorHAnsi" w:cstheme="majorHAnsi"/>
                <w:sz w:val="22"/>
                <w:szCs w:val="22"/>
              </w:rPr>
            </w:pPr>
            <w:r w:rsidRPr="008675B7">
              <w:rPr>
                <w:rStyle w:val="eop"/>
                <w:rFonts w:asciiTheme="majorHAnsi" w:hAnsiTheme="majorHAnsi" w:cstheme="majorHAnsi"/>
                <w:sz w:val="22"/>
                <w:szCs w:val="22"/>
              </w:rPr>
              <w:t xml:space="preserve">PRISMA supported the promotion of the Institut Pertanian Bogor’s (IPB University) agribusiness and rice seed producer PT Botani's </w:t>
            </w:r>
            <w:r w:rsidR="00D7323E">
              <w:rPr>
                <w:rStyle w:val="eop"/>
                <w:rFonts w:asciiTheme="majorHAnsi" w:hAnsiTheme="majorHAnsi" w:cstheme="majorHAnsi"/>
                <w:sz w:val="22"/>
                <w:szCs w:val="22"/>
              </w:rPr>
              <w:t>p</w:t>
            </w:r>
            <w:r w:rsidR="00D7323E" w:rsidRPr="00D7323E">
              <w:rPr>
                <w:rStyle w:val="eop"/>
                <w:rFonts w:asciiTheme="majorHAnsi" w:hAnsiTheme="majorHAnsi" w:cstheme="majorHAnsi"/>
                <w:sz w:val="22"/>
                <w:szCs w:val="22"/>
              </w:rPr>
              <w:t xml:space="preserve">ioneering, </w:t>
            </w:r>
            <w:r w:rsidRPr="008675B7">
              <w:rPr>
                <w:rStyle w:val="eop"/>
                <w:rFonts w:asciiTheme="majorHAnsi" w:hAnsiTheme="majorHAnsi" w:cstheme="majorHAnsi"/>
                <w:sz w:val="22"/>
                <w:szCs w:val="22"/>
              </w:rPr>
              <w:t>HYV and climate-smart seed. The IPB 9G variety is specifically designed to withstand varying climate conditions, providing farmers with a dependable solution to enhance crop yields and ensure food security. The IPB 9G was officially launched at an event in Lamongan, Central Java, with endorsement from the Minister of Agriculture and the IPB Rector. The Minister actively promoted the seeds, advocated for their widespread adoption, and called for increased production.</w:t>
            </w:r>
          </w:p>
        </w:tc>
      </w:tr>
      <w:tr w:rsidR="00A76918" w:rsidRPr="00C64064" w14:paraId="3138DBE7" w14:textId="77777777" w:rsidTr="00EE45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92" w:type="dxa"/>
            <w:shd w:val="clear" w:color="auto" w:fill="auto"/>
          </w:tcPr>
          <w:p w14:paraId="52C33E21" w14:textId="77777777" w:rsidR="00A76918" w:rsidRPr="001A7C6B" w:rsidRDefault="00A76918" w:rsidP="00EE453C">
            <w:pPr>
              <w:pStyle w:val="paragraph"/>
              <w:spacing w:after="0" w:line="276" w:lineRule="auto"/>
              <w:textAlignment w:val="baseline"/>
              <w:rPr>
                <w:rFonts w:asciiTheme="majorHAnsi" w:eastAsia="Arial" w:hAnsiTheme="majorHAnsi" w:cstheme="majorHAnsi"/>
                <w:b/>
                <w:bCs/>
                <w:i w:val="0"/>
                <w:iCs w:val="0"/>
                <w:color w:val="002060"/>
                <w:sz w:val="20"/>
                <w:szCs w:val="20"/>
                <w:lang w:val="en-US" w:eastAsia="en-US"/>
              </w:rPr>
            </w:pPr>
          </w:p>
        </w:tc>
        <w:tc>
          <w:tcPr>
            <w:tcW w:w="2124" w:type="dxa"/>
            <w:shd w:val="clear" w:color="auto" w:fill="B7E7BD"/>
            <w:vAlign w:val="center"/>
          </w:tcPr>
          <w:p w14:paraId="2733654F" w14:textId="77777777" w:rsidR="00A76918" w:rsidRPr="008675B7" w:rsidRDefault="00A76918" w:rsidP="00EE453C">
            <w:pPr>
              <w:pStyle w:val="paragraph"/>
              <w:spacing w:before="0" w:beforeAutospacing="0" w:after="0" w:afterAutospacing="0" w:line="276" w:lineRule="auto"/>
              <w:ind w:left="50"/>
              <w:jc w:val="center"/>
              <w:textAlignment w:val="baseline"/>
              <w:cnfStyle w:val="000000100000" w:firstRow="0" w:lastRow="0" w:firstColumn="0" w:lastColumn="0" w:oddVBand="0" w:evenVBand="0" w:oddHBand="1" w:evenHBand="0" w:firstRowFirstColumn="0" w:firstRowLastColumn="0" w:lastRowFirstColumn="0" w:lastRowLastColumn="0"/>
              <w:rPr>
                <w:rStyle w:val="eop"/>
                <w:rFonts w:asciiTheme="majorHAnsi" w:hAnsiTheme="majorHAnsi" w:cstheme="majorHAnsi"/>
                <w:b/>
                <w:bCs/>
                <w:sz w:val="22"/>
                <w:szCs w:val="22"/>
              </w:rPr>
            </w:pPr>
            <w:r>
              <w:rPr>
                <w:noProof/>
              </w:rPr>
              <w:drawing>
                <wp:inline distT="0" distB="0" distL="0" distR="0" wp14:anchorId="7C74F28C" wp14:editId="66E4C28C">
                  <wp:extent cx="384175" cy="384175"/>
                  <wp:effectExtent l="0" t="0" r="0" b="0"/>
                  <wp:docPr id="1248108885" name="Graphic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108885" name="Graphic 46">
                            <a:extLst>
                              <a:ext uri="{C183D7F6-B498-43B3-948B-1728B52AA6E4}">
                                <adec:decorative xmlns:adec="http://schemas.microsoft.com/office/drawing/2017/decorative" val="1"/>
                              </a:ext>
                            </a:extLst>
                          </pic:cNvPr>
                          <pic:cNvPicPr/>
                        </pic:nvPicPr>
                        <pic:blipFill>
                          <a:blip r:embed="rId119">
                            <a:extLst>
                              <a:ext uri="{96DAC541-7B7A-43D3-8B79-37D633B846F1}">
                                <asvg:svgBlip xmlns:asvg="http://schemas.microsoft.com/office/drawing/2016/SVG/main" r:embed="rId120"/>
                              </a:ext>
                            </a:extLst>
                          </a:blip>
                          <a:stretch>
                            <a:fillRect/>
                          </a:stretch>
                        </pic:blipFill>
                        <pic:spPr>
                          <a:xfrm>
                            <a:off x="0" y="0"/>
                            <a:ext cx="384175" cy="384175"/>
                          </a:xfrm>
                          <a:prstGeom prst="rect">
                            <a:avLst/>
                          </a:prstGeom>
                        </pic:spPr>
                      </pic:pic>
                    </a:graphicData>
                  </a:graphic>
                </wp:inline>
              </w:drawing>
            </w:r>
            <w:r w:rsidRPr="008675B7">
              <w:rPr>
                <w:rStyle w:val="eop"/>
                <w:rFonts w:asciiTheme="majorHAnsi" w:hAnsiTheme="majorHAnsi" w:cstheme="majorHAnsi"/>
                <w:b/>
                <w:bCs/>
                <w:sz w:val="22"/>
                <w:szCs w:val="22"/>
              </w:rPr>
              <w:t xml:space="preserve"> </w:t>
            </w:r>
            <w:r>
              <w:rPr>
                <w:rStyle w:val="eop"/>
                <w:rFonts w:asciiTheme="majorHAnsi" w:hAnsiTheme="majorHAnsi" w:cstheme="majorHAnsi"/>
                <w:b/>
                <w:bCs/>
                <w:sz w:val="22"/>
                <w:szCs w:val="22"/>
              </w:rPr>
              <w:br/>
            </w:r>
            <w:r w:rsidRPr="008675B7">
              <w:rPr>
                <w:rStyle w:val="eop"/>
                <w:rFonts w:asciiTheme="majorHAnsi" w:hAnsiTheme="majorHAnsi" w:cstheme="majorHAnsi"/>
                <w:b/>
                <w:bCs/>
                <w:sz w:val="22"/>
                <w:szCs w:val="22"/>
              </w:rPr>
              <w:t>Outreach</w:t>
            </w:r>
          </w:p>
        </w:tc>
        <w:tc>
          <w:tcPr>
            <w:tcW w:w="5179" w:type="dxa"/>
            <w:shd w:val="clear" w:color="auto" w:fill="auto"/>
          </w:tcPr>
          <w:p w14:paraId="79C2620F" w14:textId="76DE7F21" w:rsidR="00A76918" w:rsidRPr="00474DF4" w:rsidRDefault="00A76918" w:rsidP="00EE453C">
            <w:pPr>
              <w:pStyle w:val="paragraph"/>
              <w:spacing w:before="0" w:beforeAutospacing="0" w:after="0" w:afterAutospacing="0" w:line="276" w:lineRule="auto"/>
              <w:textAlignment w:val="baseline"/>
              <w:cnfStyle w:val="000000100000" w:firstRow="0" w:lastRow="0" w:firstColumn="0" w:lastColumn="0" w:oddVBand="0" w:evenVBand="0" w:oddHBand="1" w:evenHBand="0" w:firstRowFirstColumn="0" w:firstRowLastColumn="0" w:lastRowFirstColumn="0" w:lastRowLastColumn="0"/>
              <w:rPr>
                <w:rStyle w:val="eop"/>
                <w:rFonts w:asciiTheme="majorHAnsi" w:hAnsiTheme="majorHAnsi" w:cstheme="majorHAnsi"/>
                <w:sz w:val="22"/>
                <w:szCs w:val="22"/>
              </w:rPr>
            </w:pPr>
            <w:r w:rsidRPr="008675B7">
              <w:rPr>
                <w:rStyle w:val="eop"/>
                <w:rFonts w:asciiTheme="majorHAnsi" w:hAnsiTheme="majorHAnsi" w:cstheme="majorHAnsi"/>
                <w:sz w:val="22"/>
                <w:szCs w:val="22"/>
              </w:rPr>
              <w:t xml:space="preserve">The event was well-attended by hundreds of farmers, agribusinesses, universities, and government officials and garnered media coverage. </w:t>
            </w:r>
          </w:p>
        </w:tc>
      </w:tr>
      <w:tr w:rsidR="00A76918" w:rsidRPr="002448F7" w14:paraId="07F2C72D" w14:textId="77777777" w:rsidTr="00EE453C">
        <w:tc>
          <w:tcPr>
            <w:cnfStyle w:val="001000000000" w:firstRow="0" w:lastRow="0" w:firstColumn="1" w:lastColumn="0" w:oddVBand="0" w:evenVBand="0" w:oddHBand="0" w:evenHBand="0" w:firstRowFirstColumn="0" w:firstRowLastColumn="0" w:lastRowFirstColumn="0" w:lastRowLastColumn="0"/>
            <w:tcW w:w="2592" w:type="dxa"/>
            <w:shd w:val="clear" w:color="auto" w:fill="F7E6B7"/>
          </w:tcPr>
          <w:p w14:paraId="6D58E988" w14:textId="77777777" w:rsidR="00A76918" w:rsidRPr="002448F7" w:rsidRDefault="00A76918" w:rsidP="00EE453C">
            <w:pPr>
              <w:pStyle w:val="paragraph"/>
              <w:spacing w:before="0" w:line="276" w:lineRule="auto"/>
              <w:jc w:val="left"/>
              <w:textAlignment w:val="baseline"/>
              <w:rPr>
                <w:rFonts w:asciiTheme="majorHAnsi" w:eastAsia="Arial" w:hAnsiTheme="majorHAnsi" w:cstheme="majorHAnsi"/>
                <w:b/>
                <w:bCs/>
                <w:i w:val="0"/>
                <w:iCs w:val="0"/>
                <w:color w:val="auto"/>
                <w:sz w:val="22"/>
                <w:szCs w:val="22"/>
                <w:lang w:val="en-US" w:eastAsia="en-US"/>
              </w:rPr>
            </w:pPr>
            <w:r w:rsidRPr="002448F7">
              <w:rPr>
                <w:rFonts w:asciiTheme="majorHAnsi" w:eastAsia="Arial" w:hAnsiTheme="majorHAnsi" w:cstheme="majorHAnsi"/>
                <w:b/>
                <w:bCs/>
                <w:i w:val="0"/>
                <w:iCs w:val="0"/>
                <w:color w:val="auto"/>
                <w:lang w:val="en-US" w:eastAsia="en-US"/>
              </w:rPr>
              <w:t>Knowledge harvesting and dissemination</w:t>
            </w:r>
          </w:p>
        </w:tc>
        <w:tc>
          <w:tcPr>
            <w:tcW w:w="2124" w:type="dxa"/>
            <w:shd w:val="clear" w:color="auto" w:fill="F7E6B7"/>
          </w:tcPr>
          <w:p w14:paraId="07040497" w14:textId="77777777" w:rsidR="00A76918" w:rsidRPr="002448F7" w:rsidRDefault="00A76918" w:rsidP="00EE453C">
            <w:pPr>
              <w:pStyle w:val="paragraph"/>
              <w:spacing w:before="0" w:beforeAutospacing="0" w:after="0" w:afterAutospacing="0" w:line="276" w:lineRule="auto"/>
              <w:ind w:left="360"/>
              <w:textAlignment w:val="baseline"/>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color w:val="auto"/>
                <w:sz w:val="22"/>
                <w:szCs w:val="22"/>
                <w:lang w:val="en-US" w:eastAsia="en-US"/>
              </w:rPr>
            </w:pPr>
          </w:p>
        </w:tc>
        <w:tc>
          <w:tcPr>
            <w:tcW w:w="5179" w:type="dxa"/>
            <w:shd w:val="clear" w:color="auto" w:fill="F7E6B7"/>
          </w:tcPr>
          <w:p w14:paraId="4030C3D6" w14:textId="77777777" w:rsidR="00A76918" w:rsidRPr="00170E78" w:rsidRDefault="00A76918" w:rsidP="00A76918">
            <w:pPr>
              <w:pStyle w:val="paragraph"/>
              <w:numPr>
                <w:ilvl w:val="0"/>
                <w:numId w:val="17"/>
              </w:numPr>
              <w:tabs>
                <w:tab w:val="clear" w:pos="720"/>
              </w:tabs>
              <w:spacing w:before="0" w:beforeAutospacing="0" w:after="120" w:afterAutospacing="0"/>
              <w:ind w:left="533"/>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color w:val="auto"/>
                <w:sz w:val="22"/>
                <w:szCs w:val="22"/>
                <w:lang w:val="en-US" w:eastAsia="en-US"/>
              </w:rPr>
            </w:pPr>
            <w:r w:rsidRPr="00170E78">
              <w:rPr>
                <w:rFonts w:asciiTheme="majorHAnsi" w:eastAsia="Arial" w:hAnsiTheme="majorHAnsi" w:cstheme="majorHAnsi"/>
                <w:color w:val="auto"/>
                <w:sz w:val="22"/>
                <w:szCs w:val="22"/>
                <w:lang w:val="en-US" w:eastAsia="en-US"/>
              </w:rPr>
              <w:t xml:space="preserve">Harvesting knowledge and best practices to inform non-partners and policymakers.  </w:t>
            </w:r>
          </w:p>
          <w:p w14:paraId="29D5BE50" w14:textId="77777777" w:rsidR="00A76918" w:rsidRPr="002448F7" w:rsidRDefault="00A76918" w:rsidP="00A76918">
            <w:pPr>
              <w:pStyle w:val="paragraph"/>
              <w:numPr>
                <w:ilvl w:val="0"/>
                <w:numId w:val="17"/>
              </w:numPr>
              <w:tabs>
                <w:tab w:val="clear" w:pos="720"/>
              </w:tabs>
              <w:spacing w:before="0" w:beforeAutospacing="0" w:after="120" w:afterAutospacing="0" w:line="276" w:lineRule="auto"/>
              <w:ind w:left="533"/>
              <w:textAlignment w:val="baseline"/>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color w:val="auto"/>
                <w:sz w:val="22"/>
                <w:szCs w:val="22"/>
                <w:lang w:val="en-US" w:eastAsia="en-US"/>
              </w:rPr>
            </w:pPr>
            <w:r w:rsidRPr="002448F7">
              <w:rPr>
                <w:rFonts w:asciiTheme="majorHAnsi" w:eastAsia="Arial" w:hAnsiTheme="majorHAnsi" w:cstheme="majorHAnsi"/>
                <w:color w:val="auto"/>
                <w:sz w:val="22"/>
                <w:szCs w:val="22"/>
                <w:lang w:val="en-US" w:eastAsia="en-US"/>
              </w:rPr>
              <w:t xml:space="preserve">Promoting best practices among market actors to induce replication of behaviour changes.  </w:t>
            </w:r>
          </w:p>
        </w:tc>
      </w:tr>
      <w:tr w:rsidR="00A76918" w:rsidRPr="00C64064" w14:paraId="0AA79F48" w14:textId="77777777" w:rsidTr="00EE45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92" w:type="dxa"/>
            <w:shd w:val="clear" w:color="auto" w:fill="auto"/>
          </w:tcPr>
          <w:p w14:paraId="07CFC119" w14:textId="77777777" w:rsidR="00A76918" w:rsidRPr="008675B7" w:rsidRDefault="00A76918" w:rsidP="00EE453C">
            <w:pPr>
              <w:pStyle w:val="paragraph"/>
              <w:spacing w:after="0" w:line="276" w:lineRule="auto"/>
              <w:jc w:val="left"/>
              <w:textAlignment w:val="baseline"/>
              <w:rPr>
                <w:rFonts w:asciiTheme="majorHAnsi" w:eastAsia="Arial" w:hAnsiTheme="majorHAnsi" w:cstheme="majorHAnsi"/>
                <w:b/>
                <w:bCs/>
                <w:color w:val="002060"/>
                <w:sz w:val="20"/>
                <w:szCs w:val="20"/>
                <w:lang w:val="en-US" w:eastAsia="en-US"/>
              </w:rPr>
            </w:pPr>
            <w:r w:rsidRPr="001A7C6B">
              <w:rPr>
                <w:rFonts w:asciiTheme="majorHAnsi" w:eastAsia="Arial" w:hAnsiTheme="majorHAnsi" w:cstheme="majorHAnsi"/>
                <w:b/>
                <w:bCs/>
                <w:i w:val="0"/>
                <w:iCs w:val="0"/>
                <w:color w:val="002060"/>
                <w:sz w:val="20"/>
                <w:szCs w:val="20"/>
                <w:lang w:val="en-US" w:eastAsia="en-US"/>
              </w:rPr>
              <w:t>Example</w:t>
            </w:r>
            <w:r>
              <w:rPr>
                <w:rFonts w:asciiTheme="majorHAnsi" w:eastAsia="Arial" w:hAnsiTheme="majorHAnsi" w:cstheme="majorHAnsi"/>
                <w:b/>
                <w:bCs/>
                <w:i w:val="0"/>
                <w:iCs w:val="0"/>
                <w:color w:val="002060"/>
                <w:sz w:val="20"/>
                <w:szCs w:val="20"/>
                <w:lang w:val="en-US" w:eastAsia="en-US"/>
              </w:rPr>
              <w:t>:</w:t>
            </w:r>
          </w:p>
        </w:tc>
        <w:tc>
          <w:tcPr>
            <w:tcW w:w="2124" w:type="dxa"/>
            <w:shd w:val="clear" w:color="auto" w:fill="B7E7BD"/>
            <w:vAlign w:val="center"/>
          </w:tcPr>
          <w:p w14:paraId="482F94F4" w14:textId="77777777" w:rsidR="00A76918" w:rsidRPr="008675B7" w:rsidRDefault="00A76918" w:rsidP="00EE453C">
            <w:pPr>
              <w:pStyle w:val="paragraph"/>
              <w:spacing w:before="0" w:beforeAutospacing="0" w:after="0" w:afterAutospacing="0" w:line="276" w:lineRule="auto"/>
              <w:ind w:left="-20"/>
              <w:jc w:val="center"/>
              <w:textAlignment w:val="baseline"/>
              <w:cnfStyle w:val="000000100000" w:firstRow="0" w:lastRow="0" w:firstColumn="0" w:lastColumn="0" w:oddVBand="0" w:evenVBand="0" w:oddHBand="1" w:evenHBand="0" w:firstRowFirstColumn="0" w:firstRowLastColumn="0" w:lastRowFirstColumn="0" w:lastRowLastColumn="0"/>
              <w:rPr>
                <w:rStyle w:val="eop"/>
                <w:rFonts w:asciiTheme="majorHAnsi" w:hAnsiTheme="majorHAnsi" w:cstheme="majorHAnsi"/>
                <w:b/>
                <w:bCs/>
                <w:sz w:val="22"/>
                <w:szCs w:val="22"/>
              </w:rPr>
            </w:pPr>
            <w:r>
              <w:rPr>
                <w:noProof/>
              </w:rPr>
              <w:drawing>
                <wp:inline distT="0" distB="0" distL="0" distR="0" wp14:anchorId="1D39B32B" wp14:editId="71086E64">
                  <wp:extent cx="385116" cy="415925"/>
                  <wp:effectExtent l="0" t="0" r="0" b="3175"/>
                  <wp:docPr id="1199270673" name="Graphic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270673" name="Graphic 47">
                            <a:extLst>
                              <a:ext uri="{C183D7F6-B498-43B3-948B-1728B52AA6E4}">
                                <adec:decorative xmlns:adec="http://schemas.microsoft.com/office/drawing/2017/decorative" val="1"/>
                              </a:ext>
                            </a:extLst>
                          </pic:cNvPr>
                          <pic:cNvPicPr/>
                        </pic:nvPicPr>
                        <pic:blipFill>
                          <a:blip r:embed="rId117">
                            <a:extLst>
                              <a:ext uri="{96DAC541-7B7A-43D3-8B79-37D633B846F1}">
                                <asvg:svgBlip xmlns:asvg="http://schemas.microsoft.com/office/drawing/2016/SVG/main" r:embed="rId118"/>
                              </a:ext>
                            </a:extLst>
                          </a:blip>
                          <a:stretch>
                            <a:fillRect/>
                          </a:stretch>
                        </pic:blipFill>
                        <pic:spPr>
                          <a:xfrm>
                            <a:off x="0" y="0"/>
                            <a:ext cx="389110" cy="420239"/>
                          </a:xfrm>
                          <a:prstGeom prst="rect">
                            <a:avLst/>
                          </a:prstGeom>
                        </pic:spPr>
                      </pic:pic>
                    </a:graphicData>
                  </a:graphic>
                </wp:inline>
              </w:drawing>
            </w:r>
            <w:r w:rsidRPr="008675B7">
              <w:rPr>
                <w:rStyle w:val="eop"/>
                <w:rFonts w:asciiTheme="majorHAnsi" w:hAnsiTheme="majorHAnsi" w:cstheme="majorHAnsi"/>
                <w:b/>
                <w:bCs/>
                <w:sz w:val="22"/>
                <w:szCs w:val="22"/>
              </w:rPr>
              <w:t xml:space="preserve"> </w:t>
            </w:r>
            <w:r>
              <w:rPr>
                <w:rStyle w:val="eop"/>
                <w:rFonts w:asciiTheme="majorHAnsi" w:hAnsiTheme="majorHAnsi" w:cstheme="majorHAnsi"/>
                <w:b/>
                <w:bCs/>
                <w:sz w:val="22"/>
                <w:szCs w:val="22"/>
              </w:rPr>
              <w:br/>
            </w:r>
            <w:r w:rsidRPr="00901E05">
              <w:rPr>
                <w:rStyle w:val="eop"/>
                <w:rFonts w:asciiTheme="majorHAnsi" w:hAnsiTheme="majorHAnsi" w:cstheme="majorHAnsi"/>
                <w:b/>
                <w:bCs/>
                <w:sz w:val="22"/>
                <w:szCs w:val="22"/>
              </w:rPr>
              <w:t>Market resilience activity</w:t>
            </w:r>
          </w:p>
        </w:tc>
        <w:tc>
          <w:tcPr>
            <w:tcW w:w="5179" w:type="dxa"/>
            <w:shd w:val="clear" w:color="auto" w:fill="auto"/>
          </w:tcPr>
          <w:p w14:paraId="6472294F" w14:textId="77777777" w:rsidR="00A76918" w:rsidRPr="00C64064" w:rsidRDefault="00A76918" w:rsidP="00EE453C">
            <w:pPr>
              <w:pStyle w:val="paragraph"/>
              <w:spacing w:before="0" w:beforeAutospacing="0" w:after="0" w:afterAutospacing="0" w:line="276" w:lineRule="auto"/>
              <w:textAlignment w:val="baseline"/>
              <w:cnfStyle w:val="000000100000" w:firstRow="0" w:lastRow="0" w:firstColumn="0" w:lastColumn="0" w:oddVBand="0" w:evenVBand="0" w:oddHBand="1" w:evenHBand="0" w:firstRowFirstColumn="0" w:firstRowLastColumn="0" w:lastRowFirstColumn="0" w:lastRowLastColumn="0"/>
              <w:rPr>
                <w:rFonts w:asciiTheme="majorHAnsi" w:eastAsia="Arial" w:hAnsiTheme="majorHAnsi" w:cstheme="majorHAnsi"/>
                <w:sz w:val="22"/>
                <w:szCs w:val="22"/>
                <w:lang w:val="en-US" w:eastAsia="en-US"/>
              </w:rPr>
            </w:pPr>
            <w:r w:rsidRPr="00901E05">
              <w:rPr>
                <w:rStyle w:val="eop"/>
                <w:rFonts w:asciiTheme="majorHAnsi" w:hAnsiTheme="majorHAnsi" w:cstheme="majorHAnsi"/>
                <w:sz w:val="22"/>
                <w:szCs w:val="22"/>
              </w:rPr>
              <w:t>To endorse and promote successful indigenous-inclusive approaches and learnings to stakeholders that will foster replication across Tanah Papua.</w:t>
            </w:r>
          </w:p>
        </w:tc>
      </w:tr>
      <w:tr w:rsidR="00A76918" w:rsidRPr="00C64064" w14:paraId="3E0CB79A" w14:textId="77777777" w:rsidTr="00EE453C">
        <w:tc>
          <w:tcPr>
            <w:cnfStyle w:val="001000000000" w:firstRow="0" w:lastRow="0" w:firstColumn="1" w:lastColumn="0" w:oddVBand="0" w:evenVBand="0" w:oddHBand="0" w:evenHBand="0" w:firstRowFirstColumn="0" w:firstRowLastColumn="0" w:lastRowFirstColumn="0" w:lastRowLastColumn="0"/>
            <w:tcW w:w="2592" w:type="dxa"/>
            <w:shd w:val="clear" w:color="auto" w:fill="auto"/>
          </w:tcPr>
          <w:p w14:paraId="5B964FFE" w14:textId="77777777" w:rsidR="00A76918" w:rsidRPr="008675B7" w:rsidRDefault="00A76918" w:rsidP="00EE453C">
            <w:pPr>
              <w:pStyle w:val="paragraph"/>
              <w:spacing w:after="0" w:line="276" w:lineRule="auto"/>
              <w:jc w:val="left"/>
              <w:textAlignment w:val="baseline"/>
              <w:rPr>
                <w:rFonts w:asciiTheme="majorHAnsi" w:eastAsia="Arial" w:hAnsiTheme="majorHAnsi" w:cstheme="majorHAnsi"/>
                <w:color w:val="002060"/>
                <w:sz w:val="20"/>
                <w:szCs w:val="20"/>
                <w:lang w:val="en-US" w:eastAsia="en-US"/>
              </w:rPr>
            </w:pPr>
            <w:r w:rsidRPr="00C77863">
              <w:rPr>
                <w:rFonts w:asciiTheme="majorHAnsi" w:eastAsia="Arial" w:hAnsiTheme="majorHAnsi" w:cstheme="majorHAnsi"/>
                <w:color w:val="002060"/>
                <w:sz w:val="20"/>
                <w:szCs w:val="20"/>
                <w:lang w:val="en-US" w:eastAsia="en-US"/>
              </w:rPr>
              <w:t>Catalysing off-taker business models that benefit young indigenous entrepreneurs and farmers</w:t>
            </w:r>
          </w:p>
        </w:tc>
        <w:tc>
          <w:tcPr>
            <w:tcW w:w="2124" w:type="dxa"/>
            <w:shd w:val="clear" w:color="auto" w:fill="B7E7BD"/>
            <w:vAlign w:val="center"/>
          </w:tcPr>
          <w:p w14:paraId="30879E03" w14:textId="77777777" w:rsidR="00A76918" w:rsidRPr="008675B7" w:rsidRDefault="00A76918" w:rsidP="00EE453C">
            <w:pPr>
              <w:pStyle w:val="paragraph"/>
              <w:spacing w:before="0" w:beforeAutospacing="0" w:after="0" w:afterAutospacing="0" w:line="276" w:lineRule="auto"/>
              <w:ind w:left="-20"/>
              <w:jc w:val="center"/>
              <w:textAlignment w:val="baseline"/>
              <w:cnfStyle w:val="000000000000" w:firstRow="0" w:lastRow="0" w:firstColumn="0" w:lastColumn="0" w:oddVBand="0" w:evenVBand="0" w:oddHBand="0" w:evenHBand="0" w:firstRowFirstColumn="0" w:firstRowLastColumn="0" w:lastRowFirstColumn="0" w:lastRowLastColumn="0"/>
              <w:rPr>
                <w:rStyle w:val="eop"/>
                <w:rFonts w:asciiTheme="majorHAnsi" w:hAnsiTheme="majorHAnsi" w:cstheme="majorHAnsi"/>
                <w:b/>
                <w:bCs/>
                <w:sz w:val="22"/>
                <w:szCs w:val="22"/>
              </w:rPr>
            </w:pPr>
            <w:r>
              <w:rPr>
                <w:noProof/>
              </w:rPr>
              <w:drawing>
                <wp:inline distT="0" distB="0" distL="0" distR="0" wp14:anchorId="60D7EE2D" wp14:editId="6B7FE3FE">
                  <wp:extent cx="349250" cy="336315"/>
                  <wp:effectExtent l="0" t="0" r="0" b="6985"/>
                  <wp:docPr id="1620225888" name="Graphic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225888" name="Graphic 48">
                            <a:extLst>
                              <a:ext uri="{C183D7F6-B498-43B3-948B-1728B52AA6E4}">
                                <adec:decorative xmlns:adec="http://schemas.microsoft.com/office/drawing/2017/decorative" val="1"/>
                              </a:ext>
                            </a:extLst>
                          </pic:cNvPr>
                          <pic:cNvPicPr/>
                        </pic:nvPicPr>
                        <pic:blipFill>
                          <a:blip r:embed="rId113">
                            <a:extLst>
                              <a:ext uri="{96DAC541-7B7A-43D3-8B79-37D633B846F1}">
                                <asvg:svgBlip xmlns:asvg="http://schemas.microsoft.com/office/drawing/2016/SVG/main" r:embed="rId114"/>
                              </a:ext>
                            </a:extLst>
                          </a:blip>
                          <a:stretch>
                            <a:fillRect/>
                          </a:stretch>
                        </pic:blipFill>
                        <pic:spPr>
                          <a:xfrm>
                            <a:off x="0" y="0"/>
                            <a:ext cx="349834" cy="336878"/>
                          </a:xfrm>
                          <a:prstGeom prst="rect">
                            <a:avLst/>
                          </a:prstGeom>
                        </pic:spPr>
                      </pic:pic>
                    </a:graphicData>
                  </a:graphic>
                </wp:inline>
              </w:drawing>
            </w:r>
            <w:r>
              <w:rPr>
                <w:rStyle w:val="eop"/>
                <w:rFonts w:asciiTheme="majorHAnsi" w:hAnsiTheme="majorHAnsi" w:cstheme="majorHAnsi"/>
                <w:b/>
                <w:bCs/>
                <w:sz w:val="22"/>
                <w:szCs w:val="22"/>
              </w:rPr>
              <w:br/>
            </w:r>
            <w:r w:rsidRPr="008675B7">
              <w:rPr>
                <w:rStyle w:val="eop"/>
                <w:rFonts w:asciiTheme="majorHAnsi" w:hAnsiTheme="majorHAnsi" w:cstheme="majorHAnsi"/>
                <w:b/>
                <w:bCs/>
                <w:sz w:val="22"/>
                <w:szCs w:val="22"/>
              </w:rPr>
              <w:t>Challenge</w:t>
            </w:r>
          </w:p>
        </w:tc>
        <w:tc>
          <w:tcPr>
            <w:tcW w:w="5179" w:type="dxa"/>
            <w:shd w:val="clear" w:color="auto" w:fill="auto"/>
          </w:tcPr>
          <w:p w14:paraId="5DC5B1A7" w14:textId="77777777" w:rsidR="00A76918" w:rsidRDefault="00A76918" w:rsidP="00EE453C">
            <w:pPr>
              <w:pStyle w:val="paragraph"/>
              <w:spacing w:before="0" w:beforeAutospacing="0" w:after="120" w:afterAutospacing="0" w:line="276" w:lineRule="auto"/>
              <w:textAlignment w:val="baseline"/>
              <w:cnfStyle w:val="000000000000" w:firstRow="0" w:lastRow="0" w:firstColumn="0" w:lastColumn="0" w:oddVBand="0" w:evenVBand="0" w:oddHBand="0" w:evenHBand="0" w:firstRowFirstColumn="0" w:firstRowLastColumn="0" w:lastRowFirstColumn="0" w:lastRowLastColumn="0"/>
              <w:rPr>
                <w:rStyle w:val="eop"/>
                <w:rFonts w:asciiTheme="majorHAnsi" w:hAnsiTheme="majorHAnsi" w:cstheme="majorHAnsi"/>
                <w:sz w:val="22"/>
                <w:szCs w:val="22"/>
              </w:rPr>
            </w:pPr>
            <w:r w:rsidRPr="00901E05">
              <w:rPr>
                <w:rStyle w:val="eop"/>
                <w:rFonts w:asciiTheme="majorHAnsi" w:hAnsiTheme="majorHAnsi" w:cstheme="majorHAnsi"/>
                <w:sz w:val="22"/>
                <w:szCs w:val="22"/>
              </w:rPr>
              <w:t>The quantity of vegetables produced in Tanah Papua is less than half of the 180,000 tonnes total demand.</w:t>
            </w:r>
          </w:p>
          <w:p w14:paraId="043D4856" w14:textId="77777777" w:rsidR="00A76918" w:rsidRPr="00474DF4" w:rsidRDefault="00A76918" w:rsidP="00EE453C">
            <w:pPr>
              <w:pStyle w:val="paragraph"/>
              <w:spacing w:before="0" w:beforeAutospacing="0" w:after="120" w:afterAutospacing="0" w:line="276" w:lineRule="auto"/>
              <w:textAlignment w:val="baseline"/>
              <w:cnfStyle w:val="000000000000" w:firstRow="0" w:lastRow="0" w:firstColumn="0" w:lastColumn="0" w:oddVBand="0" w:evenVBand="0" w:oddHBand="0" w:evenHBand="0" w:firstRowFirstColumn="0" w:firstRowLastColumn="0" w:lastRowFirstColumn="0" w:lastRowLastColumn="0"/>
              <w:rPr>
                <w:rStyle w:val="eop"/>
                <w:rFonts w:asciiTheme="majorHAnsi" w:hAnsiTheme="majorHAnsi" w:cstheme="majorHAnsi"/>
                <w:sz w:val="22"/>
                <w:szCs w:val="22"/>
              </w:rPr>
            </w:pPr>
            <w:r w:rsidRPr="00EC7A10">
              <w:rPr>
                <w:rStyle w:val="eop"/>
                <w:rFonts w:asciiTheme="majorHAnsi" w:hAnsiTheme="majorHAnsi" w:cstheme="majorHAnsi"/>
                <w:sz w:val="22"/>
                <w:szCs w:val="22"/>
              </w:rPr>
              <w:t>The large supply-demand gap can be attributed to several factors, including farmers’ suboptimal yields from using low-quality inputs and a lack of off-takers. These challenges are particularly pronounced in indigenous communities.</w:t>
            </w:r>
          </w:p>
        </w:tc>
      </w:tr>
      <w:tr w:rsidR="00A76918" w:rsidRPr="00C64064" w14:paraId="2657B11C" w14:textId="77777777" w:rsidTr="00EE45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92" w:type="dxa"/>
            <w:shd w:val="clear" w:color="auto" w:fill="auto"/>
          </w:tcPr>
          <w:p w14:paraId="08EC56CE" w14:textId="77777777" w:rsidR="00A76918" w:rsidRPr="001A7C6B" w:rsidRDefault="00A76918" w:rsidP="00EE453C">
            <w:pPr>
              <w:pStyle w:val="paragraph"/>
              <w:spacing w:after="0" w:line="276" w:lineRule="auto"/>
              <w:textAlignment w:val="baseline"/>
              <w:rPr>
                <w:rFonts w:asciiTheme="majorHAnsi" w:eastAsia="Arial" w:hAnsiTheme="majorHAnsi" w:cstheme="majorHAnsi"/>
                <w:b/>
                <w:bCs/>
                <w:i w:val="0"/>
                <w:iCs w:val="0"/>
                <w:color w:val="002060"/>
                <w:sz w:val="20"/>
                <w:szCs w:val="20"/>
                <w:lang w:val="en-US" w:eastAsia="en-US"/>
              </w:rPr>
            </w:pPr>
          </w:p>
        </w:tc>
        <w:tc>
          <w:tcPr>
            <w:tcW w:w="2124" w:type="dxa"/>
            <w:shd w:val="clear" w:color="auto" w:fill="B7E7BD"/>
            <w:vAlign w:val="center"/>
          </w:tcPr>
          <w:p w14:paraId="6DCAD7BA" w14:textId="77777777" w:rsidR="00A76918" w:rsidRPr="008675B7" w:rsidRDefault="00A76918" w:rsidP="00EE453C">
            <w:pPr>
              <w:pStyle w:val="paragraph"/>
              <w:spacing w:before="0" w:beforeAutospacing="0" w:after="0" w:afterAutospacing="0" w:line="276" w:lineRule="auto"/>
              <w:ind w:left="-20"/>
              <w:jc w:val="center"/>
              <w:textAlignment w:val="baseline"/>
              <w:cnfStyle w:val="000000100000" w:firstRow="0" w:lastRow="0" w:firstColumn="0" w:lastColumn="0" w:oddVBand="0" w:evenVBand="0" w:oddHBand="1" w:evenHBand="0" w:firstRowFirstColumn="0" w:firstRowLastColumn="0" w:lastRowFirstColumn="0" w:lastRowLastColumn="0"/>
              <w:rPr>
                <w:rStyle w:val="eop"/>
                <w:rFonts w:asciiTheme="majorHAnsi" w:hAnsiTheme="majorHAnsi" w:cstheme="majorHAnsi"/>
                <w:b/>
                <w:bCs/>
                <w:sz w:val="22"/>
                <w:szCs w:val="22"/>
              </w:rPr>
            </w:pPr>
            <w:r>
              <w:rPr>
                <w:noProof/>
              </w:rPr>
              <w:drawing>
                <wp:inline distT="0" distB="0" distL="0" distR="0" wp14:anchorId="60FC2DDB" wp14:editId="245A763F">
                  <wp:extent cx="342900" cy="384048"/>
                  <wp:effectExtent l="0" t="0" r="0" b="0"/>
                  <wp:docPr id="471974431" name="Graphic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974431" name="Graphic 49">
                            <a:extLst>
                              <a:ext uri="{C183D7F6-B498-43B3-948B-1728B52AA6E4}">
                                <adec:decorative xmlns:adec="http://schemas.microsoft.com/office/drawing/2017/decorative" val="1"/>
                              </a:ext>
                            </a:extLst>
                          </pic:cNvPr>
                          <pic:cNvPicPr/>
                        </pic:nvPicPr>
                        <pic:blipFill>
                          <a:blip r:embed="rId115">
                            <a:extLst>
                              <a:ext uri="{96DAC541-7B7A-43D3-8B79-37D633B846F1}">
                                <asvg:svgBlip xmlns:asvg="http://schemas.microsoft.com/office/drawing/2016/SVG/main" r:embed="rId116"/>
                              </a:ext>
                            </a:extLst>
                          </a:blip>
                          <a:stretch>
                            <a:fillRect/>
                          </a:stretch>
                        </pic:blipFill>
                        <pic:spPr>
                          <a:xfrm>
                            <a:off x="0" y="0"/>
                            <a:ext cx="344428" cy="385759"/>
                          </a:xfrm>
                          <a:prstGeom prst="rect">
                            <a:avLst/>
                          </a:prstGeom>
                        </pic:spPr>
                      </pic:pic>
                    </a:graphicData>
                  </a:graphic>
                </wp:inline>
              </w:drawing>
            </w:r>
            <w:r>
              <w:rPr>
                <w:rStyle w:val="eop"/>
                <w:rFonts w:asciiTheme="majorHAnsi" w:hAnsiTheme="majorHAnsi" w:cstheme="majorHAnsi"/>
                <w:b/>
                <w:bCs/>
                <w:sz w:val="22"/>
                <w:szCs w:val="22"/>
              </w:rPr>
              <w:br/>
            </w:r>
            <w:r w:rsidRPr="008675B7">
              <w:rPr>
                <w:rStyle w:val="eop"/>
                <w:rFonts w:asciiTheme="majorHAnsi" w:hAnsiTheme="majorHAnsi" w:cstheme="majorHAnsi"/>
                <w:b/>
                <w:bCs/>
                <w:sz w:val="22"/>
                <w:szCs w:val="22"/>
              </w:rPr>
              <w:t>Opportunity</w:t>
            </w:r>
          </w:p>
        </w:tc>
        <w:tc>
          <w:tcPr>
            <w:tcW w:w="5179" w:type="dxa"/>
            <w:shd w:val="clear" w:color="auto" w:fill="auto"/>
          </w:tcPr>
          <w:p w14:paraId="19C2F1EF" w14:textId="77777777" w:rsidR="00A76918" w:rsidRDefault="00A76918" w:rsidP="00EE453C">
            <w:pPr>
              <w:pStyle w:val="paragraph"/>
              <w:spacing w:before="0" w:beforeAutospacing="0" w:after="120" w:afterAutospacing="0" w:line="276" w:lineRule="auto"/>
              <w:textAlignment w:val="baseline"/>
              <w:cnfStyle w:val="000000100000" w:firstRow="0" w:lastRow="0" w:firstColumn="0" w:lastColumn="0" w:oddVBand="0" w:evenVBand="0" w:oddHBand="1" w:evenHBand="0" w:firstRowFirstColumn="0" w:firstRowLastColumn="0" w:lastRowFirstColumn="0" w:lastRowLastColumn="0"/>
              <w:rPr>
                <w:rStyle w:val="eop"/>
                <w:rFonts w:asciiTheme="majorHAnsi" w:hAnsiTheme="majorHAnsi" w:cstheme="majorHAnsi"/>
                <w:sz w:val="22"/>
                <w:szCs w:val="22"/>
              </w:rPr>
            </w:pPr>
            <w:r w:rsidRPr="002E4495">
              <w:rPr>
                <w:rStyle w:val="eop"/>
                <w:rFonts w:asciiTheme="majorHAnsi" w:hAnsiTheme="majorHAnsi" w:cstheme="majorHAnsi"/>
                <w:sz w:val="22"/>
                <w:szCs w:val="22"/>
              </w:rPr>
              <w:t>PRISMA has experience working with the indigenous off-taker Anggi Mart in developing its business, with some early signs of impact. This semester, PRISMA collaborated with the Papua Youth Creative Hub (PYCH), an organization of young indigenous Papuan entrepreneurs, to hold the Youthpreneur Summit in Manokwari.</w:t>
            </w:r>
          </w:p>
          <w:p w14:paraId="66C81EEF" w14:textId="77777777" w:rsidR="00A76918" w:rsidRPr="00474DF4" w:rsidRDefault="00A76918" w:rsidP="00EE453C">
            <w:pPr>
              <w:pStyle w:val="paragraph"/>
              <w:spacing w:before="0" w:beforeAutospacing="0" w:after="120" w:afterAutospacing="0" w:line="276" w:lineRule="auto"/>
              <w:textAlignment w:val="baseline"/>
              <w:cnfStyle w:val="000000100000" w:firstRow="0" w:lastRow="0" w:firstColumn="0" w:lastColumn="0" w:oddVBand="0" w:evenVBand="0" w:oddHBand="1" w:evenHBand="0" w:firstRowFirstColumn="0" w:firstRowLastColumn="0" w:lastRowFirstColumn="0" w:lastRowLastColumn="0"/>
              <w:rPr>
                <w:rStyle w:val="eop"/>
                <w:rFonts w:asciiTheme="majorHAnsi" w:hAnsiTheme="majorHAnsi" w:cstheme="majorHAnsi"/>
                <w:sz w:val="22"/>
                <w:szCs w:val="22"/>
              </w:rPr>
            </w:pPr>
            <w:r w:rsidRPr="002E4495">
              <w:rPr>
                <w:rStyle w:val="eop"/>
                <w:rFonts w:asciiTheme="majorHAnsi" w:hAnsiTheme="majorHAnsi" w:cstheme="majorHAnsi"/>
                <w:sz w:val="22"/>
                <w:szCs w:val="22"/>
              </w:rPr>
              <w:t>The event provided a platform for participants from 4 provinces in Tanah Papua to exchange ideas on how to manage vegetable businesses effectively.</w:t>
            </w:r>
          </w:p>
        </w:tc>
      </w:tr>
      <w:tr w:rsidR="00A76918" w:rsidRPr="00C64064" w14:paraId="1D2CE4E1" w14:textId="77777777" w:rsidTr="00EE453C">
        <w:tc>
          <w:tcPr>
            <w:cnfStyle w:val="001000000000" w:firstRow="0" w:lastRow="0" w:firstColumn="1" w:lastColumn="0" w:oddVBand="0" w:evenVBand="0" w:oddHBand="0" w:evenHBand="0" w:firstRowFirstColumn="0" w:firstRowLastColumn="0" w:lastRowFirstColumn="0" w:lastRowLastColumn="0"/>
            <w:tcW w:w="2592" w:type="dxa"/>
            <w:shd w:val="clear" w:color="auto" w:fill="auto"/>
          </w:tcPr>
          <w:p w14:paraId="0D32436F" w14:textId="77777777" w:rsidR="00A76918" w:rsidRPr="001A7C6B" w:rsidRDefault="00A76918" w:rsidP="00EE453C">
            <w:pPr>
              <w:pStyle w:val="paragraph"/>
              <w:spacing w:after="0" w:line="276" w:lineRule="auto"/>
              <w:textAlignment w:val="baseline"/>
              <w:rPr>
                <w:rFonts w:asciiTheme="majorHAnsi" w:eastAsia="Arial" w:hAnsiTheme="majorHAnsi" w:cstheme="majorHAnsi"/>
                <w:b/>
                <w:bCs/>
                <w:i w:val="0"/>
                <w:iCs w:val="0"/>
                <w:color w:val="002060"/>
                <w:sz w:val="20"/>
                <w:szCs w:val="20"/>
                <w:lang w:val="en-US" w:eastAsia="en-US"/>
              </w:rPr>
            </w:pPr>
          </w:p>
        </w:tc>
        <w:tc>
          <w:tcPr>
            <w:tcW w:w="2124" w:type="dxa"/>
            <w:shd w:val="clear" w:color="auto" w:fill="B7E7BD"/>
            <w:vAlign w:val="center"/>
          </w:tcPr>
          <w:p w14:paraId="5C51BF02" w14:textId="77777777" w:rsidR="00A76918" w:rsidRDefault="00A76918" w:rsidP="00EE453C">
            <w:pPr>
              <w:pStyle w:val="paragraph"/>
              <w:spacing w:before="0" w:beforeAutospacing="0" w:after="0" w:afterAutospacing="0" w:line="276" w:lineRule="auto"/>
              <w:ind w:left="-20"/>
              <w:jc w:val="center"/>
              <w:textAlignment w:val="baseline"/>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2BFF442E" wp14:editId="3D7702D0">
                  <wp:extent cx="278296" cy="266700"/>
                  <wp:effectExtent l="0" t="0" r="7620" b="0"/>
                  <wp:docPr id="2005360172" name="Graphic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360172" name="Graphic 50">
                            <a:extLst>
                              <a:ext uri="{C183D7F6-B498-43B3-948B-1728B52AA6E4}">
                                <adec:decorative xmlns:adec="http://schemas.microsoft.com/office/drawing/2017/decorative" val="1"/>
                              </a:ext>
                            </a:extLst>
                          </pic:cNvPr>
                          <pic:cNvPicPr/>
                        </pic:nvPicPr>
                        <pic:blipFill>
                          <a:blip r:embed="rId121">
                            <a:extLst>
                              <a:ext uri="{96DAC541-7B7A-43D3-8B79-37D633B846F1}">
                                <asvg:svgBlip xmlns:asvg="http://schemas.microsoft.com/office/drawing/2016/SVG/main" r:embed="rId122"/>
                              </a:ext>
                            </a:extLst>
                          </a:blip>
                          <a:stretch>
                            <a:fillRect/>
                          </a:stretch>
                        </pic:blipFill>
                        <pic:spPr>
                          <a:xfrm>
                            <a:off x="0" y="0"/>
                            <a:ext cx="282529" cy="270756"/>
                          </a:xfrm>
                          <a:prstGeom prst="rect">
                            <a:avLst/>
                          </a:prstGeom>
                        </pic:spPr>
                      </pic:pic>
                    </a:graphicData>
                  </a:graphic>
                </wp:inline>
              </w:drawing>
            </w:r>
            <w:r>
              <w:rPr>
                <w:rStyle w:val="eop"/>
                <w:rFonts w:asciiTheme="majorHAnsi" w:hAnsiTheme="majorHAnsi" w:cstheme="majorHAnsi"/>
                <w:b/>
                <w:bCs/>
                <w:sz w:val="22"/>
                <w:szCs w:val="22"/>
              </w:rPr>
              <w:br/>
            </w:r>
            <w:r w:rsidRPr="00AE1EBD">
              <w:rPr>
                <w:rStyle w:val="eop"/>
                <w:rFonts w:asciiTheme="majorHAnsi" w:hAnsiTheme="majorHAnsi" w:cstheme="majorHAnsi"/>
                <w:b/>
                <w:bCs/>
                <w:sz w:val="22"/>
                <w:szCs w:val="22"/>
              </w:rPr>
              <w:t>Result</w:t>
            </w:r>
          </w:p>
        </w:tc>
        <w:tc>
          <w:tcPr>
            <w:tcW w:w="5179" w:type="dxa"/>
            <w:shd w:val="clear" w:color="auto" w:fill="auto"/>
          </w:tcPr>
          <w:p w14:paraId="471986B8" w14:textId="77777777" w:rsidR="00A76918" w:rsidRPr="008F00E4" w:rsidRDefault="00A76918" w:rsidP="00EE453C">
            <w:pPr>
              <w:pStyle w:val="paragraph"/>
              <w:spacing w:after="120" w:line="276" w:lineRule="auto"/>
              <w:textAlignment w:val="baseline"/>
              <w:cnfStyle w:val="000000000000" w:firstRow="0" w:lastRow="0" w:firstColumn="0" w:lastColumn="0" w:oddVBand="0" w:evenVBand="0" w:oddHBand="0" w:evenHBand="0" w:firstRowFirstColumn="0" w:firstRowLastColumn="0" w:lastRowFirstColumn="0" w:lastRowLastColumn="0"/>
              <w:rPr>
                <w:rStyle w:val="eop"/>
                <w:rFonts w:asciiTheme="majorHAnsi" w:hAnsiTheme="majorHAnsi" w:cstheme="majorHAnsi"/>
                <w:sz w:val="22"/>
                <w:szCs w:val="22"/>
              </w:rPr>
            </w:pPr>
            <w:r w:rsidRPr="008F00E4">
              <w:rPr>
                <w:rStyle w:val="eop"/>
                <w:rFonts w:asciiTheme="majorHAnsi" w:hAnsiTheme="majorHAnsi" w:cstheme="majorHAnsi"/>
                <w:sz w:val="22"/>
                <w:szCs w:val="22"/>
              </w:rPr>
              <w:t>Following the event, 5 out of 6 participants promptly adopted the inclusive business model. Among them, 3 individuals from Biak, Jayawijaya, and Teluk Wondama initiated their vegetable businesses.</w:t>
            </w:r>
          </w:p>
          <w:p w14:paraId="39521643" w14:textId="77777777" w:rsidR="00A76918" w:rsidRPr="002E4495" w:rsidRDefault="00A76918" w:rsidP="00EE453C">
            <w:pPr>
              <w:pStyle w:val="paragraph"/>
              <w:spacing w:before="0" w:beforeAutospacing="0" w:after="120" w:afterAutospacing="0" w:line="276" w:lineRule="auto"/>
              <w:textAlignment w:val="baseline"/>
              <w:cnfStyle w:val="000000000000" w:firstRow="0" w:lastRow="0" w:firstColumn="0" w:lastColumn="0" w:oddVBand="0" w:evenVBand="0" w:oddHBand="0" w:evenHBand="0" w:firstRowFirstColumn="0" w:firstRowLastColumn="0" w:lastRowFirstColumn="0" w:lastRowLastColumn="0"/>
              <w:rPr>
                <w:rStyle w:val="eop"/>
                <w:rFonts w:asciiTheme="majorHAnsi" w:hAnsiTheme="majorHAnsi" w:cstheme="majorHAnsi"/>
                <w:sz w:val="22"/>
                <w:szCs w:val="22"/>
              </w:rPr>
            </w:pPr>
            <w:r w:rsidRPr="008F00E4">
              <w:rPr>
                <w:rStyle w:val="eop"/>
                <w:rFonts w:asciiTheme="majorHAnsi" w:hAnsiTheme="majorHAnsi" w:cstheme="majorHAnsi"/>
                <w:sz w:val="22"/>
                <w:szCs w:val="22"/>
              </w:rPr>
              <w:t>Challenges: As the event participants are still in the early stages of their business, providing continuous mentorship would be beneficial to ensure sustainable replication and scalability.</w:t>
            </w:r>
          </w:p>
        </w:tc>
      </w:tr>
      <w:tr w:rsidR="00A76918" w:rsidRPr="002448F7" w14:paraId="6DA88A38" w14:textId="77777777" w:rsidTr="00EE45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92" w:type="dxa"/>
            <w:shd w:val="clear" w:color="auto" w:fill="F7E6B7"/>
          </w:tcPr>
          <w:p w14:paraId="5E554BBA" w14:textId="77777777" w:rsidR="00A76918" w:rsidRPr="002448F7" w:rsidRDefault="00A76918" w:rsidP="00EE453C">
            <w:pPr>
              <w:pStyle w:val="paragraph"/>
              <w:spacing w:before="0" w:line="276" w:lineRule="auto"/>
              <w:jc w:val="left"/>
              <w:textAlignment w:val="baseline"/>
              <w:rPr>
                <w:rFonts w:asciiTheme="majorHAnsi" w:eastAsia="Arial" w:hAnsiTheme="majorHAnsi" w:cstheme="majorHAnsi"/>
                <w:b/>
                <w:bCs/>
                <w:i w:val="0"/>
                <w:iCs w:val="0"/>
                <w:color w:val="auto"/>
                <w:sz w:val="22"/>
                <w:szCs w:val="22"/>
                <w:lang w:val="en-US" w:eastAsia="en-US"/>
              </w:rPr>
            </w:pPr>
            <w:r w:rsidRPr="00C64C44">
              <w:rPr>
                <w:rFonts w:asciiTheme="majorHAnsi" w:eastAsia="Arial" w:hAnsiTheme="majorHAnsi" w:cstheme="majorHAnsi"/>
                <w:b/>
                <w:bCs/>
                <w:i w:val="0"/>
                <w:iCs w:val="0"/>
                <w:color w:val="auto"/>
                <w:lang w:val="en-US" w:eastAsia="en-US"/>
              </w:rPr>
              <w:t>Policy initiatives</w:t>
            </w:r>
          </w:p>
        </w:tc>
        <w:tc>
          <w:tcPr>
            <w:tcW w:w="2124" w:type="dxa"/>
            <w:shd w:val="clear" w:color="auto" w:fill="F7E6B7"/>
          </w:tcPr>
          <w:p w14:paraId="0946FD0F" w14:textId="77777777" w:rsidR="00A76918" w:rsidRPr="002448F7" w:rsidRDefault="00A76918" w:rsidP="00EE453C">
            <w:pPr>
              <w:pStyle w:val="paragraph"/>
              <w:spacing w:before="0" w:beforeAutospacing="0" w:after="0" w:afterAutospacing="0" w:line="276" w:lineRule="auto"/>
              <w:ind w:left="360"/>
              <w:textAlignment w:val="baseline"/>
              <w:cnfStyle w:val="000000100000" w:firstRow="0" w:lastRow="0" w:firstColumn="0" w:lastColumn="0" w:oddVBand="0" w:evenVBand="0" w:oddHBand="1" w:evenHBand="0" w:firstRowFirstColumn="0" w:firstRowLastColumn="0" w:lastRowFirstColumn="0" w:lastRowLastColumn="0"/>
              <w:rPr>
                <w:rFonts w:asciiTheme="majorHAnsi" w:eastAsia="Arial" w:hAnsiTheme="majorHAnsi" w:cstheme="majorHAnsi"/>
                <w:color w:val="auto"/>
                <w:sz w:val="22"/>
                <w:szCs w:val="22"/>
                <w:lang w:val="en-US" w:eastAsia="en-US"/>
              </w:rPr>
            </w:pPr>
          </w:p>
        </w:tc>
        <w:tc>
          <w:tcPr>
            <w:tcW w:w="5179" w:type="dxa"/>
            <w:shd w:val="clear" w:color="auto" w:fill="F7E6B7"/>
          </w:tcPr>
          <w:p w14:paraId="0366DDCD" w14:textId="77777777" w:rsidR="00A76918" w:rsidRPr="00C64C44" w:rsidRDefault="00A76918" w:rsidP="00A76918">
            <w:pPr>
              <w:pStyle w:val="paragraph"/>
              <w:numPr>
                <w:ilvl w:val="0"/>
                <w:numId w:val="17"/>
              </w:numPr>
              <w:tabs>
                <w:tab w:val="clear" w:pos="720"/>
              </w:tabs>
              <w:spacing w:after="120"/>
              <w:cnfStyle w:val="000000100000" w:firstRow="0" w:lastRow="0" w:firstColumn="0" w:lastColumn="0" w:oddVBand="0" w:evenVBand="0" w:oddHBand="1" w:evenHBand="0" w:firstRowFirstColumn="0" w:firstRowLastColumn="0" w:lastRowFirstColumn="0" w:lastRowLastColumn="0"/>
              <w:rPr>
                <w:rFonts w:asciiTheme="majorHAnsi" w:eastAsia="Arial" w:hAnsiTheme="majorHAnsi" w:cstheme="majorHAnsi"/>
                <w:color w:val="auto"/>
                <w:sz w:val="22"/>
                <w:szCs w:val="22"/>
                <w:lang w:val="en-US" w:eastAsia="en-US"/>
              </w:rPr>
            </w:pPr>
            <w:r w:rsidRPr="00C64C44">
              <w:rPr>
                <w:rFonts w:asciiTheme="majorHAnsi" w:eastAsia="Arial" w:hAnsiTheme="majorHAnsi" w:cstheme="majorHAnsi"/>
                <w:color w:val="auto"/>
                <w:sz w:val="22"/>
                <w:szCs w:val="22"/>
                <w:lang w:val="en-US" w:eastAsia="en-US"/>
              </w:rPr>
              <w:t xml:space="preserve">Capturing and sharing field evidence with policymakers to improve the business-enabling environment.  </w:t>
            </w:r>
          </w:p>
          <w:p w14:paraId="1C57C18A" w14:textId="77777777" w:rsidR="00A76918" w:rsidRPr="002448F7" w:rsidRDefault="00A76918" w:rsidP="00A76918">
            <w:pPr>
              <w:pStyle w:val="paragraph"/>
              <w:numPr>
                <w:ilvl w:val="0"/>
                <w:numId w:val="17"/>
              </w:numPr>
              <w:tabs>
                <w:tab w:val="clear" w:pos="720"/>
              </w:tabs>
              <w:spacing w:before="0" w:beforeAutospacing="0" w:after="120" w:afterAutospacing="0" w:line="276" w:lineRule="auto"/>
              <w:textAlignment w:val="baseline"/>
              <w:cnfStyle w:val="000000100000" w:firstRow="0" w:lastRow="0" w:firstColumn="0" w:lastColumn="0" w:oddVBand="0" w:evenVBand="0" w:oddHBand="1" w:evenHBand="0" w:firstRowFirstColumn="0" w:firstRowLastColumn="0" w:lastRowFirstColumn="0" w:lastRowLastColumn="0"/>
              <w:rPr>
                <w:rFonts w:asciiTheme="majorHAnsi" w:eastAsia="Arial" w:hAnsiTheme="majorHAnsi" w:cstheme="majorHAnsi"/>
                <w:color w:val="auto"/>
                <w:sz w:val="22"/>
                <w:szCs w:val="22"/>
                <w:lang w:val="en-US" w:eastAsia="en-US"/>
              </w:rPr>
            </w:pPr>
            <w:r w:rsidRPr="00C64C44">
              <w:rPr>
                <w:rFonts w:asciiTheme="majorHAnsi" w:eastAsia="Arial" w:hAnsiTheme="majorHAnsi" w:cstheme="majorHAnsi"/>
                <w:color w:val="auto"/>
                <w:sz w:val="22"/>
                <w:szCs w:val="22"/>
                <w:lang w:val="en-US" w:eastAsia="en-US"/>
              </w:rPr>
              <w:t>Supporting selected government agencies to improve their capacity, rules, and regulations.</w:t>
            </w:r>
          </w:p>
        </w:tc>
      </w:tr>
    </w:tbl>
    <w:p w14:paraId="7E19F4FA" w14:textId="19246318" w:rsidR="009C0795" w:rsidRPr="00A76918" w:rsidRDefault="009C0795" w:rsidP="00DC6819">
      <w:pPr>
        <w:pStyle w:val="paragraph"/>
        <w:spacing w:before="0" w:beforeAutospacing="0" w:after="0" w:afterAutospacing="0" w:line="360" w:lineRule="auto"/>
        <w:textAlignment w:val="baseline"/>
        <w:rPr>
          <w:rFonts w:asciiTheme="majorHAnsi" w:hAnsiTheme="majorHAnsi" w:cstheme="majorHAnsi"/>
          <w:sz w:val="22"/>
          <w:lang w:val="en-GB"/>
        </w:rPr>
      </w:pPr>
    </w:p>
    <w:p w14:paraId="7CB6882C" w14:textId="2B5EE1B2" w:rsidR="00073B4B" w:rsidRPr="00C64064" w:rsidRDefault="00073B4B" w:rsidP="00DC6819">
      <w:pPr>
        <w:pStyle w:val="paragraph"/>
        <w:spacing w:before="0" w:beforeAutospacing="0" w:after="0" w:afterAutospacing="0" w:line="360" w:lineRule="auto"/>
        <w:textAlignment w:val="baseline"/>
        <w:rPr>
          <w:rFonts w:asciiTheme="majorHAnsi" w:eastAsiaTheme="minorEastAsia" w:hAnsiTheme="majorHAnsi" w:cstheme="majorHAnsi"/>
          <w:sz w:val="22"/>
          <w:szCs w:val="22"/>
          <w:lang w:val="en-AU" w:eastAsia="en-GB"/>
        </w:rPr>
      </w:pPr>
      <w:r w:rsidRPr="00C64064">
        <w:rPr>
          <w:rFonts w:asciiTheme="majorHAnsi" w:eastAsiaTheme="minorEastAsia" w:hAnsiTheme="majorHAnsi" w:cstheme="majorHAnsi"/>
          <w:sz w:val="22"/>
          <w:szCs w:val="22"/>
          <w:lang w:val="en-AU" w:eastAsia="en-GB"/>
        </w:rPr>
        <w:t>More details about each sector’s market resilience activities can be found in ANNEX 1: Progress Against the A</w:t>
      </w:r>
      <w:r w:rsidR="00E33940" w:rsidRPr="00C64064">
        <w:rPr>
          <w:rFonts w:asciiTheme="majorHAnsi" w:eastAsiaTheme="minorEastAsia" w:hAnsiTheme="majorHAnsi" w:cstheme="majorHAnsi"/>
          <w:sz w:val="22"/>
          <w:szCs w:val="22"/>
          <w:lang w:val="en-AU" w:eastAsia="en-GB"/>
        </w:rPr>
        <w:t>nnual Workplan</w:t>
      </w:r>
      <w:r w:rsidRPr="00C64064">
        <w:rPr>
          <w:rFonts w:asciiTheme="majorHAnsi" w:eastAsiaTheme="minorEastAsia" w:hAnsiTheme="majorHAnsi" w:cstheme="majorHAnsi"/>
          <w:sz w:val="22"/>
          <w:szCs w:val="22"/>
          <w:lang w:val="en-AU" w:eastAsia="en-GB"/>
        </w:rPr>
        <w:t>.</w:t>
      </w:r>
    </w:p>
    <w:p w14:paraId="547E0578" w14:textId="33AB554C" w:rsidR="00595D0A" w:rsidRPr="00C64064" w:rsidRDefault="009E4ACB" w:rsidP="00B03C3A">
      <w:pPr>
        <w:pStyle w:val="Head3"/>
      </w:pPr>
      <w:bookmarkStart w:id="101" w:name="_Toc173318316"/>
      <w:bookmarkStart w:id="102" w:name="_Toc179192308"/>
      <w:bookmarkStart w:id="103" w:name="_Toc180155173"/>
      <w:r w:rsidRPr="00C64064">
        <w:t>3</w:t>
      </w:r>
      <w:r w:rsidR="00595D0A" w:rsidRPr="00C64064">
        <w:t>.3.1 High-priority policy initiatives</w:t>
      </w:r>
      <w:bookmarkEnd w:id="101"/>
      <w:bookmarkEnd w:id="102"/>
      <w:bookmarkEnd w:id="103"/>
      <w:r w:rsidR="00D86156" w:rsidRPr="00C64064">
        <w:t xml:space="preserve"> </w:t>
      </w:r>
    </w:p>
    <w:p w14:paraId="6A5D7CCA" w14:textId="77777777" w:rsidR="00FD0962" w:rsidRPr="00C64064" w:rsidRDefault="00FD0962" w:rsidP="008379E1">
      <w:pPr>
        <w:spacing w:before="120"/>
        <w:jc w:val="both"/>
        <w:rPr>
          <w:rFonts w:asciiTheme="majorHAnsi" w:hAnsiTheme="majorHAnsi" w:cstheme="majorHAnsi"/>
          <w:lang w:val="en-AU"/>
        </w:rPr>
      </w:pPr>
      <w:r w:rsidRPr="00C64064">
        <w:rPr>
          <w:rFonts w:asciiTheme="majorHAnsi" w:hAnsiTheme="majorHAnsi" w:cstheme="majorHAnsi"/>
          <w:lang w:val="en-AU"/>
        </w:rPr>
        <w:t>Building on the success of its 10-year MSD program in Indonesia, PRISMA is focusing on 8 high priority policy initiatives (HPPI) in its final year to ensure better sustainability.</w:t>
      </w:r>
      <w:r w:rsidRPr="00C64064">
        <w:rPr>
          <w:rStyle w:val="EndnoteReference"/>
          <w:rFonts w:asciiTheme="majorHAnsi" w:hAnsiTheme="majorHAnsi" w:cstheme="majorHAnsi"/>
          <w:lang w:val="en-AU"/>
        </w:rPr>
        <w:endnoteReference w:id="3"/>
      </w:r>
      <w:r w:rsidRPr="00C64064">
        <w:rPr>
          <w:rFonts w:asciiTheme="majorHAnsi" w:hAnsiTheme="majorHAnsi" w:cstheme="majorHAnsi"/>
          <w:lang w:val="en-AU"/>
        </w:rPr>
        <w:t xml:space="preserve"> These initiatives cover sector-specific policies (beef, dairy, maize, and pig), national and regional government policy planning processes, and embedding the MSD approach in government institutions and universities’ academic programs. </w:t>
      </w:r>
    </w:p>
    <w:p w14:paraId="1F893471" w14:textId="3D0E774C" w:rsidR="00FD0962" w:rsidRPr="00C64064" w:rsidRDefault="00FD0962" w:rsidP="008379E1">
      <w:pPr>
        <w:spacing w:before="120"/>
        <w:jc w:val="both"/>
        <w:rPr>
          <w:rFonts w:asciiTheme="majorHAnsi" w:hAnsiTheme="majorHAnsi" w:cstheme="majorHAnsi"/>
          <w:lang w:val="en-AU"/>
        </w:rPr>
      </w:pPr>
      <w:r w:rsidRPr="00C64064">
        <w:rPr>
          <w:rFonts w:asciiTheme="majorHAnsi" w:hAnsiTheme="majorHAnsi" w:cstheme="majorHAnsi"/>
          <w:lang w:val="en-AU"/>
        </w:rPr>
        <w:t>These initiatives build on existing PRISMA efforts to foster a more enabling business environment in key sectors and national and regional agricultural planning</w:t>
      </w:r>
      <w:r w:rsidR="00026D34" w:rsidRPr="00C64064">
        <w:rPr>
          <w:rFonts w:asciiTheme="majorHAnsi" w:hAnsiTheme="majorHAnsi" w:cstheme="majorHAnsi"/>
          <w:lang w:val="en-AU"/>
        </w:rPr>
        <w:t>. They</w:t>
      </w:r>
      <w:r w:rsidRPr="00C64064">
        <w:rPr>
          <w:rFonts w:asciiTheme="majorHAnsi" w:hAnsiTheme="majorHAnsi" w:cstheme="majorHAnsi"/>
          <w:lang w:val="en-AU"/>
        </w:rPr>
        <w:t xml:space="preserve"> also involve new initiatives to influence governments and universities to incorporate PRISMA's proven approach into their policies and programs. Each initiative aims to make transformational changes (new processes, practices, regulations) or improve capacity within key partner institutions.</w:t>
      </w:r>
      <w:r w:rsidRPr="00C64064">
        <w:rPr>
          <w:rStyle w:val="EndnoteReference"/>
          <w:rFonts w:asciiTheme="majorHAnsi" w:hAnsiTheme="majorHAnsi" w:cstheme="majorHAnsi"/>
          <w:lang w:val="en-AU"/>
        </w:rPr>
        <w:endnoteReference w:id="4"/>
      </w:r>
      <w:r w:rsidRPr="00C64064">
        <w:rPr>
          <w:rFonts w:asciiTheme="majorHAnsi" w:hAnsiTheme="majorHAnsi" w:cstheme="majorHAnsi"/>
          <w:lang w:val="en-AU"/>
        </w:rPr>
        <w:t xml:space="preserve"> </w:t>
      </w:r>
    </w:p>
    <w:p w14:paraId="6DAD8B78" w14:textId="289C2F04" w:rsidR="00FD0962" w:rsidRPr="00C64064" w:rsidRDefault="00FD0962" w:rsidP="008379E1">
      <w:pPr>
        <w:spacing w:before="120"/>
        <w:jc w:val="both"/>
        <w:rPr>
          <w:rFonts w:asciiTheme="majorHAnsi" w:hAnsiTheme="majorHAnsi" w:cstheme="majorHAnsi"/>
          <w:lang w:val="en-AU"/>
        </w:rPr>
      </w:pPr>
      <w:r w:rsidRPr="00C64064">
        <w:rPr>
          <w:rFonts w:asciiTheme="majorHAnsi" w:hAnsiTheme="majorHAnsi" w:cstheme="majorHAnsi"/>
          <w:lang w:val="en-AU"/>
        </w:rPr>
        <w:lastRenderedPageBreak/>
        <w:t>Significant progress has been made in implementing the 8 HPPIs. The HPPIs deliverables summary graph shows that 64</w:t>
      </w:r>
      <w:r w:rsidR="00012D28" w:rsidRPr="00C64064">
        <w:rPr>
          <w:rFonts w:asciiTheme="majorHAnsi" w:hAnsiTheme="majorHAnsi" w:cstheme="majorHAnsi"/>
          <w:lang w:val="en-AU"/>
        </w:rPr>
        <w:t>%</w:t>
      </w:r>
      <w:r w:rsidRPr="00C64064">
        <w:rPr>
          <w:rFonts w:asciiTheme="majorHAnsi" w:hAnsiTheme="majorHAnsi" w:cstheme="majorHAnsi"/>
          <w:lang w:val="en-AU"/>
        </w:rPr>
        <w:t xml:space="preserve"> o</w:t>
      </w:r>
      <w:r w:rsidR="00664372" w:rsidRPr="00C64064">
        <w:rPr>
          <w:rFonts w:asciiTheme="majorHAnsi" w:hAnsiTheme="majorHAnsi" w:cstheme="majorHAnsi"/>
          <w:lang w:val="en-AU"/>
        </w:rPr>
        <w:t>f</w:t>
      </w:r>
      <w:r w:rsidRPr="00C64064">
        <w:rPr>
          <w:rFonts w:asciiTheme="majorHAnsi" w:hAnsiTheme="majorHAnsi" w:cstheme="majorHAnsi"/>
          <w:lang w:val="en-AU"/>
        </w:rPr>
        <w:t xml:space="preserve"> deliverables have been completed, 24</w:t>
      </w:r>
      <w:r w:rsidR="00012D28" w:rsidRPr="00C64064">
        <w:rPr>
          <w:rFonts w:asciiTheme="majorHAnsi" w:hAnsiTheme="majorHAnsi" w:cstheme="majorHAnsi"/>
          <w:lang w:val="en-AU"/>
        </w:rPr>
        <w:t>%</w:t>
      </w:r>
      <w:r w:rsidRPr="00C64064">
        <w:rPr>
          <w:rFonts w:asciiTheme="majorHAnsi" w:hAnsiTheme="majorHAnsi" w:cstheme="majorHAnsi"/>
          <w:lang w:val="en-AU"/>
        </w:rPr>
        <w:t xml:space="preserve"> are currently in progress, and 12</w:t>
      </w:r>
      <w:r w:rsidR="00012D28" w:rsidRPr="00C64064">
        <w:rPr>
          <w:rFonts w:asciiTheme="majorHAnsi" w:hAnsiTheme="majorHAnsi" w:cstheme="majorHAnsi"/>
          <w:lang w:val="en-AU"/>
        </w:rPr>
        <w:t>%</w:t>
      </w:r>
      <w:r w:rsidRPr="00C64064">
        <w:rPr>
          <w:rFonts w:asciiTheme="majorHAnsi" w:hAnsiTheme="majorHAnsi" w:cstheme="majorHAnsi"/>
          <w:lang w:val="en-AU"/>
        </w:rPr>
        <w:t xml:space="preserve"> </w:t>
      </w:r>
      <w:r w:rsidR="0060590F">
        <w:rPr>
          <w:rFonts w:asciiTheme="majorHAnsi" w:hAnsiTheme="majorHAnsi" w:cstheme="majorHAnsi"/>
          <w:lang w:val="en-AU"/>
        </w:rPr>
        <w:t xml:space="preserve">will start in </w:t>
      </w:r>
      <w:r w:rsidR="00E9108E">
        <w:rPr>
          <w:rFonts w:asciiTheme="majorHAnsi" w:hAnsiTheme="majorHAnsi" w:cstheme="majorHAnsi"/>
          <w:lang w:val="en-AU"/>
        </w:rPr>
        <w:t>S2 2024</w:t>
      </w:r>
      <w:r w:rsidRPr="00C64064">
        <w:rPr>
          <w:rFonts w:asciiTheme="majorHAnsi" w:hAnsiTheme="majorHAnsi" w:cstheme="majorHAnsi"/>
          <w:lang w:val="en-AU"/>
        </w:rPr>
        <w:t xml:space="preserve">. </w:t>
      </w:r>
    </w:p>
    <w:p w14:paraId="2D70D0FB" w14:textId="53AA25D2" w:rsidR="00FD0962" w:rsidRPr="00C64064" w:rsidRDefault="00103EF6" w:rsidP="008379E1">
      <w:pPr>
        <w:spacing w:before="120"/>
        <w:jc w:val="both"/>
        <w:rPr>
          <w:rFonts w:asciiTheme="majorHAnsi" w:hAnsiTheme="majorHAnsi" w:cstheme="majorHAnsi"/>
          <w:lang w:val="en-AU"/>
        </w:rPr>
      </w:pPr>
      <w:r w:rsidRPr="00103EF6">
        <w:rPr>
          <w:rFonts w:asciiTheme="majorHAnsi" w:hAnsiTheme="majorHAnsi" w:cstheme="majorHAnsi"/>
          <w:noProof/>
          <w:lang w:val="en-AU"/>
        </w:rPr>
        <mc:AlternateContent>
          <mc:Choice Requires="wps">
            <w:drawing>
              <wp:anchor distT="45720" distB="45720" distL="114300" distR="114300" simplePos="0" relativeHeight="251658308" behindDoc="0" locked="0" layoutInCell="1" allowOverlap="1" wp14:anchorId="4179BB09" wp14:editId="7155C9C5">
                <wp:simplePos x="0" y="0"/>
                <wp:positionH relativeFrom="column">
                  <wp:posOffset>2597785</wp:posOffset>
                </wp:positionH>
                <wp:positionV relativeFrom="paragraph">
                  <wp:posOffset>2999740</wp:posOffset>
                </wp:positionV>
                <wp:extent cx="3012440" cy="318770"/>
                <wp:effectExtent l="0" t="0" r="16510" b="24130"/>
                <wp:wrapSquare wrapText="bothSides"/>
                <wp:docPr id="213836690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2440" cy="318770"/>
                        </a:xfrm>
                        <a:prstGeom prst="rect">
                          <a:avLst/>
                        </a:prstGeom>
                        <a:solidFill>
                          <a:srgbClr val="FFFFFF"/>
                        </a:solidFill>
                        <a:ln w="9525">
                          <a:solidFill>
                            <a:srgbClr val="000000"/>
                          </a:solidFill>
                          <a:miter lim="800000"/>
                          <a:headEnd/>
                          <a:tailEnd/>
                        </a:ln>
                      </wps:spPr>
                      <wps:txbx>
                        <w:txbxContent>
                          <w:p w14:paraId="53DD6C9D" w14:textId="45FCBC8B" w:rsidR="00F63453" w:rsidRPr="002E718C" w:rsidRDefault="001075EE">
                            <w:pPr>
                              <w:rPr>
                                <w:sz w:val="18"/>
                                <w:szCs w:val="18"/>
                              </w:rPr>
                            </w:pPr>
                            <w:r w:rsidRPr="00577990">
                              <w:rPr>
                                <w:color w:val="005E00"/>
                                <w:sz w:val="18"/>
                                <w:szCs w:val="18"/>
                              </w:rPr>
                              <w:t xml:space="preserve">                  </w:t>
                            </w:r>
                            <w:r w:rsidR="00FF004A" w:rsidRPr="00577990">
                              <w:rPr>
                                <w:color w:val="005E00"/>
                                <w:sz w:val="18"/>
                                <w:szCs w:val="18"/>
                              </w:rPr>
                              <w:t>Completed</w:t>
                            </w:r>
                            <w:r w:rsidR="00FF004A" w:rsidRPr="00F63453">
                              <w:rPr>
                                <w:sz w:val="18"/>
                                <w:szCs w:val="18"/>
                              </w:rPr>
                              <w:t xml:space="preserve">   </w:t>
                            </w:r>
                            <w:r w:rsidR="00FF004A" w:rsidRPr="007F72CE">
                              <w:rPr>
                                <w:color w:val="AB5400" w:themeColor="accent4" w:themeShade="BF"/>
                                <w:sz w:val="18"/>
                                <w:szCs w:val="18"/>
                              </w:rPr>
                              <w:t>Ongoing</w:t>
                            </w:r>
                            <w:r w:rsidR="00FF004A" w:rsidRPr="00737B4A">
                              <w:rPr>
                                <w:color w:val="E57200" w:themeColor="accent4"/>
                                <w:sz w:val="18"/>
                                <w:szCs w:val="18"/>
                              </w:rPr>
                              <w:t xml:space="preserve"> </w:t>
                            </w:r>
                            <w:r w:rsidR="00737B4A">
                              <w:rPr>
                                <w:sz w:val="18"/>
                                <w:szCs w:val="18"/>
                              </w:rPr>
                              <w:t xml:space="preserve"> </w:t>
                            </w:r>
                            <w:r w:rsidR="00FF004A" w:rsidRPr="00F63453">
                              <w:rPr>
                                <w:sz w:val="18"/>
                                <w:szCs w:val="18"/>
                              </w:rPr>
                              <w:t xml:space="preserve"> </w:t>
                            </w:r>
                            <w:r w:rsidR="00FF004A" w:rsidRPr="007F72CE">
                              <w:rPr>
                                <w:color w:val="AB5400" w:themeColor="accent4" w:themeShade="BF"/>
                                <w:sz w:val="18"/>
                                <w:szCs w:val="18"/>
                              </w:rPr>
                              <w:t>Starting in S2 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79BB09" id="Text Box 2" o:spid="_x0000_s1059" type="#_x0000_t202" alt="&quot;&quot;" style="position:absolute;left:0;text-align:left;margin-left:204.55pt;margin-top:236.2pt;width:237.2pt;height:25.1pt;z-index:2516583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">
                <v:textbox>
                  <w:txbxContent>
                    <w:p w14:paraId="53DD6C9D" w14:textId="45FCBC8B" w:rsidR="00F63453" w:rsidRPr="002E718C" w:rsidRDefault="001075EE">
                      <w:pPr>
                        <w:rPr>
                          <w:sz w:val="18"/>
                          <w:szCs w:val="18"/>
                        </w:rPr>
                      </w:pPr>
                      <w:r w:rsidRPr="00577990">
                        <w:rPr>
                          <w:color w:val="005E00"/>
                          <w:sz w:val="18"/>
                          <w:szCs w:val="18"/>
                        </w:rPr>
                        <w:t xml:space="preserve">                  </w:t>
                      </w:r>
                      <w:r w:rsidR="00FF004A" w:rsidRPr="00577990">
                        <w:rPr>
                          <w:color w:val="005E00"/>
                          <w:sz w:val="18"/>
                          <w:szCs w:val="18"/>
                        </w:rPr>
                        <w:t>Completed</w:t>
                      </w:r>
                      <w:r w:rsidR="00FF004A" w:rsidRPr="00F63453">
                        <w:rPr>
                          <w:sz w:val="18"/>
                          <w:szCs w:val="18"/>
                        </w:rPr>
                        <w:t xml:space="preserve">   </w:t>
                      </w:r>
                      <w:r w:rsidR="00FF004A" w:rsidRPr="007F72CE">
                        <w:rPr>
                          <w:color w:val="AB5400" w:themeColor="accent4" w:themeShade="BF"/>
                          <w:sz w:val="18"/>
                          <w:szCs w:val="18"/>
                        </w:rPr>
                        <w:t>Ongoing</w:t>
                      </w:r>
                      <w:r w:rsidR="00FF004A" w:rsidRPr="00737B4A">
                        <w:rPr>
                          <w:color w:val="E57200" w:themeColor="accent4"/>
                          <w:sz w:val="18"/>
                          <w:szCs w:val="18"/>
                        </w:rPr>
                        <w:t xml:space="preserve"> </w:t>
                      </w:r>
                      <w:r w:rsidR="00737B4A">
                        <w:rPr>
                          <w:sz w:val="18"/>
                          <w:szCs w:val="18"/>
                        </w:rPr>
                        <w:t xml:space="preserve"> </w:t>
                      </w:r>
                      <w:r w:rsidR="00FF004A" w:rsidRPr="00F63453">
                        <w:rPr>
                          <w:sz w:val="18"/>
                          <w:szCs w:val="18"/>
                        </w:rPr>
                        <w:t xml:space="preserve"> </w:t>
                      </w:r>
                      <w:r w:rsidR="00FF004A" w:rsidRPr="007F72CE">
                        <w:rPr>
                          <w:color w:val="AB5400" w:themeColor="accent4" w:themeShade="BF"/>
                          <w:sz w:val="18"/>
                          <w:szCs w:val="18"/>
                        </w:rPr>
                        <w:t>Starting in S2 2024</w:t>
                      </w:r>
                    </w:p>
                  </w:txbxContent>
                </v:textbox>
                <w10:wrap type="square"/>
              </v:shape>
            </w:pict>
          </mc:Fallback>
        </mc:AlternateContent>
      </w:r>
      <w:r w:rsidR="00FD0962" w:rsidRPr="00C64064">
        <w:rPr>
          <w:rFonts w:asciiTheme="majorHAnsi" w:hAnsiTheme="majorHAnsi" w:cstheme="majorHAnsi"/>
          <w:noProof/>
          <w:lang w:val="en-AU"/>
        </w:rPr>
        <w:drawing>
          <wp:anchor distT="0" distB="0" distL="114300" distR="114300" simplePos="0" relativeHeight="251658260" behindDoc="0" locked="0" layoutInCell="1" allowOverlap="1" wp14:anchorId="6DF6FA6A" wp14:editId="2A578652">
            <wp:simplePos x="0" y="0"/>
            <wp:positionH relativeFrom="column">
              <wp:posOffset>1959610</wp:posOffset>
            </wp:positionH>
            <wp:positionV relativeFrom="paragraph">
              <wp:posOffset>107950</wp:posOffset>
            </wp:positionV>
            <wp:extent cx="4051300" cy="2799715"/>
            <wp:effectExtent l="0" t="0" r="6350" b="635"/>
            <wp:wrapSquare wrapText="bothSides"/>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rotWithShape="1">
                    <a:blip r:embed="rId123" cstate="email">
                      <a:extLst>
                        <a:ext uri="{28A0092B-C50C-407E-A947-70E740481C1C}">
                          <a14:useLocalDpi xmlns:a14="http://schemas.microsoft.com/office/drawing/2010/main"/>
                        </a:ext>
                      </a:extLst>
                    </a:blip>
                    <a:srcRect b="8520"/>
                    <a:stretch/>
                  </pic:blipFill>
                  <pic:spPr bwMode="auto">
                    <a:xfrm>
                      <a:off x="0" y="0"/>
                      <a:ext cx="4051300" cy="2799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0962" w:rsidRPr="00C64064">
        <w:rPr>
          <w:rFonts w:asciiTheme="majorHAnsi" w:hAnsiTheme="majorHAnsi" w:cstheme="majorHAnsi"/>
          <w:lang w:val="en-AU"/>
        </w:rPr>
        <w:t>The initiative to embed MSD through training government officials and university lecturers has been completed, and the beef</w:t>
      </w:r>
      <w:r w:rsidR="00664372" w:rsidRPr="00C64064">
        <w:rPr>
          <w:rFonts w:asciiTheme="majorHAnsi" w:hAnsiTheme="majorHAnsi" w:cstheme="majorHAnsi"/>
          <w:lang w:val="en-AU"/>
        </w:rPr>
        <w:t xml:space="preserve"> national standard</w:t>
      </w:r>
      <w:r w:rsidR="00FD0962" w:rsidRPr="00C64064">
        <w:rPr>
          <w:rFonts w:asciiTheme="majorHAnsi" w:hAnsiTheme="majorHAnsi" w:cstheme="majorHAnsi"/>
          <w:lang w:val="en-AU"/>
        </w:rPr>
        <w:t xml:space="preserve"> </w:t>
      </w:r>
      <w:r w:rsidR="00664372" w:rsidRPr="00C64064">
        <w:rPr>
          <w:rFonts w:asciiTheme="majorHAnsi" w:hAnsiTheme="majorHAnsi" w:cstheme="majorHAnsi"/>
          <w:lang w:val="en-AU"/>
        </w:rPr>
        <w:t>(</w:t>
      </w:r>
      <w:r w:rsidR="00FD0962" w:rsidRPr="00C64064">
        <w:rPr>
          <w:rFonts w:asciiTheme="majorHAnsi" w:hAnsiTheme="majorHAnsi" w:cstheme="majorHAnsi"/>
          <w:lang w:val="en-AU"/>
        </w:rPr>
        <w:t>SNI</w:t>
      </w:r>
      <w:r w:rsidR="00664372" w:rsidRPr="00C64064">
        <w:rPr>
          <w:rFonts w:asciiTheme="majorHAnsi" w:hAnsiTheme="majorHAnsi" w:cstheme="majorHAnsi"/>
          <w:lang w:val="en-AU"/>
        </w:rPr>
        <w:t>)</w:t>
      </w:r>
      <w:r w:rsidR="00FD0962" w:rsidRPr="00C64064">
        <w:rPr>
          <w:rFonts w:asciiTheme="majorHAnsi" w:hAnsiTheme="majorHAnsi" w:cstheme="majorHAnsi"/>
          <w:lang w:val="en-AU"/>
        </w:rPr>
        <w:t xml:space="preserve"> initiative is 90</w:t>
      </w:r>
      <w:r w:rsidR="00012D28" w:rsidRPr="00C64064">
        <w:rPr>
          <w:rFonts w:asciiTheme="majorHAnsi" w:hAnsiTheme="majorHAnsi" w:cstheme="majorHAnsi"/>
          <w:lang w:val="en-AU"/>
        </w:rPr>
        <w:t>%</w:t>
      </w:r>
      <w:r w:rsidR="00FD0962" w:rsidRPr="00C64064">
        <w:rPr>
          <w:rFonts w:asciiTheme="majorHAnsi" w:hAnsiTheme="majorHAnsi" w:cstheme="majorHAnsi"/>
          <w:lang w:val="en-AU"/>
        </w:rPr>
        <w:t xml:space="preserve"> complete. All other HPPIs, except for the </w:t>
      </w:r>
      <w:r w:rsidR="00CE337A" w:rsidRPr="00C64064">
        <w:rPr>
          <w:rFonts w:asciiTheme="majorHAnsi" w:hAnsiTheme="majorHAnsi" w:cstheme="majorHAnsi"/>
          <w:lang w:val="en-AU"/>
        </w:rPr>
        <w:t xml:space="preserve">NTT </w:t>
      </w:r>
      <w:r w:rsidR="00D51043" w:rsidRPr="00C64064">
        <w:rPr>
          <w:rFonts w:asciiTheme="majorHAnsi" w:hAnsiTheme="majorHAnsi" w:cstheme="majorHAnsi"/>
          <w:lang w:val="en-AU"/>
        </w:rPr>
        <w:t xml:space="preserve">Regional </w:t>
      </w:r>
      <w:r w:rsidR="00CE337A" w:rsidRPr="00C64064">
        <w:rPr>
          <w:rFonts w:asciiTheme="majorHAnsi" w:hAnsiTheme="majorHAnsi" w:cstheme="majorHAnsi"/>
          <w:lang w:val="en-AU"/>
        </w:rPr>
        <w:t>M</w:t>
      </w:r>
      <w:r w:rsidR="00FF1D20" w:rsidRPr="00C64064">
        <w:rPr>
          <w:rFonts w:asciiTheme="majorHAnsi" w:hAnsiTheme="majorHAnsi" w:cstheme="majorHAnsi"/>
          <w:lang w:val="en-AU"/>
        </w:rPr>
        <w:t>e</w:t>
      </w:r>
      <w:r w:rsidR="00CE337A" w:rsidRPr="00C64064">
        <w:rPr>
          <w:rFonts w:asciiTheme="majorHAnsi" w:hAnsiTheme="majorHAnsi" w:cstheme="majorHAnsi"/>
          <w:lang w:val="en-AU"/>
        </w:rPr>
        <w:t>d</w:t>
      </w:r>
      <w:r w:rsidR="00FF1D20" w:rsidRPr="00C64064">
        <w:rPr>
          <w:rFonts w:asciiTheme="majorHAnsi" w:hAnsiTheme="majorHAnsi" w:cstheme="majorHAnsi"/>
          <w:lang w:val="en-AU"/>
        </w:rPr>
        <w:t>ium</w:t>
      </w:r>
      <w:r w:rsidR="00CE337A" w:rsidRPr="00C64064">
        <w:rPr>
          <w:rFonts w:asciiTheme="majorHAnsi" w:hAnsiTheme="majorHAnsi" w:cstheme="majorHAnsi"/>
          <w:lang w:val="en-AU"/>
        </w:rPr>
        <w:t>-Term Development Plan</w:t>
      </w:r>
      <w:r w:rsidR="004D4066" w:rsidRPr="00C64064">
        <w:rPr>
          <w:rFonts w:asciiTheme="majorHAnsi" w:hAnsiTheme="majorHAnsi" w:cstheme="majorHAnsi"/>
          <w:lang w:val="en-AU"/>
        </w:rPr>
        <w:t>ning</w:t>
      </w:r>
      <w:r w:rsidR="00CE337A" w:rsidRPr="00C64064">
        <w:rPr>
          <w:rFonts w:asciiTheme="majorHAnsi" w:hAnsiTheme="majorHAnsi" w:cstheme="majorHAnsi"/>
          <w:lang w:val="en-AU"/>
        </w:rPr>
        <w:t xml:space="preserve"> (</w:t>
      </w:r>
      <w:r w:rsidR="00FD0962" w:rsidRPr="00C64064">
        <w:rPr>
          <w:rFonts w:asciiTheme="majorHAnsi" w:hAnsiTheme="majorHAnsi" w:cstheme="majorHAnsi"/>
          <w:lang w:val="en-AU"/>
        </w:rPr>
        <w:t>RPJMD</w:t>
      </w:r>
      <w:r w:rsidR="00CE337A" w:rsidRPr="00C64064">
        <w:rPr>
          <w:rFonts w:asciiTheme="majorHAnsi" w:hAnsiTheme="majorHAnsi" w:cstheme="majorHAnsi"/>
          <w:lang w:val="en-AU"/>
        </w:rPr>
        <w:t>)</w:t>
      </w:r>
      <w:r w:rsidR="00FD0962" w:rsidRPr="00C64064">
        <w:rPr>
          <w:rFonts w:asciiTheme="majorHAnsi" w:hAnsiTheme="majorHAnsi" w:cstheme="majorHAnsi"/>
          <w:lang w:val="en-AU"/>
        </w:rPr>
        <w:t xml:space="preserve"> initiative and the initiative to incorporate PRISMA’s experience in</w:t>
      </w:r>
      <w:r w:rsidR="004D4066" w:rsidRPr="00C64064">
        <w:rPr>
          <w:rFonts w:asciiTheme="majorHAnsi" w:hAnsiTheme="majorHAnsi" w:cstheme="majorHAnsi"/>
          <w:lang w:val="en-AU"/>
        </w:rPr>
        <w:t>to</w:t>
      </w:r>
      <w:r w:rsidR="00FD0962" w:rsidRPr="00C64064">
        <w:rPr>
          <w:rFonts w:asciiTheme="majorHAnsi" w:hAnsiTheme="majorHAnsi" w:cstheme="majorHAnsi"/>
          <w:lang w:val="en-AU"/>
        </w:rPr>
        <w:t xml:space="preserve"> university programs and create an online repository of PRISMA’s knowledge and lessons, are at least 60</w:t>
      </w:r>
      <w:r w:rsidR="00012D28" w:rsidRPr="00C64064">
        <w:rPr>
          <w:rFonts w:asciiTheme="majorHAnsi" w:hAnsiTheme="majorHAnsi" w:cstheme="majorHAnsi"/>
          <w:lang w:val="en-AU"/>
        </w:rPr>
        <w:t>%</w:t>
      </w:r>
      <w:r w:rsidR="00FD0962" w:rsidRPr="00C64064">
        <w:rPr>
          <w:rFonts w:asciiTheme="majorHAnsi" w:hAnsiTheme="majorHAnsi" w:cstheme="majorHAnsi"/>
          <w:lang w:val="en-AU"/>
        </w:rPr>
        <w:t xml:space="preserve"> </w:t>
      </w:r>
    </w:p>
    <w:p w14:paraId="7F4524A6" w14:textId="0A0F964B" w:rsidR="00FD0962" w:rsidRPr="00C64064" w:rsidRDefault="00FD0962" w:rsidP="5583D54B">
      <w:pPr>
        <w:spacing w:before="120"/>
        <w:jc w:val="both"/>
        <w:rPr>
          <w:rFonts w:asciiTheme="majorHAnsi" w:hAnsiTheme="majorHAnsi" w:cstheme="majorBidi"/>
          <w:lang w:val="en-AU"/>
        </w:rPr>
      </w:pPr>
      <w:r w:rsidRPr="5583D54B">
        <w:rPr>
          <w:rFonts w:asciiTheme="majorHAnsi" w:hAnsiTheme="majorHAnsi" w:cstheme="majorBidi"/>
          <w:lang w:val="en-AU"/>
        </w:rPr>
        <w:t xml:space="preserve">complete.  </w:t>
      </w:r>
      <w:r w:rsidR="004D4066" w:rsidRPr="5583D54B">
        <w:rPr>
          <w:rFonts w:asciiTheme="majorHAnsi" w:hAnsiTheme="majorHAnsi" w:cstheme="majorBidi"/>
          <w:lang w:val="en-AU"/>
        </w:rPr>
        <w:t>A</w:t>
      </w:r>
      <w:r w:rsidRPr="5583D54B">
        <w:rPr>
          <w:rFonts w:asciiTheme="majorHAnsi" w:hAnsiTheme="majorHAnsi" w:cstheme="majorBidi"/>
          <w:lang w:val="en-AU"/>
        </w:rPr>
        <w:t xml:space="preserve">ll remaining initiatives </w:t>
      </w:r>
      <w:r w:rsidR="004D4066" w:rsidRPr="5583D54B">
        <w:rPr>
          <w:rFonts w:asciiTheme="majorHAnsi" w:hAnsiTheme="majorHAnsi" w:cstheme="majorBidi"/>
          <w:lang w:val="en-AU"/>
        </w:rPr>
        <w:t xml:space="preserve">are anticipated </w:t>
      </w:r>
      <w:r w:rsidRPr="5583D54B">
        <w:rPr>
          <w:rFonts w:asciiTheme="majorHAnsi" w:hAnsiTheme="majorHAnsi" w:cstheme="majorBidi"/>
          <w:lang w:val="en-AU"/>
        </w:rPr>
        <w:t>to be completed by October 2024. Ongoing deliverables mainly involve the completion of guidelines, studies, or policy briefs (</w:t>
      </w:r>
      <w:r w:rsidR="002D465F" w:rsidRPr="5583D54B">
        <w:rPr>
          <w:rFonts w:asciiTheme="majorHAnsi" w:hAnsiTheme="majorHAnsi" w:cstheme="majorBidi"/>
          <w:lang w:val="en-AU"/>
        </w:rPr>
        <w:t>for example,</w:t>
      </w:r>
      <w:r w:rsidRPr="5583D54B">
        <w:rPr>
          <w:rFonts w:asciiTheme="majorHAnsi" w:hAnsiTheme="majorHAnsi" w:cstheme="majorBidi"/>
          <w:lang w:val="en-AU"/>
        </w:rPr>
        <w:t xml:space="preserve"> </w:t>
      </w:r>
      <w:r w:rsidR="00F45D62" w:rsidRPr="5583D54B">
        <w:rPr>
          <w:rFonts w:asciiTheme="majorHAnsi" w:hAnsiTheme="majorHAnsi" w:cstheme="majorBidi"/>
          <w:lang w:val="en-AU"/>
        </w:rPr>
        <w:t xml:space="preserve">the </w:t>
      </w:r>
      <w:r w:rsidRPr="5583D54B">
        <w:rPr>
          <w:rFonts w:asciiTheme="majorHAnsi" w:hAnsiTheme="majorHAnsi" w:cstheme="majorBidi"/>
          <w:lang w:val="en-AU"/>
        </w:rPr>
        <w:t xml:space="preserve">maize subsidy guidelines for Sumenep, </w:t>
      </w:r>
      <w:r w:rsidR="00F45D62" w:rsidRPr="5583D54B">
        <w:rPr>
          <w:rFonts w:asciiTheme="majorHAnsi" w:hAnsiTheme="majorHAnsi" w:cstheme="majorBidi"/>
          <w:lang w:val="en-AU"/>
        </w:rPr>
        <w:t xml:space="preserve">the </w:t>
      </w:r>
      <w:r w:rsidRPr="5583D54B">
        <w:rPr>
          <w:rFonts w:asciiTheme="majorHAnsi" w:hAnsiTheme="majorHAnsi" w:cstheme="majorBidi"/>
          <w:lang w:val="en-AU"/>
        </w:rPr>
        <w:t xml:space="preserve">maize smart subsidy study and policy briefs, thematic studies and policy briefs for the RPJMN, </w:t>
      </w:r>
      <w:r w:rsidR="00F45D62" w:rsidRPr="5583D54B">
        <w:rPr>
          <w:rFonts w:asciiTheme="majorHAnsi" w:hAnsiTheme="majorHAnsi" w:cstheme="majorBidi"/>
          <w:lang w:val="en-AU"/>
        </w:rPr>
        <w:t xml:space="preserve">and the </w:t>
      </w:r>
      <w:r w:rsidRPr="5583D54B">
        <w:rPr>
          <w:rFonts w:asciiTheme="majorHAnsi" w:hAnsiTheme="majorHAnsi" w:cstheme="majorBidi"/>
          <w:lang w:val="en-AU"/>
        </w:rPr>
        <w:t xml:space="preserve">final report with the RPJMD-NTT recommendations). In </w:t>
      </w:r>
      <w:r w:rsidR="00EF58D9" w:rsidRPr="5583D54B">
        <w:rPr>
          <w:rFonts w:asciiTheme="majorHAnsi" w:hAnsiTheme="majorHAnsi" w:cstheme="majorBidi"/>
          <w:lang w:val="en-AU"/>
        </w:rPr>
        <w:t>terms</w:t>
      </w:r>
      <w:r w:rsidRPr="5583D54B">
        <w:rPr>
          <w:rFonts w:asciiTheme="majorHAnsi" w:hAnsiTheme="majorHAnsi" w:cstheme="majorBidi"/>
          <w:lang w:val="en-AU"/>
        </w:rPr>
        <w:t xml:space="preserve"> of </w:t>
      </w:r>
      <w:r w:rsidR="00EF58D9" w:rsidRPr="5583D54B">
        <w:rPr>
          <w:rFonts w:asciiTheme="majorHAnsi" w:hAnsiTheme="majorHAnsi" w:cstheme="majorBidi"/>
          <w:lang w:val="en-AU"/>
        </w:rPr>
        <w:t>u</w:t>
      </w:r>
      <w:r w:rsidRPr="5583D54B">
        <w:rPr>
          <w:rFonts w:asciiTheme="majorHAnsi" w:hAnsiTheme="majorHAnsi" w:cstheme="majorBidi"/>
          <w:lang w:val="en-AU"/>
        </w:rPr>
        <w:t>niversity initiative</w:t>
      </w:r>
      <w:r w:rsidR="00EF58D9" w:rsidRPr="5583D54B">
        <w:rPr>
          <w:rFonts w:asciiTheme="majorHAnsi" w:hAnsiTheme="majorHAnsi" w:cstheme="majorBidi"/>
          <w:lang w:val="en-AU"/>
        </w:rPr>
        <w:t>s</w:t>
      </w:r>
      <w:r w:rsidRPr="5583D54B">
        <w:rPr>
          <w:rFonts w:asciiTheme="majorHAnsi" w:hAnsiTheme="majorHAnsi" w:cstheme="majorBidi"/>
          <w:lang w:val="en-AU"/>
        </w:rPr>
        <w:t xml:space="preserve">, </w:t>
      </w:r>
      <w:r w:rsidR="00083493">
        <w:rPr>
          <w:rFonts w:asciiTheme="majorHAnsi" w:hAnsiTheme="majorHAnsi" w:cstheme="majorBidi"/>
          <w:lang w:val="en-AU"/>
        </w:rPr>
        <w:t>Feed</w:t>
      </w:r>
      <w:r w:rsidR="00EF58D9" w:rsidRPr="00696BDA">
        <w:rPr>
          <w:rFonts w:asciiTheme="majorHAnsi" w:hAnsiTheme="majorHAnsi" w:cstheme="majorBidi"/>
          <w:lang w:val="en-AU"/>
        </w:rPr>
        <w:t xml:space="preserve"> University </w:t>
      </w:r>
      <w:r w:rsidRPr="00696BDA">
        <w:rPr>
          <w:rFonts w:asciiTheme="majorHAnsi" w:hAnsiTheme="majorHAnsi" w:cstheme="majorBidi"/>
          <w:lang w:val="en-AU"/>
        </w:rPr>
        <w:t xml:space="preserve">is </w:t>
      </w:r>
      <w:r w:rsidR="00682FC8" w:rsidRPr="00696BDA">
        <w:rPr>
          <w:rFonts w:asciiTheme="majorHAnsi" w:hAnsiTheme="majorHAnsi" w:cstheme="majorBidi"/>
          <w:lang w:val="en-AU"/>
        </w:rPr>
        <w:t>currently</w:t>
      </w:r>
      <w:r w:rsidRPr="00696BDA">
        <w:rPr>
          <w:rFonts w:asciiTheme="majorHAnsi" w:hAnsiTheme="majorHAnsi" w:cstheme="majorBidi"/>
          <w:lang w:val="en-AU"/>
        </w:rPr>
        <w:t xml:space="preserve"> harvesting lessons from climate-smart trials to finalise its climate-smart protocols</w:t>
      </w:r>
      <w:r w:rsidR="00EF58D9" w:rsidRPr="00696BDA">
        <w:rPr>
          <w:rFonts w:asciiTheme="majorHAnsi" w:hAnsiTheme="majorHAnsi" w:cstheme="majorBidi"/>
          <w:lang w:val="en-AU"/>
        </w:rPr>
        <w:t>. The</w:t>
      </w:r>
      <w:r w:rsidRPr="00696BDA">
        <w:rPr>
          <w:rFonts w:asciiTheme="majorHAnsi" w:hAnsiTheme="majorHAnsi" w:cstheme="majorBidi"/>
          <w:lang w:val="en-AU"/>
        </w:rPr>
        <w:t xml:space="preserve"> University of Nahdlatul Wathan Mataram is finalising the new agri-tech business</w:t>
      </w:r>
      <w:r w:rsidRPr="5583D54B">
        <w:rPr>
          <w:rFonts w:asciiTheme="majorHAnsi" w:hAnsiTheme="majorHAnsi" w:cstheme="majorBidi"/>
          <w:lang w:val="en-AU"/>
        </w:rPr>
        <w:t xml:space="preserve"> curriculum and </w:t>
      </w:r>
      <w:r w:rsidR="00FF2080">
        <w:rPr>
          <w:rFonts w:asciiTheme="majorHAnsi" w:hAnsiTheme="majorHAnsi" w:cstheme="majorBidi"/>
          <w:lang w:val="en-AU"/>
        </w:rPr>
        <w:t xml:space="preserve">plans to launch the program in August 2024. </w:t>
      </w:r>
      <w:r w:rsidR="006345AB" w:rsidRPr="5583D54B">
        <w:rPr>
          <w:rFonts w:asciiTheme="majorHAnsi" w:hAnsiTheme="majorHAnsi" w:cstheme="majorBidi"/>
          <w:lang w:val="en-AU"/>
        </w:rPr>
        <w:t>D</w:t>
      </w:r>
      <w:r w:rsidRPr="5583D54B">
        <w:rPr>
          <w:rFonts w:asciiTheme="majorHAnsi" w:hAnsiTheme="majorHAnsi" w:cstheme="majorBidi"/>
          <w:lang w:val="en-AU"/>
        </w:rPr>
        <w:t>eliverables that have yet to be started mainly involve socialisation or launch events,</w:t>
      </w:r>
      <w:r w:rsidRPr="5583D54B">
        <w:rPr>
          <w:rStyle w:val="EndnoteReference"/>
          <w:rFonts w:asciiTheme="majorHAnsi" w:hAnsiTheme="majorHAnsi" w:cstheme="majorBidi"/>
          <w:lang w:val="en-AU"/>
        </w:rPr>
        <w:endnoteReference w:id="5"/>
      </w:r>
      <w:r w:rsidRPr="5583D54B">
        <w:rPr>
          <w:rStyle w:val="EndnoteReference"/>
          <w:rFonts w:asciiTheme="majorHAnsi" w:hAnsiTheme="majorHAnsi" w:cstheme="majorBidi"/>
          <w:lang w:val="en-AU"/>
        </w:rPr>
        <w:t xml:space="preserve"> </w:t>
      </w:r>
      <w:r w:rsidR="34F6FA4A" w:rsidRPr="5583D54B">
        <w:rPr>
          <w:rStyle w:val="EndnoteReference"/>
          <w:rFonts w:asciiTheme="majorHAnsi" w:hAnsiTheme="majorHAnsi" w:cstheme="majorBidi"/>
          <w:lang w:val="en-AU"/>
        </w:rPr>
        <w:t xml:space="preserve"> </w:t>
      </w:r>
      <w:r w:rsidR="18438EBF" w:rsidRPr="5583D54B">
        <w:rPr>
          <w:rFonts w:asciiTheme="majorHAnsi" w:hAnsiTheme="majorHAnsi" w:cstheme="majorBidi"/>
          <w:lang w:val="en-AU"/>
        </w:rPr>
        <w:t xml:space="preserve"> </w:t>
      </w:r>
      <w:r w:rsidRPr="5583D54B">
        <w:rPr>
          <w:rFonts w:asciiTheme="majorHAnsi" w:hAnsiTheme="majorHAnsi" w:cstheme="majorBidi"/>
          <w:lang w:val="en-AU"/>
        </w:rPr>
        <w:t>which can only happen once the ongoing deliverables have been completed</w:t>
      </w:r>
      <w:r w:rsidR="006345AB" w:rsidRPr="5583D54B">
        <w:rPr>
          <w:rFonts w:asciiTheme="majorHAnsi" w:hAnsiTheme="majorHAnsi" w:cstheme="majorBidi"/>
          <w:lang w:val="en-AU"/>
        </w:rPr>
        <w:t>.</w:t>
      </w:r>
      <w:r w:rsidRPr="5583D54B">
        <w:rPr>
          <w:rFonts w:asciiTheme="majorHAnsi" w:hAnsiTheme="majorHAnsi" w:cstheme="majorBidi"/>
          <w:lang w:val="en-AU"/>
        </w:rPr>
        <w:t xml:space="preserve"> </w:t>
      </w:r>
    </w:p>
    <w:p w14:paraId="1A9C019F" w14:textId="3C68DF6E" w:rsidR="00FD0962" w:rsidRPr="00C64064" w:rsidRDefault="00FD0962" w:rsidP="008379E1">
      <w:pPr>
        <w:jc w:val="both"/>
        <w:rPr>
          <w:rFonts w:asciiTheme="majorHAnsi" w:hAnsiTheme="majorHAnsi" w:cstheme="majorHAnsi"/>
          <w:lang w:val="en-AU"/>
        </w:rPr>
      </w:pPr>
      <w:r w:rsidRPr="00C64064">
        <w:rPr>
          <w:rFonts w:asciiTheme="majorHAnsi" w:hAnsiTheme="majorHAnsi" w:cstheme="majorHAnsi"/>
          <w:lang w:val="en-AU"/>
        </w:rPr>
        <w:t>More details about each HPPI can be found in Annex</w:t>
      </w:r>
      <w:r w:rsidR="00073B4B" w:rsidRPr="00C64064">
        <w:rPr>
          <w:rFonts w:asciiTheme="majorHAnsi" w:hAnsiTheme="majorHAnsi" w:cstheme="majorHAnsi"/>
          <w:lang w:val="en-AU"/>
        </w:rPr>
        <w:t xml:space="preserve"> 2</w:t>
      </w:r>
      <w:r w:rsidRPr="00C64064">
        <w:rPr>
          <w:rFonts w:asciiTheme="majorHAnsi" w:hAnsiTheme="majorHAnsi" w:cstheme="majorHAnsi"/>
          <w:lang w:val="en-AU"/>
        </w:rPr>
        <w:t>: High Priority Policy Initiatives.</w:t>
      </w:r>
    </w:p>
    <w:p w14:paraId="71533762" w14:textId="77777777" w:rsidR="00E95931" w:rsidRDefault="00E0014D" w:rsidP="00E0014D">
      <w:pPr>
        <w:pBdr>
          <w:top w:val="single" w:sz="4" w:space="1" w:color="auto"/>
          <w:bottom w:val="single" w:sz="4" w:space="1" w:color="auto"/>
        </w:pBdr>
        <w:spacing w:line="276" w:lineRule="auto"/>
        <w:rPr>
          <w:rFonts w:asciiTheme="majorHAnsi" w:hAnsiTheme="majorHAnsi" w:cstheme="majorHAnsi"/>
          <w:b/>
          <w:bCs/>
          <w:color w:val="002060"/>
        </w:rPr>
      </w:pPr>
      <w:r w:rsidRPr="00C64064">
        <w:rPr>
          <w:rFonts w:asciiTheme="majorHAnsi" w:hAnsiTheme="majorHAnsi" w:cstheme="majorHAnsi"/>
          <w:b/>
          <w:bCs/>
        </w:rPr>
        <w:br/>
      </w:r>
    </w:p>
    <w:p w14:paraId="0302F423" w14:textId="77777777" w:rsidR="00E95931" w:rsidRDefault="00E95931">
      <w:pPr>
        <w:rPr>
          <w:rFonts w:asciiTheme="majorHAnsi" w:hAnsiTheme="majorHAnsi" w:cstheme="majorHAnsi"/>
          <w:b/>
          <w:bCs/>
          <w:color w:val="002060"/>
        </w:rPr>
      </w:pPr>
      <w:r>
        <w:rPr>
          <w:rFonts w:asciiTheme="majorHAnsi" w:hAnsiTheme="majorHAnsi" w:cstheme="majorHAnsi"/>
          <w:b/>
          <w:bCs/>
          <w:color w:val="002060"/>
        </w:rPr>
        <w:br w:type="page"/>
      </w:r>
    </w:p>
    <w:p w14:paraId="38BC4A98" w14:textId="2080A9E8" w:rsidR="00E0014D" w:rsidRPr="00C64064" w:rsidRDefault="00E0014D" w:rsidP="00E0014D">
      <w:pPr>
        <w:pBdr>
          <w:top w:val="single" w:sz="4" w:space="1" w:color="auto"/>
          <w:bottom w:val="single" w:sz="4" w:space="1" w:color="auto"/>
        </w:pBdr>
        <w:spacing w:line="276" w:lineRule="auto"/>
        <w:rPr>
          <w:rFonts w:asciiTheme="majorHAnsi" w:hAnsiTheme="majorHAnsi" w:cstheme="majorHAnsi"/>
          <w:b/>
          <w:bCs/>
          <w:color w:val="002060"/>
        </w:rPr>
      </w:pPr>
      <w:r w:rsidRPr="00C64064">
        <w:rPr>
          <w:rFonts w:asciiTheme="majorHAnsi" w:hAnsiTheme="majorHAnsi" w:cstheme="majorHAnsi"/>
          <w:b/>
          <w:bCs/>
          <w:color w:val="002060"/>
        </w:rPr>
        <w:lastRenderedPageBreak/>
        <w:t>Semester highlight</w:t>
      </w:r>
    </w:p>
    <w:p w14:paraId="06BD5859" w14:textId="0CECBBA2" w:rsidR="00E0014D" w:rsidRPr="00C64064" w:rsidRDefault="00B71CC1" w:rsidP="00E0014D">
      <w:pPr>
        <w:pBdr>
          <w:top w:val="single" w:sz="4" w:space="1" w:color="auto"/>
          <w:bottom w:val="single" w:sz="4" w:space="1" w:color="auto"/>
        </w:pBdr>
        <w:spacing w:line="276" w:lineRule="auto"/>
        <w:rPr>
          <w:rFonts w:asciiTheme="majorHAnsi" w:hAnsiTheme="majorHAnsi" w:cstheme="majorHAnsi"/>
          <w:i/>
          <w:iCs/>
        </w:rPr>
      </w:pPr>
      <w:r w:rsidRPr="00C64064">
        <w:rPr>
          <w:rFonts w:asciiTheme="majorHAnsi" w:hAnsiTheme="majorHAnsi" w:cstheme="majorHAnsi"/>
          <w:b/>
          <w:bCs/>
          <w:color w:val="002060"/>
        </w:rPr>
        <w:t>Market Systems Development Training in Surabaya, 3 – 7 June 2024</w:t>
      </w:r>
      <w:r w:rsidRPr="00C64064">
        <w:rPr>
          <w:rFonts w:asciiTheme="majorHAnsi" w:hAnsiTheme="majorHAnsi" w:cstheme="majorHAnsi"/>
          <w:b/>
          <w:bCs/>
          <w:color w:val="002060"/>
        </w:rPr>
        <w:br/>
      </w:r>
      <w:r w:rsidRPr="00C64064">
        <w:rPr>
          <w:rFonts w:asciiTheme="majorHAnsi" w:hAnsiTheme="majorHAnsi" w:cstheme="majorHAnsi"/>
          <w:i/>
          <w:iCs/>
          <w:color w:val="002060"/>
        </w:rPr>
        <w:t>Bappenas and M</w:t>
      </w:r>
      <w:r w:rsidR="00682A51" w:rsidRPr="00C64064">
        <w:rPr>
          <w:rFonts w:asciiTheme="majorHAnsi" w:hAnsiTheme="majorHAnsi" w:cstheme="majorHAnsi"/>
          <w:i/>
          <w:iCs/>
          <w:color w:val="002060"/>
        </w:rPr>
        <w:t>oA</w:t>
      </w:r>
      <w:r w:rsidRPr="00C64064">
        <w:rPr>
          <w:rFonts w:asciiTheme="majorHAnsi" w:hAnsiTheme="majorHAnsi" w:cstheme="majorHAnsi"/>
          <w:i/>
          <w:iCs/>
          <w:color w:val="002060"/>
        </w:rPr>
        <w:t xml:space="preserve"> representatives came to Surabaya for a one-week course on PRISMA’s approach to problem-solving and systemic change. The course left participants with a greater understanding of the principles that underpin PRISMA’s work and helped to ensure </w:t>
      </w:r>
      <w:r w:rsidR="00E049E1" w:rsidRPr="00C64064">
        <w:rPr>
          <w:rFonts w:asciiTheme="majorHAnsi" w:hAnsiTheme="majorHAnsi" w:cstheme="majorHAnsi"/>
          <w:i/>
          <w:iCs/>
          <w:color w:val="002060"/>
        </w:rPr>
        <w:t xml:space="preserve">that </w:t>
      </w:r>
      <w:r w:rsidRPr="00C64064">
        <w:rPr>
          <w:rFonts w:asciiTheme="majorHAnsi" w:hAnsiTheme="majorHAnsi" w:cstheme="majorHAnsi"/>
          <w:i/>
          <w:iCs/>
          <w:color w:val="002060"/>
        </w:rPr>
        <w:t xml:space="preserve">the progress made to date will </w:t>
      </w:r>
      <w:r w:rsidR="00EF58D9" w:rsidRPr="00C64064">
        <w:rPr>
          <w:rFonts w:asciiTheme="majorHAnsi" w:hAnsiTheme="majorHAnsi" w:cstheme="majorHAnsi"/>
          <w:i/>
          <w:iCs/>
          <w:color w:val="002060"/>
        </w:rPr>
        <w:t xml:space="preserve">continue to </w:t>
      </w:r>
      <w:r w:rsidRPr="00C64064">
        <w:rPr>
          <w:rFonts w:asciiTheme="majorHAnsi" w:hAnsiTheme="majorHAnsi" w:cstheme="majorHAnsi"/>
          <w:i/>
          <w:iCs/>
          <w:color w:val="002060"/>
        </w:rPr>
        <w:t>be supported</w:t>
      </w:r>
      <w:r w:rsidRPr="00C64064">
        <w:rPr>
          <w:rFonts w:asciiTheme="majorHAnsi" w:hAnsiTheme="majorHAnsi" w:cstheme="majorHAnsi"/>
          <w:i/>
          <w:iCs/>
        </w:rPr>
        <w:t xml:space="preserve">. </w:t>
      </w:r>
      <w:r w:rsidR="00E0014D" w:rsidRPr="00C64064">
        <w:rPr>
          <w:rFonts w:asciiTheme="majorHAnsi" w:hAnsiTheme="majorHAnsi" w:cstheme="majorHAnsi"/>
          <w:i/>
          <w:iCs/>
        </w:rPr>
        <w:br/>
      </w:r>
    </w:p>
    <w:p w14:paraId="66B553CF" w14:textId="4458ECFD" w:rsidR="006446A5" w:rsidRPr="00C64064" w:rsidRDefault="006446A5" w:rsidP="00E0014D">
      <w:pPr>
        <w:spacing w:line="276" w:lineRule="auto"/>
        <w:ind w:right="-1"/>
        <w:rPr>
          <w:rFonts w:asciiTheme="majorHAnsi" w:hAnsiTheme="majorHAnsi" w:cstheme="majorHAnsi"/>
          <w:b/>
          <w:bCs/>
        </w:rPr>
      </w:pPr>
      <w:r w:rsidRPr="00C64064">
        <w:rPr>
          <w:rFonts w:asciiTheme="majorHAnsi" w:hAnsiTheme="majorHAnsi" w:cstheme="majorHAnsi"/>
          <w:b/>
          <w:bCs/>
          <w:noProof/>
        </w:rPr>
        <w:drawing>
          <wp:anchor distT="0" distB="0" distL="114300" distR="114300" simplePos="0" relativeHeight="251658267" behindDoc="0" locked="0" layoutInCell="1" allowOverlap="1" wp14:anchorId="5AFBECF5" wp14:editId="7AC8CC01">
            <wp:simplePos x="0" y="0"/>
            <wp:positionH relativeFrom="column">
              <wp:posOffset>4088839</wp:posOffset>
            </wp:positionH>
            <wp:positionV relativeFrom="paragraph">
              <wp:posOffset>146050</wp:posOffset>
            </wp:positionV>
            <wp:extent cx="1931651" cy="1664948"/>
            <wp:effectExtent l="0" t="0" r="0" b="0"/>
            <wp:wrapNone/>
            <wp:docPr id="100422684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26845" name="Picture 23">
                      <a:extLst>
                        <a:ext uri="{C183D7F6-B498-43B3-948B-1728B52AA6E4}">
                          <adec:decorative xmlns:adec="http://schemas.microsoft.com/office/drawing/2017/decorative" val="1"/>
                        </a:ext>
                      </a:extLst>
                    </pic:cNvPr>
                    <pic:cNvPicPr/>
                  </pic:nvPicPr>
                  <pic:blipFill rotWithShape="1">
                    <a:blip r:embed="rId124" cstate="email">
                      <a:extLst>
                        <a:ext uri="{28A0092B-C50C-407E-A947-70E740481C1C}">
                          <a14:useLocalDpi xmlns:a14="http://schemas.microsoft.com/office/drawing/2010/main"/>
                        </a:ext>
                      </a:extLst>
                    </a:blip>
                    <a:srcRect/>
                    <a:stretch/>
                  </pic:blipFill>
                  <pic:spPr bwMode="auto">
                    <a:xfrm>
                      <a:off x="0" y="0"/>
                      <a:ext cx="1931651" cy="16649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4064">
        <w:rPr>
          <w:rFonts w:asciiTheme="majorHAnsi" w:hAnsiTheme="majorHAnsi" w:cstheme="majorHAnsi"/>
          <w:b/>
          <w:bCs/>
          <w:noProof/>
        </w:rPr>
        <w:drawing>
          <wp:anchor distT="0" distB="0" distL="114300" distR="114300" simplePos="0" relativeHeight="251658266" behindDoc="0" locked="0" layoutInCell="1" allowOverlap="1" wp14:anchorId="5CAD1D11" wp14:editId="044748DD">
            <wp:simplePos x="0" y="0"/>
            <wp:positionH relativeFrom="column">
              <wp:posOffset>2028358</wp:posOffset>
            </wp:positionH>
            <wp:positionV relativeFrom="paragraph">
              <wp:posOffset>119380</wp:posOffset>
            </wp:positionV>
            <wp:extent cx="1913368" cy="2707357"/>
            <wp:effectExtent l="0" t="0" r="0" b="0"/>
            <wp:wrapNone/>
            <wp:docPr id="866778911"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778911" name="Picture 22">
                      <a:extLst>
                        <a:ext uri="{C183D7F6-B498-43B3-948B-1728B52AA6E4}">
                          <adec:decorative xmlns:adec="http://schemas.microsoft.com/office/drawing/2017/decorative" val="1"/>
                        </a:ext>
                      </a:extLst>
                    </pic:cNvPr>
                    <pic:cNvPicPr/>
                  </pic:nvPicPr>
                  <pic:blipFill rotWithShape="1">
                    <a:blip r:embed="rId125" cstate="email">
                      <a:extLst>
                        <a:ext uri="{28A0092B-C50C-407E-A947-70E740481C1C}">
                          <a14:useLocalDpi xmlns:a14="http://schemas.microsoft.com/office/drawing/2010/main"/>
                        </a:ext>
                      </a:extLst>
                    </a:blip>
                    <a:srcRect/>
                    <a:stretch/>
                  </pic:blipFill>
                  <pic:spPr bwMode="auto">
                    <a:xfrm>
                      <a:off x="0" y="0"/>
                      <a:ext cx="1913368" cy="27073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4064">
        <w:rPr>
          <w:rFonts w:asciiTheme="majorHAnsi" w:hAnsiTheme="majorHAnsi" w:cstheme="majorHAnsi"/>
          <w:noProof/>
        </w:rPr>
        <w:drawing>
          <wp:anchor distT="0" distB="0" distL="114300" distR="114300" simplePos="0" relativeHeight="251658264" behindDoc="0" locked="0" layoutInCell="1" allowOverlap="1" wp14:anchorId="6D7785A0" wp14:editId="3DC2FB8F">
            <wp:simplePos x="0" y="0"/>
            <wp:positionH relativeFrom="column">
              <wp:posOffset>51186</wp:posOffset>
            </wp:positionH>
            <wp:positionV relativeFrom="paragraph">
              <wp:posOffset>144314</wp:posOffset>
            </wp:positionV>
            <wp:extent cx="1854835" cy="1893930"/>
            <wp:effectExtent l="0" t="0" r="0" b="0"/>
            <wp:wrapNone/>
            <wp:docPr id="1484418662"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18662" name="Picture 21">
                      <a:extLst>
                        <a:ext uri="{C183D7F6-B498-43B3-948B-1728B52AA6E4}">
                          <adec:decorative xmlns:adec="http://schemas.microsoft.com/office/drawing/2017/decorative" val="1"/>
                        </a:ext>
                      </a:extLst>
                    </pic:cNvPr>
                    <pic:cNvPicPr/>
                  </pic:nvPicPr>
                  <pic:blipFill rotWithShape="1">
                    <a:blip r:embed="rId126" cstate="email">
                      <a:extLst>
                        <a:ext uri="{28A0092B-C50C-407E-A947-70E740481C1C}">
                          <a14:useLocalDpi xmlns:a14="http://schemas.microsoft.com/office/drawing/2010/main"/>
                        </a:ext>
                      </a:extLst>
                    </a:blip>
                    <a:srcRect/>
                    <a:stretch/>
                  </pic:blipFill>
                  <pic:spPr bwMode="auto">
                    <a:xfrm>
                      <a:off x="0" y="0"/>
                      <a:ext cx="1854835" cy="1893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5D1732" w14:textId="77777777" w:rsidR="006446A5" w:rsidRPr="00C64064" w:rsidRDefault="006446A5" w:rsidP="00E0014D">
      <w:pPr>
        <w:spacing w:line="276" w:lineRule="auto"/>
        <w:ind w:right="-1"/>
        <w:rPr>
          <w:rFonts w:asciiTheme="majorHAnsi" w:hAnsiTheme="majorHAnsi" w:cstheme="majorHAnsi"/>
        </w:rPr>
      </w:pPr>
    </w:p>
    <w:p w14:paraId="6F4FC1B0" w14:textId="77777777" w:rsidR="006446A5" w:rsidRPr="00C64064" w:rsidRDefault="006446A5" w:rsidP="00E0014D">
      <w:pPr>
        <w:spacing w:line="276" w:lineRule="auto"/>
        <w:ind w:right="-1"/>
        <w:rPr>
          <w:rFonts w:asciiTheme="majorHAnsi" w:hAnsiTheme="majorHAnsi" w:cstheme="majorHAnsi"/>
          <w:b/>
          <w:bCs/>
        </w:rPr>
      </w:pPr>
    </w:p>
    <w:p w14:paraId="61C665AF" w14:textId="77777777" w:rsidR="006446A5" w:rsidRPr="00C64064" w:rsidRDefault="006446A5" w:rsidP="00E0014D">
      <w:pPr>
        <w:spacing w:line="276" w:lineRule="auto"/>
        <w:ind w:right="-1"/>
        <w:rPr>
          <w:rFonts w:asciiTheme="majorHAnsi" w:hAnsiTheme="majorHAnsi" w:cstheme="majorHAnsi"/>
          <w:b/>
          <w:bCs/>
        </w:rPr>
      </w:pPr>
    </w:p>
    <w:p w14:paraId="1337E862" w14:textId="77777777" w:rsidR="006446A5" w:rsidRPr="00C64064" w:rsidRDefault="006446A5" w:rsidP="00E0014D">
      <w:pPr>
        <w:spacing w:line="276" w:lineRule="auto"/>
        <w:ind w:right="-1"/>
        <w:rPr>
          <w:rFonts w:asciiTheme="majorHAnsi" w:hAnsiTheme="majorHAnsi" w:cstheme="majorHAnsi"/>
          <w:b/>
          <w:bCs/>
        </w:rPr>
      </w:pPr>
    </w:p>
    <w:p w14:paraId="62DAAA1A" w14:textId="77777777" w:rsidR="006446A5" w:rsidRPr="00C64064" w:rsidRDefault="006446A5" w:rsidP="00E0014D">
      <w:pPr>
        <w:spacing w:line="276" w:lineRule="auto"/>
        <w:ind w:right="-1"/>
        <w:rPr>
          <w:rFonts w:asciiTheme="majorHAnsi" w:hAnsiTheme="majorHAnsi" w:cstheme="majorHAnsi"/>
          <w:b/>
          <w:bCs/>
        </w:rPr>
      </w:pPr>
    </w:p>
    <w:p w14:paraId="79BC919E" w14:textId="318D79B1" w:rsidR="006446A5" w:rsidRPr="00C64064" w:rsidRDefault="007E6160" w:rsidP="00E0014D">
      <w:pPr>
        <w:spacing w:line="276" w:lineRule="auto"/>
        <w:ind w:right="-1"/>
        <w:rPr>
          <w:rFonts w:asciiTheme="majorHAnsi" w:hAnsiTheme="majorHAnsi" w:cstheme="majorHAnsi"/>
          <w:b/>
          <w:bCs/>
        </w:rPr>
      </w:pPr>
      <w:r w:rsidRPr="00C64064">
        <w:rPr>
          <w:rFonts w:asciiTheme="majorHAnsi" w:hAnsiTheme="majorHAnsi" w:cstheme="majorHAnsi"/>
          <w:noProof/>
        </w:rPr>
        <mc:AlternateContent>
          <mc:Choice Requires="wps">
            <w:drawing>
              <wp:anchor distT="0" distB="0" distL="114300" distR="114300" simplePos="0" relativeHeight="251658268" behindDoc="0" locked="0" layoutInCell="1" allowOverlap="1" wp14:anchorId="60D36D06" wp14:editId="356D1536">
                <wp:simplePos x="0" y="0"/>
                <wp:positionH relativeFrom="column">
                  <wp:posOffset>2027784</wp:posOffset>
                </wp:positionH>
                <wp:positionV relativeFrom="paragraph">
                  <wp:posOffset>93116</wp:posOffset>
                </wp:positionV>
                <wp:extent cx="1913255" cy="3204058"/>
                <wp:effectExtent l="0" t="0" r="0" b="0"/>
                <wp:wrapNone/>
                <wp:docPr id="578681605"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13255" cy="3204058"/>
                        </a:xfrm>
                        <a:prstGeom prst="rect">
                          <a:avLst/>
                        </a:prstGeom>
                        <a:solidFill>
                          <a:srgbClr val="252C66"/>
                        </a:solidFill>
                        <a:ln w="6350">
                          <a:noFill/>
                        </a:ln>
                      </wps:spPr>
                      <wps:txbx>
                        <w:txbxContent>
                          <w:p w14:paraId="4642127C" w14:textId="77777777" w:rsidR="006446A5" w:rsidRPr="00E72EF3" w:rsidRDefault="006446A5" w:rsidP="006446A5">
                            <w:pPr>
                              <w:pStyle w:val="Header"/>
                              <w:spacing w:after="200"/>
                              <w:textAlignment w:val="baseline"/>
                              <w:rPr>
                                <w:rStyle w:val="Hyperlink"/>
                                <w:rFonts w:cs="Arial"/>
                                <w:i/>
                                <w:iCs/>
                                <w:color w:val="FFFFFF" w:themeColor="background1"/>
                                <w:sz w:val="21"/>
                                <w:szCs w:val="21"/>
                                <w:lang w:val="en-US"/>
                              </w:rPr>
                            </w:pPr>
                            <w:r w:rsidRPr="00E72EF3">
                              <w:rPr>
                                <w:rFonts w:cs="Arial"/>
                                <w:i/>
                                <w:iCs/>
                                <w:noProof/>
                                <w:color w:val="FFFFFF" w:themeColor="background1"/>
                                <w:sz w:val="21"/>
                                <w:szCs w:val="21"/>
                                <w:lang w:val="en-US"/>
                              </w:rPr>
                              <w:drawing>
                                <wp:inline distT="0" distB="0" distL="0" distR="0" wp14:anchorId="37D6F8C6" wp14:editId="4D128CE9">
                                  <wp:extent cx="126853" cy="126853"/>
                                  <wp:effectExtent l="0" t="0" r="6985" b="6985"/>
                                  <wp:docPr id="400526579" name="Graphic 4005265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74014"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128823" cy="128823"/>
                                          </a:xfrm>
                                          <a:prstGeom prst="rect">
                                            <a:avLst/>
                                          </a:prstGeom>
                                        </pic:spPr>
                                      </pic:pic>
                                    </a:graphicData>
                                  </a:graphic>
                                </wp:inline>
                              </w:drawing>
                            </w:r>
                          </w:p>
                          <w:p w14:paraId="6FCBFC2E" w14:textId="4D3B1362" w:rsidR="006446A5" w:rsidRPr="00E72EF3" w:rsidRDefault="006446A5" w:rsidP="006446A5">
                            <w:pPr>
                              <w:pStyle w:val="Header"/>
                              <w:spacing w:after="240"/>
                              <w:textAlignment w:val="baseline"/>
                              <w:rPr>
                                <w:rFonts w:cs="Arial"/>
                                <w:color w:val="FFFFFF" w:themeColor="background1"/>
                              </w:rPr>
                            </w:pPr>
                            <w:r>
                              <w:rPr>
                                <w:rFonts w:cs="Arial"/>
                                <w:color w:val="FFFFFF" w:themeColor="background1"/>
                              </w:rPr>
                              <w:t xml:space="preserve">With </w:t>
                            </w:r>
                            <w:r w:rsidRPr="00C7421A">
                              <w:rPr>
                                <w:rFonts w:cs="Arial"/>
                                <w:color w:val="FFFFFF" w:themeColor="background1"/>
                              </w:rPr>
                              <w:t>PRISMA's support,</w:t>
                            </w:r>
                            <w:r>
                              <w:rPr>
                                <w:rFonts w:cs="Arial"/>
                                <w:color w:val="FFFFFF" w:themeColor="background1"/>
                              </w:rPr>
                              <w:t xml:space="preserve"> </w:t>
                            </w:r>
                            <w:r w:rsidRPr="00C7421A">
                              <w:rPr>
                                <w:rFonts w:cs="Arial"/>
                                <w:color w:val="FFFFFF" w:themeColor="background1"/>
                              </w:rPr>
                              <w:t xml:space="preserve">we </w:t>
                            </w:r>
                            <w:r>
                              <w:rPr>
                                <w:rFonts w:cs="Arial"/>
                                <w:color w:val="FFFFFF" w:themeColor="background1"/>
                              </w:rPr>
                              <w:t xml:space="preserve">are </w:t>
                            </w:r>
                            <w:r w:rsidR="007C7F0A">
                              <w:rPr>
                                <w:rFonts w:cs="Arial"/>
                                <w:color w:val="FFFFFF" w:themeColor="background1"/>
                              </w:rPr>
                              <w:t xml:space="preserve">currently </w:t>
                            </w:r>
                            <w:r>
                              <w:rPr>
                                <w:rFonts w:cs="Arial"/>
                                <w:color w:val="FFFFFF" w:themeColor="background1"/>
                              </w:rPr>
                              <w:t>developing a curriculum</w:t>
                            </w:r>
                            <w:r w:rsidRPr="00C7421A">
                              <w:rPr>
                                <w:rFonts w:cs="Arial"/>
                                <w:color w:val="FFFFFF" w:themeColor="background1"/>
                              </w:rPr>
                              <w:t xml:space="preserve"> </w:t>
                            </w:r>
                            <w:r>
                              <w:rPr>
                                <w:rFonts w:cs="Arial"/>
                                <w:color w:val="FFFFFF" w:themeColor="background1"/>
                              </w:rPr>
                              <w:t xml:space="preserve">and </w:t>
                            </w:r>
                            <w:r w:rsidRPr="00C7421A">
                              <w:rPr>
                                <w:rFonts w:cs="Arial"/>
                                <w:color w:val="FFFFFF" w:themeColor="background1"/>
                              </w:rPr>
                              <w:t>learning materials</w:t>
                            </w:r>
                            <w:r>
                              <w:rPr>
                                <w:rFonts w:cs="Arial"/>
                                <w:color w:val="FFFFFF" w:themeColor="background1"/>
                              </w:rPr>
                              <w:t xml:space="preserve"> based on </w:t>
                            </w:r>
                            <w:r w:rsidR="007C7F0A">
                              <w:rPr>
                                <w:rFonts w:cs="Arial"/>
                                <w:color w:val="FFFFFF" w:themeColor="background1"/>
                              </w:rPr>
                              <w:t xml:space="preserve">the market systems development </w:t>
                            </w:r>
                            <w:r>
                              <w:rPr>
                                <w:rFonts w:cs="Arial"/>
                                <w:color w:val="FFFFFF" w:themeColor="background1"/>
                              </w:rPr>
                              <w:t xml:space="preserve">approach that </w:t>
                            </w:r>
                            <w:r w:rsidR="007C7F0A">
                              <w:rPr>
                                <w:rFonts w:cs="Arial"/>
                                <w:color w:val="FFFFFF" w:themeColor="background1"/>
                              </w:rPr>
                              <w:t xml:space="preserve">we </w:t>
                            </w:r>
                            <w:r>
                              <w:rPr>
                                <w:rFonts w:cs="Arial"/>
                                <w:color w:val="FFFFFF" w:themeColor="background1"/>
                              </w:rPr>
                              <w:t>will launch</w:t>
                            </w:r>
                            <w:r w:rsidR="007C7F0A">
                              <w:rPr>
                                <w:rFonts w:cs="Arial"/>
                                <w:color w:val="FFFFFF" w:themeColor="background1"/>
                              </w:rPr>
                              <w:t xml:space="preserve"> i</w:t>
                            </w:r>
                            <w:r>
                              <w:rPr>
                                <w:rFonts w:cs="Arial"/>
                                <w:color w:val="FFFFFF" w:themeColor="background1"/>
                              </w:rPr>
                              <w:t>n the upcoming semester.</w:t>
                            </w:r>
                          </w:p>
                          <w:p w14:paraId="7F966871" w14:textId="52DB1A4E" w:rsidR="006446A5" w:rsidRPr="00E72EF3" w:rsidRDefault="00425A88" w:rsidP="00E95931">
                            <w:pPr>
                              <w:pStyle w:val="Header"/>
                              <w:spacing w:after="200"/>
                              <w:textAlignment w:val="baseline"/>
                              <w:rPr>
                                <w:rFonts w:cs="Arial"/>
                                <w:color w:val="FFFFFF" w:themeColor="background1"/>
                                <w:szCs w:val="20"/>
                              </w:rPr>
                            </w:pPr>
                            <w:r>
                              <w:rPr>
                                <w:rFonts w:cs="Arial"/>
                                <w:b/>
                                <w:bCs/>
                                <w:color w:val="FFFFFF" w:themeColor="background1"/>
                                <w:szCs w:val="20"/>
                              </w:rPr>
                              <w:t>Alimud</w:t>
                            </w:r>
                            <w:r w:rsidR="00FD55FE">
                              <w:rPr>
                                <w:rFonts w:cs="Arial"/>
                                <w:b/>
                                <w:bCs/>
                                <w:color w:val="FFFFFF" w:themeColor="background1"/>
                                <w:szCs w:val="20"/>
                              </w:rPr>
                              <w:t>d</w:t>
                            </w:r>
                            <w:r>
                              <w:rPr>
                                <w:rFonts w:cs="Arial"/>
                                <w:b/>
                                <w:bCs/>
                                <w:color w:val="FFFFFF" w:themeColor="background1"/>
                                <w:szCs w:val="20"/>
                              </w:rPr>
                              <w:t>in</w:t>
                            </w:r>
                            <w:r w:rsidR="00E95931" w:rsidRPr="00450972">
                              <w:rPr>
                                <w:rFonts w:cs="Arial"/>
                                <w:color w:val="FFFFFF" w:themeColor="background1"/>
                                <w:szCs w:val="20"/>
                              </w:rPr>
                              <w:t>,</w:t>
                            </w:r>
                            <w:r w:rsidR="00E95931" w:rsidRPr="00E95931">
                              <w:rPr>
                                <w:rFonts w:cs="Arial"/>
                                <w:b/>
                                <w:bCs/>
                                <w:color w:val="FFFFFF" w:themeColor="background1"/>
                                <w:szCs w:val="20"/>
                              </w:rPr>
                              <w:t xml:space="preserve"> </w:t>
                            </w:r>
                            <w:r w:rsidR="0078752A" w:rsidRPr="00450972">
                              <w:rPr>
                                <w:rFonts w:cs="Arial"/>
                                <w:color w:val="FFFFFF" w:themeColor="background1"/>
                                <w:szCs w:val="20"/>
                              </w:rPr>
                              <w:t>Nadhlatul Wathan University</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36D06" id="_x0000_s1060" type="#_x0000_t202" alt="&quot;&quot;" style="position:absolute;margin-left:159.65pt;margin-top:7.35pt;width:150.65pt;height:252.3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" fillcolor="#252c66" stroked="f" strokeweight=".5pt">
                <v:textbox inset="5mm,5mm,5mm,5mm">
                  <w:txbxContent>
                    <w:p w14:paraId="4642127C" w14:textId="77777777" w:rsidR="006446A5" w:rsidRPr="00E72EF3" w:rsidRDefault="006446A5" w:rsidP="006446A5">
                      <w:pPr>
                        <w:pStyle w:val="Header"/>
                        <w:spacing w:after="200"/>
                        <w:textAlignment w:val="baseline"/>
                        <w:rPr>
                          <w:rStyle w:val="Hyperlink"/>
                          <w:rFonts w:cs="Arial"/>
                          <w:i/>
                          <w:iCs/>
                          <w:color w:val="FFFFFF" w:themeColor="background1"/>
                          <w:sz w:val="21"/>
                          <w:szCs w:val="21"/>
                          <w:lang w:val="en-US"/>
                        </w:rPr>
                      </w:pPr>
                      <w:r w:rsidRPr="00E72EF3">
                        <w:rPr>
                          <w:rFonts w:cs="Arial"/>
                          <w:i/>
                          <w:iCs/>
                          <w:noProof/>
                          <w:color w:val="FFFFFF" w:themeColor="background1"/>
                          <w:sz w:val="21"/>
                          <w:szCs w:val="21"/>
                          <w:lang w:val="en-US"/>
                        </w:rPr>
                        <w:drawing>
                          <wp:inline distT="0" distB="0" distL="0" distR="0" wp14:anchorId="37D6F8C6" wp14:editId="4D128CE9">
                            <wp:extent cx="126853" cy="126853"/>
                            <wp:effectExtent l="0" t="0" r="6985" b="6985"/>
                            <wp:docPr id="400526579" name="Graphic 4005265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74014"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128823" cy="128823"/>
                                    </a:xfrm>
                                    <a:prstGeom prst="rect">
                                      <a:avLst/>
                                    </a:prstGeom>
                                  </pic:spPr>
                                </pic:pic>
                              </a:graphicData>
                            </a:graphic>
                          </wp:inline>
                        </w:drawing>
                      </w:r>
                    </w:p>
                    <w:p w14:paraId="6FCBFC2E" w14:textId="4D3B1362" w:rsidR="006446A5" w:rsidRPr="00E72EF3" w:rsidRDefault="006446A5" w:rsidP="006446A5">
                      <w:pPr>
                        <w:pStyle w:val="Header"/>
                        <w:spacing w:after="240"/>
                        <w:textAlignment w:val="baseline"/>
                        <w:rPr>
                          <w:rFonts w:cs="Arial"/>
                          <w:color w:val="FFFFFF" w:themeColor="background1"/>
                        </w:rPr>
                      </w:pPr>
                      <w:r>
                        <w:rPr>
                          <w:rFonts w:cs="Arial"/>
                          <w:color w:val="FFFFFF" w:themeColor="background1"/>
                        </w:rPr>
                        <w:t xml:space="preserve">With </w:t>
                      </w:r>
                      <w:r w:rsidRPr="00C7421A">
                        <w:rPr>
                          <w:rFonts w:cs="Arial"/>
                          <w:color w:val="FFFFFF" w:themeColor="background1"/>
                        </w:rPr>
                        <w:t>PRISMA's support,</w:t>
                      </w:r>
                      <w:r>
                        <w:rPr>
                          <w:rFonts w:cs="Arial"/>
                          <w:color w:val="FFFFFF" w:themeColor="background1"/>
                        </w:rPr>
                        <w:t xml:space="preserve"> </w:t>
                      </w:r>
                      <w:r w:rsidRPr="00C7421A">
                        <w:rPr>
                          <w:rFonts w:cs="Arial"/>
                          <w:color w:val="FFFFFF" w:themeColor="background1"/>
                        </w:rPr>
                        <w:t xml:space="preserve">we </w:t>
                      </w:r>
                      <w:r>
                        <w:rPr>
                          <w:rFonts w:cs="Arial"/>
                          <w:color w:val="FFFFFF" w:themeColor="background1"/>
                        </w:rPr>
                        <w:t xml:space="preserve">are </w:t>
                      </w:r>
                      <w:r w:rsidR="007C7F0A">
                        <w:rPr>
                          <w:rFonts w:cs="Arial"/>
                          <w:color w:val="FFFFFF" w:themeColor="background1"/>
                        </w:rPr>
                        <w:t xml:space="preserve">currently </w:t>
                      </w:r>
                      <w:r>
                        <w:rPr>
                          <w:rFonts w:cs="Arial"/>
                          <w:color w:val="FFFFFF" w:themeColor="background1"/>
                        </w:rPr>
                        <w:t>developing a curriculum</w:t>
                      </w:r>
                      <w:r w:rsidRPr="00C7421A">
                        <w:rPr>
                          <w:rFonts w:cs="Arial"/>
                          <w:color w:val="FFFFFF" w:themeColor="background1"/>
                        </w:rPr>
                        <w:t xml:space="preserve"> </w:t>
                      </w:r>
                      <w:r>
                        <w:rPr>
                          <w:rFonts w:cs="Arial"/>
                          <w:color w:val="FFFFFF" w:themeColor="background1"/>
                        </w:rPr>
                        <w:t xml:space="preserve">and </w:t>
                      </w:r>
                      <w:r w:rsidRPr="00C7421A">
                        <w:rPr>
                          <w:rFonts w:cs="Arial"/>
                          <w:color w:val="FFFFFF" w:themeColor="background1"/>
                        </w:rPr>
                        <w:t>learning materials</w:t>
                      </w:r>
                      <w:r>
                        <w:rPr>
                          <w:rFonts w:cs="Arial"/>
                          <w:color w:val="FFFFFF" w:themeColor="background1"/>
                        </w:rPr>
                        <w:t xml:space="preserve"> based on </w:t>
                      </w:r>
                      <w:r w:rsidR="007C7F0A">
                        <w:rPr>
                          <w:rFonts w:cs="Arial"/>
                          <w:color w:val="FFFFFF" w:themeColor="background1"/>
                        </w:rPr>
                        <w:t xml:space="preserve">the market systems development </w:t>
                      </w:r>
                      <w:r>
                        <w:rPr>
                          <w:rFonts w:cs="Arial"/>
                          <w:color w:val="FFFFFF" w:themeColor="background1"/>
                        </w:rPr>
                        <w:t xml:space="preserve">approach that </w:t>
                      </w:r>
                      <w:r w:rsidR="007C7F0A">
                        <w:rPr>
                          <w:rFonts w:cs="Arial"/>
                          <w:color w:val="FFFFFF" w:themeColor="background1"/>
                        </w:rPr>
                        <w:t xml:space="preserve">we </w:t>
                      </w:r>
                      <w:r>
                        <w:rPr>
                          <w:rFonts w:cs="Arial"/>
                          <w:color w:val="FFFFFF" w:themeColor="background1"/>
                        </w:rPr>
                        <w:t>will launch</w:t>
                      </w:r>
                      <w:r w:rsidR="007C7F0A">
                        <w:rPr>
                          <w:rFonts w:cs="Arial"/>
                          <w:color w:val="FFFFFF" w:themeColor="background1"/>
                        </w:rPr>
                        <w:t xml:space="preserve"> i</w:t>
                      </w:r>
                      <w:r>
                        <w:rPr>
                          <w:rFonts w:cs="Arial"/>
                          <w:color w:val="FFFFFF" w:themeColor="background1"/>
                        </w:rPr>
                        <w:t>n the upcoming semester.</w:t>
                      </w:r>
                    </w:p>
                    <w:p w14:paraId="7F966871" w14:textId="52DB1A4E" w:rsidR="006446A5" w:rsidRPr="00E72EF3" w:rsidRDefault="00425A88" w:rsidP="00E95931">
                      <w:pPr>
                        <w:pStyle w:val="Header"/>
                        <w:spacing w:after="200"/>
                        <w:textAlignment w:val="baseline"/>
                        <w:rPr>
                          <w:rFonts w:cs="Arial"/>
                          <w:color w:val="FFFFFF" w:themeColor="background1"/>
                          <w:szCs w:val="20"/>
                        </w:rPr>
                      </w:pPr>
                      <w:r>
                        <w:rPr>
                          <w:rFonts w:cs="Arial"/>
                          <w:b/>
                          <w:bCs/>
                          <w:color w:val="FFFFFF" w:themeColor="background1"/>
                          <w:szCs w:val="20"/>
                        </w:rPr>
                        <w:t>Alimud</w:t>
                      </w:r>
                      <w:r w:rsidR="00FD55FE">
                        <w:rPr>
                          <w:rFonts w:cs="Arial"/>
                          <w:b/>
                          <w:bCs/>
                          <w:color w:val="FFFFFF" w:themeColor="background1"/>
                          <w:szCs w:val="20"/>
                        </w:rPr>
                        <w:t>d</w:t>
                      </w:r>
                      <w:r>
                        <w:rPr>
                          <w:rFonts w:cs="Arial"/>
                          <w:b/>
                          <w:bCs/>
                          <w:color w:val="FFFFFF" w:themeColor="background1"/>
                          <w:szCs w:val="20"/>
                        </w:rPr>
                        <w:t>in</w:t>
                      </w:r>
                      <w:r w:rsidR="00E95931" w:rsidRPr="00450972">
                        <w:rPr>
                          <w:rFonts w:cs="Arial"/>
                          <w:color w:val="FFFFFF" w:themeColor="background1"/>
                          <w:szCs w:val="20"/>
                        </w:rPr>
                        <w:t>,</w:t>
                      </w:r>
                      <w:r w:rsidR="00E95931" w:rsidRPr="00E95931">
                        <w:rPr>
                          <w:rFonts w:cs="Arial"/>
                          <w:b/>
                          <w:bCs/>
                          <w:color w:val="FFFFFF" w:themeColor="background1"/>
                          <w:szCs w:val="20"/>
                        </w:rPr>
                        <w:t xml:space="preserve"> </w:t>
                      </w:r>
                      <w:r w:rsidR="0078752A" w:rsidRPr="00450972">
                        <w:rPr>
                          <w:rFonts w:cs="Arial"/>
                          <w:color w:val="FFFFFF" w:themeColor="background1"/>
                          <w:szCs w:val="20"/>
                        </w:rPr>
                        <w:t>Nadhlatul Wathan University</w:t>
                      </w:r>
                    </w:p>
                  </w:txbxContent>
                </v:textbox>
              </v:shape>
            </w:pict>
          </mc:Fallback>
        </mc:AlternateContent>
      </w:r>
      <w:r w:rsidRPr="00C64064">
        <w:rPr>
          <w:rFonts w:asciiTheme="majorHAnsi" w:hAnsiTheme="majorHAnsi" w:cstheme="majorHAnsi"/>
          <w:noProof/>
        </w:rPr>
        <mc:AlternateContent>
          <mc:Choice Requires="wps">
            <w:drawing>
              <wp:anchor distT="0" distB="0" distL="114300" distR="114300" simplePos="0" relativeHeight="251658269" behindDoc="0" locked="0" layoutInCell="1" allowOverlap="1" wp14:anchorId="5B2EDAFE" wp14:editId="1211BDD0">
                <wp:simplePos x="0" y="0"/>
                <wp:positionH relativeFrom="column">
                  <wp:posOffset>4090670</wp:posOffset>
                </wp:positionH>
                <wp:positionV relativeFrom="paragraph">
                  <wp:posOffset>93115</wp:posOffset>
                </wp:positionV>
                <wp:extent cx="1931035" cy="3233319"/>
                <wp:effectExtent l="0" t="0" r="0" b="5715"/>
                <wp:wrapNone/>
                <wp:docPr id="180676545"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31035" cy="3233319"/>
                        </a:xfrm>
                        <a:prstGeom prst="rect">
                          <a:avLst/>
                        </a:prstGeom>
                        <a:solidFill>
                          <a:srgbClr val="252C66"/>
                        </a:solidFill>
                        <a:ln w="6350">
                          <a:noFill/>
                        </a:ln>
                      </wps:spPr>
                      <wps:txbx>
                        <w:txbxContent>
                          <w:p w14:paraId="71C9720A" w14:textId="77777777" w:rsidR="006446A5" w:rsidRPr="00E72EF3" w:rsidRDefault="006446A5" w:rsidP="006446A5">
                            <w:pPr>
                              <w:pStyle w:val="Header"/>
                              <w:spacing w:after="200"/>
                              <w:textAlignment w:val="baseline"/>
                              <w:rPr>
                                <w:rStyle w:val="Hyperlink"/>
                                <w:rFonts w:cs="Arial"/>
                                <w:i/>
                                <w:iCs/>
                                <w:color w:val="FFFFFF" w:themeColor="background1"/>
                                <w:sz w:val="21"/>
                                <w:szCs w:val="21"/>
                                <w:lang w:val="en-US"/>
                              </w:rPr>
                            </w:pPr>
                            <w:r w:rsidRPr="00E72EF3">
                              <w:rPr>
                                <w:rFonts w:cs="Arial"/>
                                <w:i/>
                                <w:iCs/>
                                <w:noProof/>
                                <w:color w:val="FFFFFF" w:themeColor="background1"/>
                                <w:sz w:val="21"/>
                                <w:szCs w:val="21"/>
                                <w:lang w:val="en-US"/>
                              </w:rPr>
                              <w:drawing>
                                <wp:inline distT="0" distB="0" distL="0" distR="0" wp14:anchorId="4DC7602E" wp14:editId="74C1B4CD">
                                  <wp:extent cx="126853" cy="126853"/>
                                  <wp:effectExtent l="0" t="0" r="6985" b="6985"/>
                                  <wp:docPr id="378532081" name="Graphic 3785320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74014"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128823" cy="128823"/>
                                          </a:xfrm>
                                          <a:prstGeom prst="rect">
                                            <a:avLst/>
                                          </a:prstGeom>
                                        </pic:spPr>
                                      </pic:pic>
                                    </a:graphicData>
                                  </a:graphic>
                                </wp:inline>
                              </w:drawing>
                            </w:r>
                          </w:p>
                          <w:p w14:paraId="5828E770" w14:textId="607AB6C1" w:rsidR="006446A5" w:rsidRDefault="007C7F0A" w:rsidP="006446A5">
                            <w:pPr>
                              <w:pStyle w:val="Header"/>
                              <w:spacing w:after="240"/>
                              <w:textAlignment w:val="baseline"/>
                              <w:rPr>
                                <w:rFonts w:cs="Arial"/>
                                <w:color w:val="FFFFFF" w:themeColor="background1"/>
                              </w:rPr>
                            </w:pPr>
                            <w:r>
                              <w:rPr>
                                <w:rFonts w:cs="Arial"/>
                                <w:color w:val="FFFFFF" w:themeColor="background1"/>
                              </w:rPr>
                              <w:t>Following</w:t>
                            </w:r>
                            <w:r w:rsidR="006446A5">
                              <w:rPr>
                                <w:rFonts w:cs="Arial"/>
                                <w:color w:val="FFFFFF" w:themeColor="background1"/>
                              </w:rPr>
                              <w:t xml:space="preserve"> the training, w</w:t>
                            </w:r>
                            <w:r w:rsidR="006446A5" w:rsidRPr="00495E79">
                              <w:rPr>
                                <w:rFonts w:cs="Arial"/>
                                <w:color w:val="FFFFFF" w:themeColor="background1"/>
                              </w:rPr>
                              <w:t xml:space="preserve">e </w:t>
                            </w:r>
                            <w:r w:rsidR="006446A5">
                              <w:rPr>
                                <w:rFonts w:cs="Arial"/>
                                <w:color w:val="FFFFFF" w:themeColor="background1"/>
                              </w:rPr>
                              <w:t>plan to h</w:t>
                            </w:r>
                            <w:r>
                              <w:rPr>
                                <w:rFonts w:cs="Arial"/>
                                <w:color w:val="FFFFFF" w:themeColor="background1"/>
                              </w:rPr>
                              <w:t>old</w:t>
                            </w:r>
                            <w:r w:rsidR="006446A5" w:rsidRPr="00495E79">
                              <w:rPr>
                                <w:rFonts w:cs="Arial"/>
                                <w:color w:val="FFFFFF" w:themeColor="background1"/>
                              </w:rPr>
                              <w:t xml:space="preserve"> discussions with the </w:t>
                            </w:r>
                            <w:r w:rsidR="006446A5">
                              <w:rPr>
                                <w:rFonts w:cs="Arial"/>
                                <w:color w:val="FFFFFF" w:themeColor="background1"/>
                              </w:rPr>
                              <w:t xml:space="preserve">Regional Development Planning Agency </w:t>
                            </w:r>
                            <w:r w:rsidR="006446A5" w:rsidRPr="00495E79">
                              <w:rPr>
                                <w:rFonts w:cs="Arial"/>
                                <w:color w:val="FFFFFF" w:themeColor="background1"/>
                              </w:rPr>
                              <w:t>and</w:t>
                            </w:r>
                            <w:r w:rsidR="006446A5">
                              <w:rPr>
                                <w:rFonts w:cs="Arial"/>
                                <w:color w:val="FFFFFF" w:themeColor="background1"/>
                              </w:rPr>
                              <w:t xml:space="preserve"> relevant</w:t>
                            </w:r>
                            <w:r w:rsidR="006446A5" w:rsidRPr="00495E79">
                              <w:rPr>
                                <w:rFonts w:cs="Arial"/>
                                <w:color w:val="FFFFFF" w:themeColor="background1"/>
                              </w:rPr>
                              <w:t xml:space="preserve"> </w:t>
                            </w:r>
                            <w:r w:rsidR="006446A5">
                              <w:rPr>
                                <w:rFonts w:cs="Arial"/>
                                <w:color w:val="FFFFFF" w:themeColor="background1"/>
                              </w:rPr>
                              <w:t>t</w:t>
                            </w:r>
                            <w:r w:rsidR="006446A5" w:rsidRPr="00495E79">
                              <w:rPr>
                                <w:rFonts w:cs="Arial"/>
                                <w:color w:val="FFFFFF" w:themeColor="background1"/>
                              </w:rPr>
                              <w:t>echnical</w:t>
                            </w:r>
                            <w:r w:rsidR="006446A5">
                              <w:rPr>
                                <w:rFonts w:cs="Arial"/>
                                <w:color w:val="FFFFFF" w:themeColor="background1"/>
                              </w:rPr>
                              <w:t xml:space="preserve"> offices</w:t>
                            </w:r>
                            <w:r w:rsidR="006446A5" w:rsidRPr="00495E79">
                              <w:rPr>
                                <w:rFonts w:cs="Arial"/>
                                <w:color w:val="FFFFFF" w:themeColor="background1"/>
                              </w:rPr>
                              <w:t xml:space="preserve"> </w:t>
                            </w:r>
                            <w:r w:rsidR="006446A5">
                              <w:rPr>
                                <w:rFonts w:cs="Arial"/>
                                <w:color w:val="FFFFFF" w:themeColor="background1"/>
                              </w:rPr>
                              <w:t xml:space="preserve">on how to implement the </w:t>
                            </w:r>
                            <w:r w:rsidR="006446A5" w:rsidRPr="00495E79">
                              <w:rPr>
                                <w:rFonts w:cs="Arial"/>
                                <w:color w:val="FFFFFF" w:themeColor="background1"/>
                              </w:rPr>
                              <w:t>market system</w:t>
                            </w:r>
                            <w:r>
                              <w:rPr>
                                <w:rFonts w:cs="Arial"/>
                                <w:color w:val="FFFFFF" w:themeColor="background1"/>
                              </w:rPr>
                              <w:t>s</w:t>
                            </w:r>
                            <w:r w:rsidR="006446A5">
                              <w:rPr>
                                <w:rFonts w:cs="Arial"/>
                                <w:color w:val="FFFFFF" w:themeColor="background1"/>
                              </w:rPr>
                              <w:t xml:space="preserve"> development</w:t>
                            </w:r>
                            <w:r w:rsidR="006446A5" w:rsidRPr="00495E79">
                              <w:rPr>
                                <w:rFonts w:cs="Arial"/>
                                <w:color w:val="FFFFFF" w:themeColor="background1"/>
                              </w:rPr>
                              <w:t xml:space="preserve"> approach </w:t>
                            </w:r>
                            <w:r>
                              <w:rPr>
                                <w:rFonts w:cs="Arial"/>
                                <w:color w:val="FFFFFF" w:themeColor="background1"/>
                              </w:rPr>
                              <w:t>in</w:t>
                            </w:r>
                            <w:r w:rsidR="006446A5" w:rsidRPr="00495E79">
                              <w:rPr>
                                <w:rFonts w:cs="Arial"/>
                                <w:color w:val="FFFFFF" w:themeColor="background1"/>
                              </w:rPr>
                              <w:t xml:space="preserve"> </w:t>
                            </w:r>
                            <w:r>
                              <w:rPr>
                                <w:rFonts w:cs="Arial"/>
                                <w:color w:val="FFFFFF" w:themeColor="background1"/>
                              </w:rPr>
                              <w:t>a</w:t>
                            </w:r>
                            <w:r w:rsidR="006446A5" w:rsidRPr="00495E79">
                              <w:rPr>
                                <w:rFonts w:cs="Arial"/>
                                <w:color w:val="FFFFFF" w:themeColor="background1"/>
                              </w:rPr>
                              <w:t xml:space="preserve"> regional </w:t>
                            </w:r>
                            <w:r w:rsidR="006446A5">
                              <w:rPr>
                                <w:rFonts w:cs="Arial"/>
                                <w:color w:val="FFFFFF" w:themeColor="background1"/>
                              </w:rPr>
                              <w:t>context</w:t>
                            </w:r>
                            <w:r>
                              <w:rPr>
                                <w:rFonts w:cs="Arial"/>
                                <w:color w:val="FFFFFF" w:themeColor="background1"/>
                              </w:rPr>
                              <w:t>.</w:t>
                            </w:r>
                          </w:p>
                          <w:p w14:paraId="34438CA1" w14:textId="77777777" w:rsidR="006446A5" w:rsidRPr="00E72EF3" w:rsidRDefault="006446A5" w:rsidP="006446A5">
                            <w:pPr>
                              <w:pStyle w:val="Header"/>
                              <w:spacing w:after="240"/>
                              <w:textAlignment w:val="baseline"/>
                              <w:rPr>
                                <w:rFonts w:cs="Arial"/>
                                <w:color w:val="FFFFFF" w:themeColor="background1"/>
                                <w:szCs w:val="20"/>
                              </w:rPr>
                            </w:pPr>
                            <w:r w:rsidRPr="0058620F">
                              <w:rPr>
                                <w:b/>
                                <w:bCs/>
                              </w:rPr>
                              <w:t>Jeffry Jacob Sahuburua</w:t>
                            </w:r>
                            <w:r w:rsidRPr="00115014">
                              <w:rPr>
                                <w:rFonts w:cs="Arial"/>
                                <w:color w:val="FFFFFF" w:themeColor="background1"/>
                                <w:szCs w:val="20"/>
                              </w:rPr>
                              <w:t xml:space="preserve">, </w:t>
                            </w:r>
                            <w:r>
                              <w:rPr>
                                <w:rFonts w:cs="Arial"/>
                                <w:color w:val="FFFFFF" w:themeColor="background1"/>
                                <w:szCs w:val="20"/>
                              </w:rPr>
                              <w:t>Office for Community Development of Manokwari, West Papua</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EDAFE" id="_x0000_s1061" type="#_x0000_t202" alt="&quot;&quot;" style="position:absolute;margin-left:322.1pt;margin-top:7.35pt;width:152.05pt;height:254.6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" fillcolor="#252c66" stroked="f" strokeweight=".5pt">
                <v:textbox inset="5mm,5mm,5mm,5mm">
                  <w:txbxContent>
                    <w:p w14:paraId="71C9720A" w14:textId="77777777" w:rsidR="006446A5" w:rsidRPr="00E72EF3" w:rsidRDefault="006446A5" w:rsidP="006446A5">
                      <w:pPr>
                        <w:pStyle w:val="Header"/>
                        <w:spacing w:after="200"/>
                        <w:textAlignment w:val="baseline"/>
                        <w:rPr>
                          <w:rStyle w:val="Hyperlink"/>
                          <w:rFonts w:cs="Arial"/>
                          <w:i/>
                          <w:iCs/>
                          <w:color w:val="FFFFFF" w:themeColor="background1"/>
                          <w:sz w:val="21"/>
                          <w:szCs w:val="21"/>
                          <w:lang w:val="en-US"/>
                        </w:rPr>
                      </w:pPr>
                      <w:r w:rsidRPr="00E72EF3">
                        <w:rPr>
                          <w:rFonts w:cs="Arial"/>
                          <w:i/>
                          <w:iCs/>
                          <w:noProof/>
                          <w:color w:val="FFFFFF" w:themeColor="background1"/>
                          <w:sz w:val="21"/>
                          <w:szCs w:val="21"/>
                          <w:lang w:val="en-US"/>
                        </w:rPr>
                        <w:drawing>
                          <wp:inline distT="0" distB="0" distL="0" distR="0" wp14:anchorId="4DC7602E" wp14:editId="74C1B4CD">
                            <wp:extent cx="126853" cy="126853"/>
                            <wp:effectExtent l="0" t="0" r="6985" b="6985"/>
                            <wp:docPr id="378532081" name="Graphic 3785320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74014"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128823" cy="128823"/>
                                    </a:xfrm>
                                    <a:prstGeom prst="rect">
                                      <a:avLst/>
                                    </a:prstGeom>
                                  </pic:spPr>
                                </pic:pic>
                              </a:graphicData>
                            </a:graphic>
                          </wp:inline>
                        </w:drawing>
                      </w:r>
                    </w:p>
                    <w:p w14:paraId="5828E770" w14:textId="607AB6C1" w:rsidR="006446A5" w:rsidRDefault="007C7F0A" w:rsidP="006446A5">
                      <w:pPr>
                        <w:pStyle w:val="Header"/>
                        <w:spacing w:after="240"/>
                        <w:textAlignment w:val="baseline"/>
                        <w:rPr>
                          <w:rFonts w:cs="Arial"/>
                          <w:color w:val="FFFFFF" w:themeColor="background1"/>
                        </w:rPr>
                      </w:pPr>
                      <w:r>
                        <w:rPr>
                          <w:rFonts w:cs="Arial"/>
                          <w:color w:val="FFFFFF" w:themeColor="background1"/>
                        </w:rPr>
                        <w:t>Following</w:t>
                      </w:r>
                      <w:r w:rsidR="006446A5">
                        <w:rPr>
                          <w:rFonts w:cs="Arial"/>
                          <w:color w:val="FFFFFF" w:themeColor="background1"/>
                        </w:rPr>
                        <w:t xml:space="preserve"> the training, w</w:t>
                      </w:r>
                      <w:r w:rsidR="006446A5" w:rsidRPr="00495E79">
                        <w:rPr>
                          <w:rFonts w:cs="Arial"/>
                          <w:color w:val="FFFFFF" w:themeColor="background1"/>
                        </w:rPr>
                        <w:t xml:space="preserve">e </w:t>
                      </w:r>
                      <w:r w:rsidR="006446A5">
                        <w:rPr>
                          <w:rFonts w:cs="Arial"/>
                          <w:color w:val="FFFFFF" w:themeColor="background1"/>
                        </w:rPr>
                        <w:t>plan to h</w:t>
                      </w:r>
                      <w:r>
                        <w:rPr>
                          <w:rFonts w:cs="Arial"/>
                          <w:color w:val="FFFFFF" w:themeColor="background1"/>
                        </w:rPr>
                        <w:t>old</w:t>
                      </w:r>
                      <w:r w:rsidR="006446A5" w:rsidRPr="00495E79">
                        <w:rPr>
                          <w:rFonts w:cs="Arial"/>
                          <w:color w:val="FFFFFF" w:themeColor="background1"/>
                        </w:rPr>
                        <w:t xml:space="preserve"> discussions with the </w:t>
                      </w:r>
                      <w:r w:rsidR="006446A5">
                        <w:rPr>
                          <w:rFonts w:cs="Arial"/>
                          <w:color w:val="FFFFFF" w:themeColor="background1"/>
                        </w:rPr>
                        <w:t xml:space="preserve">Regional Development Planning Agency </w:t>
                      </w:r>
                      <w:r w:rsidR="006446A5" w:rsidRPr="00495E79">
                        <w:rPr>
                          <w:rFonts w:cs="Arial"/>
                          <w:color w:val="FFFFFF" w:themeColor="background1"/>
                        </w:rPr>
                        <w:t>and</w:t>
                      </w:r>
                      <w:r w:rsidR="006446A5">
                        <w:rPr>
                          <w:rFonts w:cs="Arial"/>
                          <w:color w:val="FFFFFF" w:themeColor="background1"/>
                        </w:rPr>
                        <w:t xml:space="preserve"> relevant</w:t>
                      </w:r>
                      <w:r w:rsidR="006446A5" w:rsidRPr="00495E79">
                        <w:rPr>
                          <w:rFonts w:cs="Arial"/>
                          <w:color w:val="FFFFFF" w:themeColor="background1"/>
                        </w:rPr>
                        <w:t xml:space="preserve"> </w:t>
                      </w:r>
                      <w:r w:rsidR="006446A5">
                        <w:rPr>
                          <w:rFonts w:cs="Arial"/>
                          <w:color w:val="FFFFFF" w:themeColor="background1"/>
                        </w:rPr>
                        <w:t>t</w:t>
                      </w:r>
                      <w:r w:rsidR="006446A5" w:rsidRPr="00495E79">
                        <w:rPr>
                          <w:rFonts w:cs="Arial"/>
                          <w:color w:val="FFFFFF" w:themeColor="background1"/>
                        </w:rPr>
                        <w:t>echnical</w:t>
                      </w:r>
                      <w:r w:rsidR="006446A5">
                        <w:rPr>
                          <w:rFonts w:cs="Arial"/>
                          <w:color w:val="FFFFFF" w:themeColor="background1"/>
                        </w:rPr>
                        <w:t xml:space="preserve"> offices</w:t>
                      </w:r>
                      <w:r w:rsidR="006446A5" w:rsidRPr="00495E79">
                        <w:rPr>
                          <w:rFonts w:cs="Arial"/>
                          <w:color w:val="FFFFFF" w:themeColor="background1"/>
                        </w:rPr>
                        <w:t xml:space="preserve"> </w:t>
                      </w:r>
                      <w:r w:rsidR="006446A5">
                        <w:rPr>
                          <w:rFonts w:cs="Arial"/>
                          <w:color w:val="FFFFFF" w:themeColor="background1"/>
                        </w:rPr>
                        <w:t xml:space="preserve">on how to implement the </w:t>
                      </w:r>
                      <w:r w:rsidR="006446A5" w:rsidRPr="00495E79">
                        <w:rPr>
                          <w:rFonts w:cs="Arial"/>
                          <w:color w:val="FFFFFF" w:themeColor="background1"/>
                        </w:rPr>
                        <w:t>market system</w:t>
                      </w:r>
                      <w:r>
                        <w:rPr>
                          <w:rFonts w:cs="Arial"/>
                          <w:color w:val="FFFFFF" w:themeColor="background1"/>
                        </w:rPr>
                        <w:t>s</w:t>
                      </w:r>
                      <w:r w:rsidR="006446A5">
                        <w:rPr>
                          <w:rFonts w:cs="Arial"/>
                          <w:color w:val="FFFFFF" w:themeColor="background1"/>
                        </w:rPr>
                        <w:t xml:space="preserve"> development</w:t>
                      </w:r>
                      <w:r w:rsidR="006446A5" w:rsidRPr="00495E79">
                        <w:rPr>
                          <w:rFonts w:cs="Arial"/>
                          <w:color w:val="FFFFFF" w:themeColor="background1"/>
                        </w:rPr>
                        <w:t xml:space="preserve"> approach </w:t>
                      </w:r>
                      <w:r>
                        <w:rPr>
                          <w:rFonts w:cs="Arial"/>
                          <w:color w:val="FFFFFF" w:themeColor="background1"/>
                        </w:rPr>
                        <w:t>in</w:t>
                      </w:r>
                      <w:r w:rsidR="006446A5" w:rsidRPr="00495E79">
                        <w:rPr>
                          <w:rFonts w:cs="Arial"/>
                          <w:color w:val="FFFFFF" w:themeColor="background1"/>
                        </w:rPr>
                        <w:t xml:space="preserve"> </w:t>
                      </w:r>
                      <w:r>
                        <w:rPr>
                          <w:rFonts w:cs="Arial"/>
                          <w:color w:val="FFFFFF" w:themeColor="background1"/>
                        </w:rPr>
                        <w:t>a</w:t>
                      </w:r>
                      <w:r w:rsidR="006446A5" w:rsidRPr="00495E79">
                        <w:rPr>
                          <w:rFonts w:cs="Arial"/>
                          <w:color w:val="FFFFFF" w:themeColor="background1"/>
                        </w:rPr>
                        <w:t xml:space="preserve"> regional </w:t>
                      </w:r>
                      <w:r w:rsidR="006446A5">
                        <w:rPr>
                          <w:rFonts w:cs="Arial"/>
                          <w:color w:val="FFFFFF" w:themeColor="background1"/>
                        </w:rPr>
                        <w:t>context</w:t>
                      </w:r>
                      <w:r>
                        <w:rPr>
                          <w:rFonts w:cs="Arial"/>
                          <w:color w:val="FFFFFF" w:themeColor="background1"/>
                        </w:rPr>
                        <w:t>.</w:t>
                      </w:r>
                    </w:p>
                    <w:p w14:paraId="34438CA1" w14:textId="77777777" w:rsidR="006446A5" w:rsidRPr="00E72EF3" w:rsidRDefault="006446A5" w:rsidP="006446A5">
                      <w:pPr>
                        <w:pStyle w:val="Header"/>
                        <w:spacing w:after="240"/>
                        <w:textAlignment w:val="baseline"/>
                        <w:rPr>
                          <w:rFonts w:cs="Arial"/>
                          <w:color w:val="FFFFFF" w:themeColor="background1"/>
                          <w:szCs w:val="20"/>
                        </w:rPr>
                      </w:pPr>
                      <w:r w:rsidRPr="0058620F">
                        <w:rPr>
                          <w:b/>
                          <w:bCs/>
                        </w:rPr>
                        <w:t>Jeffry Jacob Sahuburua</w:t>
                      </w:r>
                      <w:r w:rsidRPr="00115014">
                        <w:rPr>
                          <w:rFonts w:cs="Arial"/>
                          <w:color w:val="FFFFFF" w:themeColor="background1"/>
                          <w:szCs w:val="20"/>
                        </w:rPr>
                        <w:t xml:space="preserve">, </w:t>
                      </w:r>
                      <w:r>
                        <w:rPr>
                          <w:rFonts w:cs="Arial"/>
                          <w:color w:val="FFFFFF" w:themeColor="background1"/>
                          <w:szCs w:val="20"/>
                        </w:rPr>
                        <w:t>Office for Community Development of Manokwari, West Papua</w:t>
                      </w:r>
                    </w:p>
                  </w:txbxContent>
                </v:textbox>
              </v:shape>
            </w:pict>
          </mc:Fallback>
        </mc:AlternateContent>
      </w:r>
      <w:r w:rsidR="00696EC4" w:rsidRPr="00C64064">
        <w:rPr>
          <w:rFonts w:asciiTheme="majorHAnsi" w:hAnsiTheme="majorHAnsi" w:cstheme="majorHAnsi"/>
          <w:noProof/>
        </w:rPr>
        <mc:AlternateContent>
          <mc:Choice Requires="wps">
            <w:drawing>
              <wp:anchor distT="0" distB="0" distL="114300" distR="114300" simplePos="0" relativeHeight="251658265" behindDoc="0" locked="0" layoutInCell="1" allowOverlap="1" wp14:anchorId="6C19AE90" wp14:editId="44F2DF32">
                <wp:simplePos x="0" y="0"/>
                <wp:positionH relativeFrom="column">
                  <wp:posOffset>52680</wp:posOffset>
                </wp:positionH>
                <wp:positionV relativeFrom="paragraph">
                  <wp:posOffset>93116</wp:posOffset>
                </wp:positionV>
                <wp:extent cx="1854835" cy="3196590"/>
                <wp:effectExtent l="0" t="0" r="0" b="3810"/>
                <wp:wrapNone/>
                <wp:docPr id="842865297"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54835" cy="3196590"/>
                        </a:xfrm>
                        <a:prstGeom prst="rect">
                          <a:avLst/>
                        </a:prstGeom>
                        <a:solidFill>
                          <a:srgbClr val="252C66"/>
                        </a:solidFill>
                        <a:ln w="6350">
                          <a:noFill/>
                        </a:ln>
                      </wps:spPr>
                      <wps:txbx>
                        <w:txbxContent>
                          <w:p w14:paraId="5BB49D56" w14:textId="77777777" w:rsidR="006446A5" w:rsidRPr="00E72EF3" w:rsidRDefault="006446A5" w:rsidP="006446A5">
                            <w:pPr>
                              <w:pStyle w:val="Header"/>
                              <w:spacing w:after="200"/>
                              <w:textAlignment w:val="baseline"/>
                              <w:rPr>
                                <w:rStyle w:val="Hyperlink"/>
                                <w:rFonts w:cs="Arial"/>
                                <w:i/>
                                <w:iCs/>
                                <w:color w:val="FFFFFF" w:themeColor="background1"/>
                                <w:sz w:val="21"/>
                                <w:szCs w:val="21"/>
                                <w:lang w:val="en-US"/>
                              </w:rPr>
                            </w:pPr>
                            <w:r w:rsidRPr="00E72EF3">
                              <w:rPr>
                                <w:rFonts w:cs="Arial"/>
                                <w:i/>
                                <w:iCs/>
                                <w:noProof/>
                                <w:color w:val="FFFFFF" w:themeColor="background1"/>
                                <w:sz w:val="21"/>
                                <w:szCs w:val="21"/>
                                <w:lang w:val="en-US"/>
                              </w:rPr>
                              <w:drawing>
                                <wp:inline distT="0" distB="0" distL="0" distR="0" wp14:anchorId="0279E270" wp14:editId="18F09DBC">
                                  <wp:extent cx="126853" cy="126853"/>
                                  <wp:effectExtent l="0" t="0" r="6985" b="6985"/>
                                  <wp:docPr id="1611328106" name="Graphic 1611328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74014"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128823" cy="128823"/>
                                          </a:xfrm>
                                          <a:prstGeom prst="rect">
                                            <a:avLst/>
                                          </a:prstGeom>
                                        </pic:spPr>
                                      </pic:pic>
                                    </a:graphicData>
                                  </a:graphic>
                                </wp:inline>
                              </w:drawing>
                            </w:r>
                          </w:p>
                          <w:p w14:paraId="3B04CC27" w14:textId="67323215" w:rsidR="006446A5" w:rsidRPr="00E72EF3" w:rsidRDefault="006446A5" w:rsidP="006446A5">
                            <w:pPr>
                              <w:pStyle w:val="Header"/>
                              <w:spacing w:after="240"/>
                              <w:textAlignment w:val="baseline"/>
                              <w:rPr>
                                <w:rFonts w:cs="Arial"/>
                                <w:color w:val="FFFFFF" w:themeColor="background1"/>
                              </w:rPr>
                            </w:pPr>
                            <w:r>
                              <w:rPr>
                                <w:rFonts w:cs="Arial"/>
                                <w:color w:val="FFFFFF" w:themeColor="background1"/>
                              </w:rPr>
                              <w:t>T</w:t>
                            </w:r>
                            <w:r w:rsidRPr="004C55D3">
                              <w:rPr>
                                <w:rFonts w:cs="Arial"/>
                                <w:color w:val="FFFFFF" w:themeColor="background1"/>
                              </w:rPr>
                              <w:t>he market system</w:t>
                            </w:r>
                            <w:r w:rsidR="007C7F0A">
                              <w:rPr>
                                <w:rFonts w:cs="Arial"/>
                                <w:color w:val="FFFFFF" w:themeColor="background1"/>
                              </w:rPr>
                              <w:t>s</w:t>
                            </w:r>
                            <w:r w:rsidRPr="004C55D3">
                              <w:rPr>
                                <w:rFonts w:cs="Arial"/>
                                <w:color w:val="FFFFFF" w:themeColor="background1"/>
                              </w:rPr>
                              <w:t xml:space="preserve"> development approach </w:t>
                            </w:r>
                            <w:r>
                              <w:rPr>
                                <w:rFonts w:cs="Arial"/>
                                <w:color w:val="FFFFFF" w:themeColor="background1"/>
                              </w:rPr>
                              <w:t xml:space="preserve">that we learnt </w:t>
                            </w:r>
                            <w:r w:rsidR="00AE1C80">
                              <w:rPr>
                                <w:rFonts w:cs="Arial"/>
                                <w:color w:val="FFFFFF" w:themeColor="background1"/>
                              </w:rPr>
                              <w:t xml:space="preserve">about </w:t>
                            </w:r>
                            <w:r w:rsidR="007C7F0A">
                              <w:rPr>
                                <w:rFonts w:cs="Arial"/>
                                <w:color w:val="FFFFFF" w:themeColor="background1"/>
                              </w:rPr>
                              <w:t>in</w:t>
                            </w:r>
                            <w:r>
                              <w:rPr>
                                <w:rFonts w:cs="Arial"/>
                                <w:color w:val="FFFFFF" w:themeColor="background1"/>
                              </w:rPr>
                              <w:t xml:space="preserve"> the training </w:t>
                            </w:r>
                            <w:r w:rsidR="007C7F0A">
                              <w:rPr>
                                <w:rFonts w:cs="Arial"/>
                                <w:color w:val="FFFFFF" w:themeColor="background1"/>
                              </w:rPr>
                              <w:t>will</w:t>
                            </w:r>
                            <w:r>
                              <w:rPr>
                                <w:rFonts w:cs="Arial"/>
                                <w:color w:val="FFFFFF" w:themeColor="background1"/>
                              </w:rPr>
                              <w:t xml:space="preserve"> enrich </w:t>
                            </w:r>
                            <w:r w:rsidRPr="004C55D3">
                              <w:rPr>
                                <w:rFonts w:cs="Arial"/>
                                <w:color w:val="FFFFFF" w:themeColor="background1"/>
                              </w:rPr>
                              <w:t xml:space="preserve">the analysis of </w:t>
                            </w:r>
                            <w:r>
                              <w:rPr>
                                <w:rFonts w:cs="Arial"/>
                                <w:color w:val="FFFFFF" w:themeColor="background1"/>
                              </w:rPr>
                              <w:t xml:space="preserve">our </w:t>
                            </w:r>
                            <w:r w:rsidRPr="004C55D3">
                              <w:rPr>
                                <w:rFonts w:cs="Arial"/>
                                <w:color w:val="FFFFFF" w:themeColor="background1"/>
                              </w:rPr>
                              <w:t xml:space="preserve">main </w:t>
                            </w:r>
                            <w:r>
                              <w:rPr>
                                <w:rFonts w:cs="Arial"/>
                                <w:color w:val="FFFFFF" w:themeColor="background1"/>
                              </w:rPr>
                              <w:t xml:space="preserve">responsibilities </w:t>
                            </w:r>
                            <w:r w:rsidRPr="004C55D3">
                              <w:rPr>
                                <w:rFonts w:cs="Arial"/>
                                <w:color w:val="FFFFFF" w:themeColor="background1"/>
                              </w:rPr>
                              <w:t>and functions at the policy-making level</w:t>
                            </w:r>
                            <w:r w:rsidR="007C7F0A">
                              <w:rPr>
                                <w:rFonts w:cs="Arial"/>
                                <w:color w:val="FFFFFF" w:themeColor="background1"/>
                              </w:rPr>
                              <w:t>.</w:t>
                            </w:r>
                          </w:p>
                          <w:p w14:paraId="4218BAD3" w14:textId="40147634" w:rsidR="006446A5" w:rsidRPr="00E72EF3" w:rsidRDefault="006446A5" w:rsidP="006446A5">
                            <w:pPr>
                              <w:pStyle w:val="Header"/>
                              <w:spacing w:after="200"/>
                              <w:textAlignment w:val="baseline"/>
                              <w:rPr>
                                <w:rFonts w:cs="Arial"/>
                                <w:color w:val="FFFFFF" w:themeColor="background1"/>
                                <w:szCs w:val="20"/>
                              </w:rPr>
                            </w:pPr>
                            <w:r>
                              <w:rPr>
                                <w:rFonts w:cs="Arial"/>
                                <w:b/>
                                <w:bCs/>
                                <w:color w:val="FFFFFF" w:themeColor="background1"/>
                                <w:szCs w:val="20"/>
                              </w:rPr>
                              <w:t>Agung Saras Sri Raharjo</w:t>
                            </w:r>
                            <w:r w:rsidRPr="00115014">
                              <w:rPr>
                                <w:rFonts w:cs="Arial"/>
                                <w:color w:val="FFFFFF" w:themeColor="background1"/>
                                <w:szCs w:val="20"/>
                              </w:rPr>
                              <w:t xml:space="preserve">, </w:t>
                            </w:r>
                            <w:r>
                              <w:rPr>
                                <w:rFonts w:cs="Arial"/>
                                <w:color w:val="FFFFFF" w:themeColor="background1"/>
                                <w:szCs w:val="20"/>
                              </w:rPr>
                              <w:t xml:space="preserve">Center for Social Economics and Agricultural Policy, </w:t>
                            </w:r>
                            <w:r w:rsidR="00AC06F3">
                              <w:rPr>
                                <w:rFonts w:cs="Arial"/>
                                <w:color w:val="FFFFFF" w:themeColor="background1"/>
                                <w:szCs w:val="20"/>
                              </w:rPr>
                              <w:t>Indonesian Ministry of Agriculture</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9AE90" id="_x0000_s1062" type="#_x0000_t202" alt="&quot;&quot;" style="position:absolute;margin-left:4.15pt;margin-top:7.35pt;width:146.05pt;height:251.7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" fillcolor="#252c66" stroked="f" strokeweight=".5pt">
                <v:textbox inset="5mm,5mm,5mm,5mm">
                  <w:txbxContent>
                    <w:p w14:paraId="5BB49D56" w14:textId="77777777" w:rsidR="006446A5" w:rsidRPr="00E72EF3" w:rsidRDefault="006446A5" w:rsidP="006446A5">
                      <w:pPr>
                        <w:pStyle w:val="Header"/>
                        <w:spacing w:after="200"/>
                        <w:textAlignment w:val="baseline"/>
                        <w:rPr>
                          <w:rStyle w:val="Hyperlink"/>
                          <w:rFonts w:cs="Arial"/>
                          <w:i/>
                          <w:iCs/>
                          <w:color w:val="FFFFFF" w:themeColor="background1"/>
                          <w:sz w:val="21"/>
                          <w:szCs w:val="21"/>
                          <w:lang w:val="en-US"/>
                        </w:rPr>
                      </w:pPr>
                      <w:r w:rsidRPr="00E72EF3">
                        <w:rPr>
                          <w:rFonts w:cs="Arial"/>
                          <w:i/>
                          <w:iCs/>
                          <w:noProof/>
                          <w:color w:val="FFFFFF" w:themeColor="background1"/>
                          <w:sz w:val="21"/>
                          <w:szCs w:val="21"/>
                          <w:lang w:val="en-US"/>
                        </w:rPr>
                        <w:drawing>
                          <wp:inline distT="0" distB="0" distL="0" distR="0" wp14:anchorId="0279E270" wp14:editId="18F09DBC">
                            <wp:extent cx="126853" cy="126853"/>
                            <wp:effectExtent l="0" t="0" r="6985" b="6985"/>
                            <wp:docPr id="1611328106" name="Graphic 1611328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74014"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128823" cy="128823"/>
                                    </a:xfrm>
                                    <a:prstGeom prst="rect">
                                      <a:avLst/>
                                    </a:prstGeom>
                                  </pic:spPr>
                                </pic:pic>
                              </a:graphicData>
                            </a:graphic>
                          </wp:inline>
                        </w:drawing>
                      </w:r>
                    </w:p>
                    <w:p w14:paraId="3B04CC27" w14:textId="67323215" w:rsidR="006446A5" w:rsidRPr="00E72EF3" w:rsidRDefault="006446A5" w:rsidP="006446A5">
                      <w:pPr>
                        <w:pStyle w:val="Header"/>
                        <w:spacing w:after="240"/>
                        <w:textAlignment w:val="baseline"/>
                        <w:rPr>
                          <w:rFonts w:cs="Arial"/>
                          <w:color w:val="FFFFFF" w:themeColor="background1"/>
                        </w:rPr>
                      </w:pPr>
                      <w:r>
                        <w:rPr>
                          <w:rFonts w:cs="Arial"/>
                          <w:color w:val="FFFFFF" w:themeColor="background1"/>
                        </w:rPr>
                        <w:t>T</w:t>
                      </w:r>
                      <w:r w:rsidRPr="004C55D3">
                        <w:rPr>
                          <w:rFonts w:cs="Arial"/>
                          <w:color w:val="FFFFFF" w:themeColor="background1"/>
                        </w:rPr>
                        <w:t>he market system</w:t>
                      </w:r>
                      <w:r w:rsidR="007C7F0A">
                        <w:rPr>
                          <w:rFonts w:cs="Arial"/>
                          <w:color w:val="FFFFFF" w:themeColor="background1"/>
                        </w:rPr>
                        <w:t>s</w:t>
                      </w:r>
                      <w:r w:rsidRPr="004C55D3">
                        <w:rPr>
                          <w:rFonts w:cs="Arial"/>
                          <w:color w:val="FFFFFF" w:themeColor="background1"/>
                        </w:rPr>
                        <w:t xml:space="preserve"> development approach </w:t>
                      </w:r>
                      <w:r>
                        <w:rPr>
                          <w:rFonts w:cs="Arial"/>
                          <w:color w:val="FFFFFF" w:themeColor="background1"/>
                        </w:rPr>
                        <w:t xml:space="preserve">that we learnt </w:t>
                      </w:r>
                      <w:r w:rsidR="00AE1C80">
                        <w:rPr>
                          <w:rFonts w:cs="Arial"/>
                          <w:color w:val="FFFFFF" w:themeColor="background1"/>
                        </w:rPr>
                        <w:t xml:space="preserve">about </w:t>
                      </w:r>
                      <w:r w:rsidR="007C7F0A">
                        <w:rPr>
                          <w:rFonts w:cs="Arial"/>
                          <w:color w:val="FFFFFF" w:themeColor="background1"/>
                        </w:rPr>
                        <w:t>in</w:t>
                      </w:r>
                      <w:r>
                        <w:rPr>
                          <w:rFonts w:cs="Arial"/>
                          <w:color w:val="FFFFFF" w:themeColor="background1"/>
                        </w:rPr>
                        <w:t xml:space="preserve"> the training </w:t>
                      </w:r>
                      <w:r w:rsidR="007C7F0A">
                        <w:rPr>
                          <w:rFonts w:cs="Arial"/>
                          <w:color w:val="FFFFFF" w:themeColor="background1"/>
                        </w:rPr>
                        <w:t>will</w:t>
                      </w:r>
                      <w:r>
                        <w:rPr>
                          <w:rFonts w:cs="Arial"/>
                          <w:color w:val="FFFFFF" w:themeColor="background1"/>
                        </w:rPr>
                        <w:t xml:space="preserve"> enrich </w:t>
                      </w:r>
                      <w:r w:rsidRPr="004C55D3">
                        <w:rPr>
                          <w:rFonts w:cs="Arial"/>
                          <w:color w:val="FFFFFF" w:themeColor="background1"/>
                        </w:rPr>
                        <w:t xml:space="preserve">the analysis of </w:t>
                      </w:r>
                      <w:r>
                        <w:rPr>
                          <w:rFonts w:cs="Arial"/>
                          <w:color w:val="FFFFFF" w:themeColor="background1"/>
                        </w:rPr>
                        <w:t xml:space="preserve">our </w:t>
                      </w:r>
                      <w:r w:rsidRPr="004C55D3">
                        <w:rPr>
                          <w:rFonts w:cs="Arial"/>
                          <w:color w:val="FFFFFF" w:themeColor="background1"/>
                        </w:rPr>
                        <w:t xml:space="preserve">main </w:t>
                      </w:r>
                      <w:r>
                        <w:rPr>
                          <w:rFonts w:cs="Arial"/>
                          <w:color w:val="FFFFFF" w:themeColor="background1"/>
                        </w:rPr>
                        <w:t xml:space="preserve">responsibilities </w:t>
                      </w:r>
                      <w:r w:rsidRPr="004C55D3">
                        <w:rPr>
                          <w:rFonts w:cs="Arial"/>
                          <w:color w:val="FFFFFF" w:themeColor="background1"/>
                        </w:rPr>
                        <w:t>and functions at the policy-making level</w:t>
                      </w:r>
                      <w:r w:rsidR="007C7F0A">
                        <w:rPr>
                          <w:rFonts w:cs="Arial"/>
                          <w:color w:val="FFFFFF" w:themeColor="background1"/>
                        </w:rPr>
                        <w:t>.</w:t>
                      </w:r>
                    </w:p>
                    <w:p w14:paraId="4218BAD3" w14:textId="40147634" w:rsidR="006446A5" w:rsidRPr="00E72EF3" w:rsidRDefault="006446A5" w:rsidP="006446A5">
                      <w:pPr>
                        <w:pStyle w:val="Header"/>
                        <w:spacing w:after="200"/>
                        <w:textAlignment w:val="baseline"/>
                        <w:rPr>
                          <w:rFonts w:cs="Arial"/>
                          <w:color w:val="FFFFFF" w:themeColor="background1"/>
                          <w:szCs w:val="20"/>
                        </w:rPr>
                      </w:pPr>
                      <w:r>
                        <w:rPr>
                          <w:rFonts w:cs="Arial"/>
                          <w:b/>
                          <w:bCs/>
                          <w:color w:val="FFFFFF" w:themeColor="background1"/>
                          <w:szCs w:val="20"/>
                        </w:rPr>
                        <w:t>Agung Saras Sri Raharjo</w:t>
                      </w:r>
                      <w:r w:rsidRPr="00115014">
                        <w:rPr>
                          <w:rFonts w:cs="Arial"/>
                          <w:color w:val="FFFFFF" w:themeColor="background1"/>
                          <w:szCs w:val="20"/>
                        </w:rPr>
                        <w:t xml:space="preserve">, </w:t>
                      </w:r>
                      <w:r>
                        <w:rPr>
                          <w:rFonts w:cs="Arial"/>
                          <w:color w:val="FFFFFF" w:themeColor="background1"/>
                          <w:szCs w:val="20"/>
                        </w:rPr>
                        <w:t xml:space="preserve">Center for Social Economics and Agricultural Policy, </w:t>
                      </w:r>
                      <w:r w:rsidR="00AC06F3">
                        <w:rPr>
                          <w:rFonts w:cs="Arial"/>
                          <w:color w:val="FFFFFF" w:themeColor="background1"/>
                          <w:szCs w:val="20"/>
                        </w:rPr>
                        <w:t>Indonesian Ministry of Agriculture</w:t>
                      </w:r>
                    </w:p>
                  </w:txbxContent>
                </v:textbox>
              </v:shape>
            </w:pict>
          </mc:Fallback>
        </mc:AlternateContent>
      </w:r>
    </w:p>
    <w:p w14:paraId="522B42FF" w14:textId="02AEAB27" w:rsidR="006446A5" w:rsidRPr="00C64064" w:rsidRDefault="006446A5" w:rsidP="00E0014D">
      <w:pPr>
        <w:spacing w:line="276" w:lineRule="auto"/>
        <w:ind w:right="-1"/>
        <w:rPr>
          <w:rFonts w:asciiTheme="majorHAnsi" w:hAnsiTheme="majorHAnsi" w:cstheme="majorHAnsi"/>
          <w:b/>
          <w:bCs/>
        </w:rPr>
      </w:pPr>
    </w:p>
    <w:p w14:paraId="60B6205A" w14:textId="4D72F9D5" w:rsidR="006446A5" w:rsidRPr="00C64064" w:rsidRDefault="006446A5" w:rsidP="00E0014D">
      <w:pPr>
        <w:spacing w:line="276" w:lineRule="auto"/>
        <w:ind w:right="-1"/>
        <w:rPr>
          <w:rFonts w:asciiTheme="majorHAnsi" w:hAnsiTheme="majorHAnsi" w:cstheme="majorHAnsi"/>
          <w:b/>
          <w:bCs/>
        </w:rPr>
      </w:pPr>
    </w:p>
    <w:p w14:paraId="4604163B" w14:textId="77777777" w:rsidR="006446A5" w:rsidRPr="00C64064" w:rsidRDefault="006446A5" w:rsidP="00E0014D">
      <w:pPr>
        <w:spacing w:line="276" w:lineRule="auto"/>
        <w:ind w:right="-1"/>
        <w:rPr>
          <w:rFonts w:asciiTheme="majorHAnsi" w:hAnsiTheme="majorHAnsi" w:cstheme="majorHAnsi"/>
          <w:b/>
          <w:bCs/>
        </w:rPr>
      </w:pPr>
    </w:p>
    <w:p w14:paraId="25D5A0BD" w14:textId="3DCEC401" w:rsidR="006446A5" w:rsidRPr="00C64064" w:rsidRDefault="006446A5" w:rsidP="00E0014D">
      <w:pPr>
        <w:spacing w:line="276" w:lineRule="auto"/>
        <w:ind w:right="-1"/>
        <w:rPr>
          <w:rFonts w:asciiTheme="majorHAnsi" w:hAnsiTheme="majorHAnsi" w:cstheme="majorHAnsi"/>
          <w:b/>
          <w:bCs/>
        </w:rPr>
      </w:pPr>
    </w:p>
    <w:p w14:paraId="0F843B32" w14:textId="256A8E37" w:rsidR="006446A5" w:rsidRPr="00C64064" w:rsidRDefault="006446A5" w:rsidP="00E0014D">
      <w:pPr>
        <w:spacing w:line="276" w:lineRule="auto"/>
        <w:ind w:right="-1"/>
        <w:rPr>
          <w:rFonts w:asciiTheme="majorHAnsi" w:hAnsiTheme="majorHAnsi" w:cstheme="majorHAnsi"/>
          <w:b/>
          <w:bCs/>
        </w:rPr>
      </w:pPr>
    </w:p>
    <w:p w14:paraId="5EDF9A0B" w14:textId="77777777" w:rsidR="006446A5" w:rsidRPr="00C64064" w:rsidRDefault="006446A5" w:rsidP="00E0014D">
      <w:pPr>
        <w:spacing w:line="276" w:lineRule="auto"/>
        <w:ind w:right="-1"/>
        <w:rPr>
          <w:rFonts w:asciiTheme="majorHAnsi" w:hAnsiTheme="majorHAnsi" w:cstheme="majorHAnsi"/>
          <w:b/>
          <w:bCs/>
        </w:rPr>
      </w:pPr>
    </w:p>
    <w:p w14:paraId="432590A1" w14:textId="77777777" w:rsidR="006446A5" w:rsidRPr="00C64064" w:rsidRDefault="006446A5" w:rsidP="00E0014D">
      <w:pPr>
        <w:spacing w:line="276" w:lineRule="auto"/>
        <w:ind w:right="-1"/>
        <w:rPr>
          <w:rFonts w:asciiTheme="majorHAnsi" w:hAnsiTheme="majorHAnsi" w:cstheme="majorHAnsi"/>
          <w:b/>
          <w:bCs/>
        </w:rPr>
      </w:pPr>
    </w:p>
    <w:p w14:paraId="132A5B44" w14:textId="77777777" w:rsidR="006446A5" w:rsidRPr="00C64064" w:rsidRDefault="006446A5" w:rsidP="00E0014D">
      <w:pPr>
        <w:spacing w:line="276" w:lineRule="auto"/>
        <w:ind w:right="-1"/>
        <w:rPr>
          <w:rFonts w:asciiTheme="majorHAnsi" w:hAnsiTheme="majorHAnsi" w:cstheme="majorHAnsi"/>
          <w:b/>
          <w:bCs/>
        </w:rPr>
      </w:pPr>
    </w:p>
    <w:p w14:paraId="2626F916" w14:textId="5020978E" w:rsidR="006446A5" w:rsidRPr="00C64064" w:rsidRDefault="006446A5" w:rsidP="00E0014D">
      <w:pPr>
        <w:spacing w:line="276" w:lineRule="auto"/>
        <w:ind w:right="-1"/>
        <w:rPr>
          <w:rFonts w:asciiTheme="majorHAnsi" w:hAnsiTheme="majorHAnsi" w:cstheme="majorHAnsi"/>
          <w:b/>
          <w:bCs/>
        </w:rPr>
      </w:pPr>
    </w:p>
    <w:p w14:paraId="0D62F742" w14:textId="77777777" w:rsidR="00E0014D" w:rsidRDefault="00E0014D" w:rsidP="00E0014D">
      <w:pPr>
        <w:spacing w:line="276" w:lineRule="auto"/>
        <w:ind w:right="-1"/>
        <w:rPr>
          <w:rFonts w:asciiTheme="majorHAnsi" w:hAnsiTheme="majorHAnsi" w:cstheme="majorHAnsi"/>
          <w:b/>
          <w:bCs/>
        </w:rPr>
      </w:pPr>
    </w:p>
    <w:p w14:paraId="56BE62DF" w14:textId="77777777" w:rsidR="00696EC4" w:rsidRPr="00C64064" w:rsidRDefault="00696EC4" w:rsidP="00E0014D">
      <w:pPr>
        <w:spacing w:line="276" w:lineRule="auto"/>
        <w:ind w:right="-1"/>
        <w:rPr>
          <w:rFonts w:asciiTheme="majorHAnsi" w:hAnsiTheme="majorHAnsi" w:cstheme="majorHAnsi"/>
          <w:b/>
          <w:bCs/>
        </w:rPr>
      </w:pPr>
    </w:p>
    <w:p w14:paraId="618190EF" w14:textId="6810307A" w:rsidR="00B71CC1" w:rsidRPr="00C64064" w:rsidRDefault="00E0014D" w:rsidP="00E0014D">
      <w:pPr>
        <w:pBdr>
          <w:top w:val="single" w:sz="4" w:space="1" w:color="auto"/>
          <w:bottom w:val="single" w:sz="4" w:space="1" w:color="auto"/>
        </w:pBdr>
        <w:spacing w:line="276" w:lineRule="auto"/>
        <w:ind w:right="-1"/>
        <w:rPr>
          <w:rFonts w:asciiTheme="majorHAnsi" w:hAnsiTheme="majorHAnsi" w:cstheme="majorHAnsi"/>
          <w:b/>
          <w:bCs/>
          <w:color w:val="002060"/>
        </w:rPr>
      </w:pPr>
      <w:r w:rsidRPr="00C64064">
        <w:rPr>
          <w:rFonts w:asciiTheme="majorHAnsi" w:hAnsiTheme="majorHAnsi" w:cstheme="majorHAnsi"/>
          <w:b/>
          <w:bCs/>
        </w:rPr>
        <w:br/>
      </w:r>
      <w:r w:rsidR="00B71CC1" w:rsidRPr="00C64064">
        <w:rPr>
          <w:rFonts w:asciiTheme="majorHAnsi" w:hAnsiTheme="majorHAnsi" w:cstheme="majorHAnsi"/>
          <w:b/>
          <w:bCs/>
          <w:color w:val="002060"/>
        </w:rPr>
        <w:t xml:space="preserve">Semester Highlight </w:t>
      </w:r>
    </w:p>
    <w:p w14:paraId="42A20AB3" w14:textId="7C8A0F3D" w:rsidR="00B71CC1" w:rsidRPr="00C64064" w:rsidRDefault="000B218A" w:rsidP="00E0014D">
      <w:pPr>
        <w:pBdr>
          <w:top w:val="single" w:sz="4" w:space="1" w:color="auto"/>
          <w:bottom w:val="single" w:sz="4" w:space="1" w:color="auto"/>
        </w:pBdr>
        <w:spacing w:line="276" w:lineRule="auto"/>
        <w:ind w:right="-1"/>
        <w:rPr>
          <w:rFonts w:asciiTheme="majorHAnsi" w:hAnsiTheme="majorHAnsi" w:cstheme="majorHAnsi"/>
          <w:b/>
          <w:bCs/>
          <w:color w:val="002060"/>
        </w:rPr>
      </w:pPr>
      <w:r w:rsidRPr="00C64064">
        <w:rPr>
          <w:rFonts w:asciiTheme="majorHAnsi" w:hAnsiTheme="majorHAnsi" w:cstheme="majorHAnsi"/>
          <w:b/>
          <w:bCs/>
          <w:color w:val="002060"/>
        </w:rPr>
        <w:t xml:space="preserve">2025 – 2029 </w:t>
      </w:r>
      <w:r w:rsidR="00B71CC1" w:rsidRPr="00C64064">
        <w:rPr>
          <w:rFonts w:asciiTheme="majorHAnsi" w:hAnsiTheme="majorHAnsi" w:cstheme="majorHAnsi"/>
          <w:b/>
          <w:bCs/>
          <w:color w:val="002060"/>
        </w:rPr>
        <w:t>NTT RPJMD discussions, Kupang, 16 May 2024</w:t>
      </w:r>
    </w:p>
    <w:p w14:paraId="03AD21F7" w14:textId="46317CFD" w:rsidR="00E0014D" w:rsidRPr="00C64064" w:rsidRDefault="00B71CC1" w:rsidP="00E0014D">
      <w:pPr>
        <w:pBdr>
          <w:top w:val="single" w:sz="4" w:space="1" w:color="auto"/>
          <w:bottom w:val="single" w:sz="4" w:space="1" w:color="auto"/>
        </w:pBdr>
        <w:spacing w:line="276" w:lineRule="auto"/>
        <w:ind w:right="-1"/>
        <w:rPr>
          <w:rFonts w:asciiTheme="majorHAnsi" w:hAnsiTheme="majorHAnsi" w:cstheme="majorHAnsi"/>
          <w:i/>
          <w:iCs/>
        </w:rPr>
      </w:pPr>
      <w:r w:rsidRPr="00C64064">
        <w:rPr>
          <w:rFonts w:asciiTheme="majorHAnsi" w:hAnsiTheme="majorHAnsi" w:cstheme="majorHAnsi"/>
          <w:i/>
          <w:iCs/>
          <w:color w:val="002060"/>
        </w:rPr>
        <w:t xml:space="preserve">PRISMA is supporting the NTT </w:t>
      </w:r>
      <w:r w:rsidR="000B218A" w:rsidRPr="00C64064">
        <w:rPr>
          <w:rFonts w:asciiTheme="majorHAnsi" w:hAnsiTheme="majorHAnsi" w:cstheme="majorHAnsi"/>
          <w:i/>
          <w:iCs/>
          <w:color w:val="002060"/>
        </w:rPr>
        <w:t>g</w:t>
      </w:r>
      <w:r w:rsidRPr="00C64064">
        <w:rPr>
          <w:rFonts w:asciiTheme="majorHAnsi" w:hAnsiTheme="majorHAnsi" w:cstheme="majorHAnsi"/>
          <w:i/>
          <w:iCs/>
          <w:color w:val="002060"/>
        </w:rPr>
        <w:t xml:space="preserve">overnment to develop a </w:t>
      </w:r>
      <w:r w:rsidR="000B218A" w:rsidRPr="00C64064">
        <w:rPr>
          <w:rFonts w:asciiTheme="majorHAnsi" w:hAnsiTheme="majorHAnsi" w:cstheme="majorHAnsi"/>
          <w:i/>
          <w:iCs/>
          <w:color w:val="002060"/>
        </w:rPr>
        <w:t>b</w:t>
      </w:r>
      <w:r w:rsidRPr="00C64064">
        <w:rPr>
          <w:rFonts w:asciiTheme="majorHAnsi" w:hAnsiTheme="majorHAnsi" w:cstheme="majorHAnsi"/>
          <w:i/>
          <w:iCs/>
          <w:color w:val="002060"/>
        </w:rPr>
        <w:t xml:space="preserve">ackground </w:t>
      </w:r>
      <w:r w:rsidR="000B218A" w:rsidRPr="00C64064">
        <w:rPr>
          <w:rFonts w:asciiTheme="majorHAnsi" w:hAnsiTheme="majorHAnsi" w:cstheme="majorHAnsi"/>
          <w:i/>
          <w:iCs/>
          <w:color w:val="002060"/>
        </w:rPr>
        <w:t>s</w:t>
      </w:r>
      <w:r w:rsidRPr="00C64064">
        <w:rPr>
          <w:rFonts w:asciiTheme="majorHAnsi" w:hAnsiTheme="majorHAnsi" w:cstheme="majorHAnsi"/>
          <w:i/>
          <w:iCs/>
          <w:color w:val="002060"/>
        </w:rPr>
        <w:t xml:space="preserve">tudy on </w:t>
      </w:r>
      <w:r w:rsidR="000B218A" w:rsidRPr="00C64064">
        <w:rPr>
          <w:rFonts w:asciiTheme="majorHAnsi" w:hAnsiTheme="majorHAnsi" w:cstheme="majorHAnsi"/>
          <w:i/>
          <w:iCs/>
          <w:color w:val="002060"/>
        </w:rPr>
        <w:t>the a</w:t>
      </w:r>
      <w:r w:rsidRPr="00C64064">
        <w:rPr>
          <w:rFonts w:asciiTheme="majorHAnsi" w:hAnsiTheme="majorHAnsi" w:cstheme="majorHAnsi"/>
          <w:i/>
          <w:iCs/>
          <w:color w:val="002060"/>
        </w:rPr>
        <w:t xml:space="preserve">gricultural </w:t>
      </w:r>
      <w:r w:rsidR="000B218A" w:rsidRPr="00C64064">
        <w:rPr>
          <w:rFonts w:asciiTheme="majorHAnsi" w:hAnsiTheme="majorHAnsi" w:cstheme="majorHAnsi"/>
          <w:i/>
          <w:iCs/>
          <w:color w:val="002060"/>
        </w:rPr>
        <w:t>s</w:t>
      </w:r>
      <w:r w:rsidRPr="00C64064">
        <w:rPr>
          <w:rFonts w:asciiTheme="majorHAnsi" w:hAnsiTheme="majorHAnsi" w:cstheme="majorHAnsi"/>
          <w:i/>
          <w:iCs/>
          <w:color w:val="002060"/>
        </w:rPr>
        <w:t xml:space="preserve">ector to inform its upcoming RPJMD policy planning process. PRISMA is supporting an evidence-based approach to policymaking with </w:t>
      </w:r>
      <w:r w:rsidR="000B218A" w:rsidRPr="00C64064">
        <w:rPr>
          <w:rFonts w:asciiTheme="majorHAnsi" w:hAnsiTheme="majorHAnsi" w:cstheme="majorHAnsi"/>
          <w:i/>
          <w:iCs/>
          <w:color w:val="002060"/>
        </w:rPr>
        <w:t>FGDs</w:t>
      </w:r>
      <w:r w:rsidRPr="00C64064">
        <w:rPr>
          <w:rFonts w:asciiTheme="majorHAnsi" w:hAnsiTheme="majorHAnsi" w:cstheme="majorHAnsi"/>
          <w:i/>
          <w:iCs/>
          <w:color w:val="002060"/>
        </w:rPr>
        <w:t xml:space="preserve"> and other evidence and data gathering activities</w:t>
      </w:r>
      <w:r w:rsidR="00A40E65" w:rsidRPr="00C64064">
        <w:rPr>
          <w:rFonts w:asciiTheme="majorHAnsi" w:hAnsiTheme="majorHAnsi" w:cstheme="majorHAnsi"/>
          <w:i/>
          <w:iCs/>
        </w:rPr>
        <w:t>.</w:t>
      </w:r>
      <w:r w:rsidRPr="00C64064">
        <w:rPr>
          <w:rFonts w:asciiTheme="majorHAnsi" w:hAnsiTheme="majorHAnsi" w:cstheme="majorHAnsi"/>
          <w:i/>
          <w:iCs/>
        </w:rPr>
        <w:t xml:space="preserve">  </w:t>
      </w:r>
      <w:r w:rsidR="00E0014D" w:rsidRPr="00C64064">
        <w:rPr>
          <w:rFonts w:asciiTheme="majorHAnsi" w:hAnsiTheme="majorHAnsi" w:cstheme="majorHAnsi"/>
          <w:i/>
          <w:iCs/>
        </w:rPr>
        <w:br/>
      </w:r>
    </w:p>
    <w:p w14:paraId="0314FC51" w14:textId="1E0C199F" w:rsidR="00B71CC1" w:rsidRPr="00C64064" w:rsidRDefault="00B71CC1" w:rsidP="00B71CC1">
      <w:pPr>
        <w:pBdr>
          <w:bottom w:val="single" w:sz="4" w:space="1" w:color="auto"/>
        </w:pBdr>
        <w:spacing w:line="276" w:lineRule="auto"/>
        <w:ind w:right="-1"/>
        <w:rPr>
          <w:rFonts w:asciiTheme="majorHAnsi" w:hAnsiTheme="majorHAnsi" w:cstheme="majorHAnsi"/>
          <w:b/>
          <w:bCs/>
        </w:rPr>
      </w:pPr>
      <w:r w:rsidRPr="00C64064">
        <w:rPr>
          <w:rFonts w:asciiTheme="majorHAnsi" w:hAnsiTheme="majorHAnsi" w:cstheme="majorHAnsi"/>
          <w:b/>
          <w:bCs/>
          <w:noProof/>
        </w:rPr>
        <w:lastRenderedPageBreak/>
        <mc:AlternateContent>
          <mc:Choice Requires="wpg">
            <w:drawing>
              <wp:inline distT="0" distB="0" distL="0" distR="0" wp14:anchorId="7119C5AB" wp14:editId="513FB39D">
                <wp:extent cx="6017061" cy="1762627"/>
                <wp:effectExtent l="0" t="0" r="3175" b="9525"/>
                <wp:docPr id="2016835155" name="Group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17061" cy="1762627"/>
                          <a:chOff x="0" y="0"/>
                          <a:chExt cx="6017061" cy="1522238"/>
                        </a:xfrm>
                      </wpg:grpSpPr>
                      <wps:wsp>
                        <wps:cNvPr id="382922014" name="Text Box 1">
                          <a:extLst>
                            <a:ext uri="{C183D7F6-B498-43B3-948B-1728B52AA6E4}">
                              <adec:decorative xmlns:adec="http://schemas.microsoft.com/office/drawing/2017/decorative" val="1"/>
                            </a:ext>
                          </a:extLst>
                        </wps:cNvPr>
                        <wps:cNvSpPr txBox="1"/>
                        <wps:spPr>
                          <a:xfrm>
                            <a:off x="0" y="0"/>
                            <a:ext cx="4037941" cy="1522238"/>
                          </a:xfrm>
                          <a:prstGeom prst="rect">
                            <a:avLst/>
                          </a:prstGeom>
                          <a:solidFill>
                            <a:srgbClr val="252C66"/>
                          </a:solidFill>
                          <a:ln w="6350">
                            <a:noFill/>
                          </a:ln>
                        </wps:spPr>
                        <wps:txbx>
                          <w:txbxContent>
                            <w:p w14:paraId="5CC2823A" w14:textId="77777777" w:rsidR="00B71CC1" w:rsidRPr="00E72EF3" w:rsidRDefault="00B71CC1" w:rsidP="00B71CC1">
                              <w:pPr>
                                <w:pStyle w:val="Header"/>
                                <w:spacing w:after="200"/>
                                <w:textAlignment w:val="baseline"/>
                                <w:rPr>
                                  <w:rStyle w:val="Hyperlink"/>
                                  <w:rFonts w:cs="Arial"/>
                                  <w:i/>
                                  <w:iCs/>
                                  <w:color w:val="FFFFFF" w:themeColor="background1"/>
                                  <w:sz w:val="21"/>
                                  <w:szCs w:val="21"/>
                                  <w:lang w:val="en-US"/>
                                </w:rPr>
                              </w:pPr>
                              <w:r w:rsidRPr="00E72EF3">
                                <w:rPr>
                                  <w:rFonts w:cs="Arial"/>
                                  <w:i/>
                                  <w:iCs/>
                                  <w:noProof/>
                                  <w:color w:val="FFFFFF" w:themeColor="background1"/>
                                  <w:sz w:val="21"/>
                                  <w:szCs w:val="21"/>
                                  <w:lang w:val="en-US"/>
                                </w:rPr>
                                <w:drawing>
                                  <wp:inline distT="0" distB="0" distL="0" distR="0" wp14:anchorId="1F28D6AB" wp14:editId="7CC01DCF">
                                    <wp:extent cx="126853" cy="126853"/>
                                    <wp:effectExtent l="0" t="0" r="6985" b="6985"/>
                                    <wp:docPr id="1669293040" name="Graphic 16692930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74014"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128823" cy="128823"/>
                                            </a:xfrm>
                                            <a:prstGeom prst="rect">
                                              <a:avLst/>
                                            </a:prstGeom>
                                          </pic:spPr>
                                        </pic:pic>
                                      </a:graphicData>
                                    </a:graphic>
                                  </wp:inline>
                                </w:drawing>
                              </w:r>
                            </w:p>
                            <w:p w14:paraId="2D0AD159" w14:textId="12EAE3EB" w:rsidR="00B71CC1" w:rsidRPr="00E72EF3" w:rsidRDefault="008D0969" w:rsidP="00B71CC1">
                              <w:pPr>
                                <w:pStyle w:val="Header"/>
                                <w:spacing w:after="240"/>
                                <w:textAlignment w:val="baseline"/>
                                <w:rPr>
                                  <w:rFonts w:cs="Arial"/>
                                  <w:color w:val="FFFFFF" w:themeColor="background1"/>
                                </w:rPr>
                              </w:pPr>
                              <w:r w:rsidRPr="00C6431E">
                                <w:rPr>
                                  <w:rFonts w:cs="Arial"/>
                                  <w:color w:val="FFFFFF" w:themeColor="background1"/>
                                </w:rPr>
                                <w:t>PRISMA</w:t>
                              </w:r>
                              <w:r>
                                <w:rPr>
                                  <w:rFonts w:cs="Arial"/>
                                  <w:color w:val="FFFFFF" w:themeColor="background1"/>
                                </w:rPr>
                                <w:t>’s</w:t>
                              </w:r>
                              <w:r w:rsidRPr="00C6431E">
                                <w:rPr>
                                  <w:rFonts w:cs="Arial"/>
                                  <w:color w:val="FFFFFF" w:themeColor="background1"/>
                                </w:rPr>
                                <w:t xml:space="preserve"> </w:t>
                              </w:r>
                              <w:r w:rsidR="00B71CC1" w:rsidRPr="00C6431E">
                                <w:rPr>
                                  <w:rFonts w:cs="Arial"/>
                                  <w:color w:val="FFFFFF" w:themeColor="background1"/>
                                </w:rPr>
                                <w:t xml:space="preserve">support </w:t>
                              </w:r>
                              <w:r w:rsidR="00CF55ED">
                                <w:rPr>
                                  <w:rFonts w:cs="Arial"/>
                                  <w:color w:val="FFFFFF" w:themeColor="background1"/>
                                </w:rPr>
                                <w:t>in</w:t>
                              </w:r>
                              <w:r w:rsidR="00B71CC1" w:rsidRPr="00C6431E">
                                <w:rPr>
                                  <w:rFonts w:cs="Arial"/>
                                  <w:color w:val="FFFFFF" w:themeColor="background1"/>
                                </w:rPr>
                                <w:t xml:space="preserve"> creati</w:t>
                              </w:r>
                              <w:r w:rsidR="00CF55ED">
                                <w:rPr>
                                  <w:rFonts w:cs="Arial"/>
                                  <w:color w:val="FFFFFF" w:themeColor="background1"/>
                                </w:rPr>
                                <w:t>ng</w:t>
                              </w:r>
                              <w:r w:rsidR="00AE1C80">
                                <w:rPr>
                                  <w:rFonts w:cs="Arial"/>
                                  <w:color w:val="FFFFFF" w:themeColor="background1"/>
                                </w:rPr>
                                <w:t xml:space="preserve"> the</w:t>
                              </w:r>
                              <w:r w:rsidR="00CF55ED">
                                <w:rPr>
                                  <w:rFonts w:cs="Arial"/>
                                  <w:color w:val="FFFFFF" w:themeColor="background1"/>
                                </w:rPr>
                                <w:t xml:space="preserve"> </w:t>
                              </w:r>
                              <w:r w:rsidR="00B71CC1" w:rsidRPr="00C6431E">
                                <w:rPr>
                                  <w:rFonts w:cs="Arial"/>
                                  <w:color w:val="FFFFFF" w:themeColor="background1"/>
                                </w:rPr>
                                <w:t>digital map</w:t>
                              </w:r>
                              <w:r w:rsidR="00983466">
                                <w:rPr>
                                  <w:rFonts w:cs="Arial"/>
                                  <w:color w:val="FFFFFF" w:themeColor="background1"/>
                                </w:rPr>
                                <w:t xml:space="preserve"> to identify production </w:t>
                              </w:r>
                              <w:r w:rsidR="004F2AC3">
                                <w:rPr>
                                  <w:rFonts w:cs="Arial"/>
                                  <w:color w:val="FFFFFF" w:themeColor="background1"/>
                                </w:rPr>
                                <w:t>centres</w:t>
                              </w:r>
                              <w:r w:rsidR="00983466">
                                <w:rPr>
                                  <w:rFonts w:cs="Arial"/>
                                  <w:color w:val="FFFFFF" w:themeColor="background1"/>
                                </w:rPr>
                                <w:t xml:space="preserve"> </w:t>
                              </w:r>
                              <w:r w:rsidR="00B71CC1" w:rsidRPr="00C6431E">
                                <w:rPr>
                                  <w:rFonts w:cs="Arial"/>
                                  <w:color w:val="FFFFFF" w:themeColor="background1"/>
                                </w:rPr>
                                <w:t xml:space="preserve">will </w:t>
                              </w:r>
                              <w:r w:rsidR="00CF55ED">
                                <w:rPr>
                                  <w:rFonts w:cs="Arial"/>
                                  <w:color w:val="FFFFFF" w:themeColor="background1"/>
                                </w:rPr>
                                <w:t>undoubtedly</w:t>
                              </w:r>
                              <w:r w:rsidR="00B71CC1" w:rsidRPr="00C6431E">
                                <w:rPr>
                                  <w:rFonts w:cs="Arial"/>
                                  <w:color w:val="FFFFFF" w:themeColor="background1"/>
                                </w:rPr>
                                <w:t xml:space="preserve"> </w:t>
                              </w:r>
                              <w:r w:rsidR="00CF55ED">
                                <w:rPr>
                                  <w:rFonts w:cs="Arial"/>
                                  <w:color w:val="FFFFFF" w:themeColor="background1"/>
                                </w:rPr>
                                <w:t>assist</w:t>
                              </w:r>
                              <w:r w:rsidR="00B71CC1" w:rsidRPr="00C6431E">
                                <w:rPr>
                                  <w:rFonts w:cs="Arial"/>
                                  <w:color w:val="FFFFFF" w:themeColor="background1"/>
                                </w:rPr>
                                <w:t xml:space="preserve"> the NTT </w:t>
                              </w:r>
                              <w:r>
                                <w:rPr>
                                  <w:rFonts w:cs="Arial"/>
                                  <w:color w:val="FFFFFF" w:themeColor="background1"/>
                                </w:rPr>
                                <w:t>p</w:t>
                              </w:r>
                              <w:r w:rsidR="00B71CC1" w:rsidRPr="00C6431E">
                                <w:rPr>
                                  <w:rFonts w:cs="Arial"/>
                                  <w:color w:val="FFFFFF" w:themeColor="background1"/>
                                </w:rPr>
                                <w:t xml:space="preserve">rovincial </w:t>
                              </w:r>
                              <w:r>
                                <w:rPr>
                                  <w:rFonts w:cs="Arial"/>
                                  <w:color w:val="FFFFFF" w:themeColor="background1"/>
                                </w:rPr>
                                <w:t>g</w:t>
                              </w:r>
                              <w:r w:rsidR="00B71CC1" w:rsidRPr="00C6431E">
                                <w:rPr>
                                  <w:rFonts w:cs="Arial"/>
                                  <w:color w:val="FFFFFF" w:themeColor="background1"/>
                                </w:rPr>
                                <w:t xml:space="preserve">overnment </w:t>
                              </w:r>
                              <w:r w:rsidR="00AE1C80">
                                <w:rPr>
                                  <w:rFonts w:cs="Arial"/>
                                  <w:color w:val="FFFFFF" w:themeColor="background1"/>
                                </w:rPr>
                                <w:t>in</w:t>
                              </w:r>
                              <w:r w:rsidR="00B71CC1" w:rsidRPr="00C6431E">
                                <w:rPr>
                                  <w:rFonts w:cs="Arial"/>
                                  <w:color w:val="FFFFFF" w:themeColor="background1"/>
                                </w:rPr>
                                <w:t xml:space="preserve"> formulat</w:t>
                              </w:r>
                              <w:r w:rsidR="00AE1C80">
                                <w:rPr>
                                  <w:rFonts w:cs="Arial"/>
                                  <w:color w:val="FFFFFF" w:themeColor="background1"/>
                                </w:rPr>
                                <w:t>ing</w:t>
                              </w:r>
                              <w:r w:rsidR="00B71CC1" w:rsidRPr="00C6431E">
                                <w:rPr>
                                  <w:rFonts w:cs="Arial"/>
                                  <w:color w:val="FFFFFF" w:themeColor="background1"/>
                                </w:rPr>
                                <w:t xml:space="preserve"> </w:t>
                              </w:r>
                              <w:r w:rsidR="00CF55ED" w:rsidRPr="00C6431E">
                                <w:rPr>
                                  <w:rFonts w:cs="Arial"/>
                                  <w:color w:val="FFFFFF" w:themeColor="background1"/>
                                </w:rPr>
                                <w:t xml:space="preserve">future </w:t>
                              </w:r>
                              <w:r w:rsidR="00B71CC1" w:rsidRPr="00C6431E">
                                <w:rPr>
                                  <w:rFonts w:cs="Arial"/>
                                  <w:color w:val="FFFFFF" w:themeColor="background1"/>
                                </w:rPr>
                                <w:t>policies</w:t>
                              </w:r>
                              <w:r w:rsidR="00B71CC1">
                                <w:rPr>
                                  <w:rFonts w:cs="Arial"/>
                                  <w:color w:val="FFFFFF" w:themeColor="background1"/>
                                </w:rPr>
                                <w:t>.</w:t>
                              </w:r>
                            </w:p>
                            <w:p w14:paraId="130E1ADA" w14:textId="35610DFD" w:rsidR="00B71CC1" w:rsidRPr="00E72EF3" w:rsidRDefault="00B71CC1" w:rsidP="00B71CC1">
                              <w:pPr>
                                <w:pStyle w:val="Header"/>
                                <w:spacing w:after="200"/>
                                <w:textAlignment w:val="baseline"/>
                                <w:rPr>
                                  <w:rFonts w:cs="Arial"/>
                                  <w:color w:val="FFFFFF" w:themeColor="background1"/>
                                  <w:szCs w:val="20"/>
                                </w:rPr>
                              </w:pPr>
                              <w:r w:rsidRPr="00831717">
                                <w:rPr>
                                  <w:rFonts w:cs="Arial"/>
                                  <w:b/>
                                  <w:bCs/>
                                  <w:color w:val="FFFFFF" w:themeColor="background1"/>
                                  <w:szCs w:val="20"/>
                                </w:rPr>
                                <w:t>Theresia Maria Florence</w:t>
                              </w:r>
                              <w:r>
                                <w:rPr>
                                  <w:rFonts w:cs="Arial"/>
                                  <w:color w:val="FFFFFF" w:themeColor="background1"/>
                                  <w:szCs w:val="20"/>
                                </w:rPr>
                                <w:t xml:space="preserve">, </w:t>
                              </w:r>
                              <w:r w:rsidRPr="00831717">
                                <w:rPr>
                                  <w:rFonts w:cs="Arial"/>
                                  <w:color w:val="FFFFFF" w:themeColor="background1"/>
                                  <w:szCs w:val="20"/>
                                </w:rPr>
                                <w:t xml:space="preserve">Head of Economy </w:t>
                              </w:r>
                              <w:r w:rsidR="00CF55ED">
                                <w:rPr>
                                  <w:rFonts w:cs="Arial"/>
                                  <w:color w:val="FFFFFF" w:themeColor="background1"/>
                                  <w:szCs w:val="20"/>
                                </w:rPr>
                                <w:t>and</w:t>
                              </w:r>
                              <w:r w:rsidRPr="00831717">
                                <w:rPr>
                                  <w:rFonts w:cs="Arial"/>
                                  <w:color w:val="FFFFFF" w:themeColor="background1"/>
                                  <w:szCs w:val="20"/>
                                </w:rPr>
                                <w:t xml:space="preserve"> Natural Resources, </w:t>
                              </w:r>
                              <w:r w:rsidR="00CF55ED" w:rsidRPr="00831717">
                                <w:rPr>
                                  <w:rFonts w:cs="Arial"/>
                                  <w:color w:val="FFFFFF" w:themeColor="background1"/>
                                  <w:szCs w:val="20"/>
                                </w:rPr>
                                <w:t>NTT</w:t>
                              </w:r>
                              <w:r w:rsidR="00CF55ED">
                                <w:rPr>
                                  <w:rFonts w:cs="Arial"/>
                                  <w:color w:val="FFFFFF" w:themeColor="background1"/>
                                  <w:szCs w:val="20"/>
                                </w:rPr>
                                <w:t xml:space="preserve"> </w:t>
                              </w:r>
                              <w:r w:rsidR="00F22727" w:rsidRPr="00F22727">
                                <w:rPr>
                                  <w:rFonts w:cs="Arial"/>
                                  <w:color w:val="FFFFFF" w:themeColor="background1"/>
                                  <w:szCs w:val="20"/>
                                  <w:lang w:val="en-AU"/>
                                </w:rPr>
                                <w:t xml:space="preserve">Regional Development Planning, Research, and Innovation Agency </w:t>
                              </w:r>
                              <w:r w:rsidR="00F22727">
                                <w:rPr>
                                  <w:rFonts w:cs="Arial"/>
                                  <w:color w:val="FFFFFF" w:themeColor="background1"/>
                                  <w:szCs w:val="20"/>
                                  <w:lang w:val="en-AU"/>
                                </w:rPr>
                                <w:t>(</w:t>
                              </w:r>
                              <w:r w:rsidRPr="00831717">
                                <w:rPr>
                                  <w:rFonts w:cs="Arial"/>
                                  <w:color w:val="FFFFFF" w:themeColor="background1"/>
                                  <w:szCs w:val="20"/>
                                </w:rPr>
                                <w:t>Bapperida</w:t>
                              </w:r>
                              <w:r w:rsidR="00F22727">
                                <w:rPr>
                                  <w:rFonts w:cs="Arial"/>
                                  <w:color w:val="FFFFFF" w:themeColor="background1"/>
                                  <w:szCs w:val="20"/>
                                </w:rPr>
                                <w:t>)</w:t>
                              </w:r>
                              <w:r w:rsidRPr="00831717">
                                <w:rPr>
                                  <w:rFonts w:cs="Arial"/>
                                  <w:color w:val="FFFFFF" w:themeColor="background1"/>
                                  <w:szCs w:val="20"/>
                                </w:rPr>
                                <w:t xml:space="preserve"> </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pic:pic xmlns:pic="http://schemas.openxmlformats.org/drawingml/2006/picture">
                        <pic:nvPicPr>
                          <pic:cNvPr id="1517378468" name="Picture 17" descr="A photo of Theresia Maria Florence, Head of Economy and Natural Resources, NTT Regional Development Planning, Research, and Innovation Agency (Bapperida) "/>
                          <pic:cNvPicPr>
                            <a:picLocks noChangeAspect="1"/>
                          </pic:cNvPicPr>
                        </pic:nvPicPr>
                        <pic:blipFill rotWithShape="1">
                          <a:blip r:embed="rId127" cstate="email">
                            <a:extLst>
                              <a:ext uri="{28A0092B-C50C-407E-A947-70E740481C1C}">
                                <a14:useLocalDpi xmlns:a14="http://schemas.microsoft.com/office/drawing/2010/main"/>
                              </a:ext>
                            </a:extLst>
                          </a:blip>
                          <a:srcRect/>
                          <a:stretch/>
                        </pic:blipFill>
                        <pic:spPr bwMode="auto">
                          <a:xfrm>
                            <a:off x="4011731" y="0"/>
                            <a:ext cx="2005330" cy="152209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7119C5AB" id="Group 18" o:spid="_x0000_s1063" alt="&quot;&quot;" style="width:473.8pt;height:138.8pt;mso-position-horizontal-relative:char;mso-position-vertical-relative:line" coordsize="60170,152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">
                <v:shape id="_x0000_s1064" type="#_x0000_t202" alt="&quot;&quot;" style="position:absolute;width:40379;height:15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" fillcolor="#252c66" stroked="f" strokeweight=".5pt">
                  <v:textbox inset="5mm,5mm,5mm,5mm">
                    <w:txbxContent>
                      <w:p w14:paraId="5CC2823A" w14:textId="77777777" w:rsidR="00B71CC1" w:rsidRPr="00E72EF3" w:rsidRDefault="00B71CC1" w:rsidP="00B71CC1">
                        <w:pPr>
                          <w:pStyle w:val="Header"/>
                          <w:spacing w:after="200"/>
                          <w:textAlignment w:val="baseline"/>
                          <w:rPr>
                            <w:rStyle w:val="Hyperlink"/>
                            <w:rFonts w:cs="Arial"/>
                            <w:i/>
                            <w:iCs/>
                            <w:color w:val="FFFFFF" w:themeColor="background1"/>
                            <w:sz w:val="21"/>
                            <w:szCs w:val="21"/>
                            <w:lang w:val="en-US"/>
                          </w:rPr>
                        </w:pPr>
                        <w:r w:rsidRPr="00E72EF3">
                          <w:rPr>
                            <w:rFonts w:cs="Arial"/>
                            <w:i/>
                            <w:iCs/>
                            <w:noProof/>
                            <w:color w:val="FFFFFF" w:themeColor="background1"/>
                            <w:sz w:val="21"/>
                            <w:szCs w:val="21"/>
                            <w:lang w:val="en-US"/>
                          </w:rPr>
                          <w:drawing>
                            <wp:inline distT="0" distB="0" distL="0" distR="0" wp14:anchorId="1F28D6AB" wp14:editId="7CC01DCF">
                              <wp:extent cx="126853" cy="126853"/>
                              <wp:effectExtent l="0" t="0" r="6985" b="6985"/>
                              <wp:docPr id="1669293040" name="Graphic 16692930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74014"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128823" cy="128823"/>
                                      </a:xfrm>
                                      <a:prstGeom prst="rect">
                                        <a:avLst/>
                                      </a:prstGeom>
                                    </pic:spPr>
                                  </pic:pic>
                                </a:graphicData>
                              </a:graphic>
                            </wp:inline>
                          </w:drawing>
                        </w:r>
                      </w:p>
                      <w:p w14:paraId="2D0AD159" w14:textId="12EAE3EB" w:rsidR="00B71CC1" w:rsidRPr="00E72EF3" w:rsidRDefault="008D0969" w:rsidP="00B71CC1">
                        <w:pPr>
                          <w:pStyle w:val="Header"/>
                          <w:spacing w:after="240"/>
                          <w:textAlignment w:val="baseline"/>
                          <w:rPr>
                            <w:rFonts w:cs="Arial"/>
                            <w:color w:val="FFFFFF" w:themeColor="background1"/>
                          </w:rPr>
                        </w:pPr>
                        <w:r w:rsidRPr="00C6431E">
                          <w:rPr>
                            <w:rFonts w:cs="Arial"/>
                            <w:color w:val="FFFFFF" w:themeColor="background1"/>
                          </w:rPr>
                          <w:t>PRISMA</w:t>
                        </w:r>
                        <w:r>
                          <w:rPr>
                            <w:rFonts w:cs="Arial"/>
                            <w:color w:val="FFFFFF" w:themeColor="background1"/>
                          </w:rPr>
                          <w:t>’s</w:t>
                        </w:r>
                        <w:r w:rsidRPr="00C6431E">
                          <w:rPr>
                            <w:rFonts w:cs="Arial"/>
                            <w:color w:val="FFFFFF" w:themeColor="background1"/>
                          </w:rPr>
                          <w:t xml:space="preserve"> </w:t>
                        </w:r>
                        <w:r w:rsidR="00B71CC1" w:rsidRPr="00C6431E">
                          <w:rPr>
                            <w:rFonts w:cs="Arial"/>
                            <w:color w:val="FFFFFF" w:themeColor="background1"/>
                          </w:rPr>
                          <w:t xml:space="preserve">support </w:t>
                        </w:r>
                        <w:r w:rsidR="00CF55ED">
                          <w:rPr>
                            <w:rFonts w:cs="Arial"/>
                            <w:color w:val="FFFFFF" w:themeColor="background1"/>
                          </w:rPr>
                          <w:t>in</w:t>
                        </w:r>
                        <w:r w:rsidR="00B71CC1" w:rsidRPr="00C6431E">
                          <w:rPr>
                            <w:rFonts w:cs="Arial"/>
                            <w:color w:val="FFFFFF" w:themeColor="background1"/>
                          </w:rPr>
                          <w:t xml:space="preserve"> creati</w:t>
                        </w:r>
                        <w:r w:rsidR="00CF55ED">
                          <w:rPr>
                            <w:rFonts w:cs="Arial"/>
                            <w:color w:val="FFFFFF" w:themeColor="background1"/>
                          </w:rPr>
                          <w:t>ng</w:t>
                        </w:r>
                        <w:r w:rsidR="00AE1C80">
                          <w:rPr>
                            <w:rFonts w:cs="Arial"/>
                            <w:color w:val="FFFFFF" w:themeColor="background1"/>
                          </w:rPr>
                          <w:t xml:space="preserve"> the</w:t>
                        </w:r>
                        <w:r w:rsidR="00CF55ED">
                          <w:rPr>
                            <w:rFonts w:cs="Arial"/>
                            <w:color w:val="FFFFFF" w:themeColor="background1"/>
                          </w:rPr>
                          <w:t xml:space="preserve"> </w:t>
                        </w:r>
                        <w:r w:rsidR="00B71CC1" w:rsidRPr="00C6431E">
                          <w:rPr>
                            <w:rFonts w:cs="Arial"/>
                            <w:color w:val="FFFFFF" w:themeColor="background1"/>
                          </w:rPr>
                          <w:t>digital map</w:t>
                        </w:r>
                        <w:r w:rsidR="00983466">
                          <w:rPr>
                            <w:rFonts w:cs="Arial"/>
                            <w:color w:val="FFFFFF" w:themeColor="background1"/>
                          </w:rPr>
                          <w:t xml:space="preserve"> to identify production </w:t>
                        </w:r>
                        <w:r w:rsidR="004F2AC3">
                          <w:rPr>
                            <w:rFonts w:cs="Arial"/>
                            <w:color w:val="FFFFFF" w:themeColor="background1"/>
                          </w:rPr>
                          <w:t>centres</w:t>
                        </w:r>
                        <w:r w:rsidR="00983466">
                          <w:rPr>
                            <w:rFonts w:cs="Arial"/>
                            <w:color w:val="FFFFFF" w:themeColor="background1"/>
                          </w:rPr>
                          <w:t xml:space="preserve"> </w:t>
                        </w:r>
                        <w:r w:rsidR="00B71CC1" w:rsidRPr="00C6431E">
                          <w:rPr>
                            <w:rFonts w:cs="Arial"/>
                            <w:color w:val="FFFFFF" w:themeColor="background1"/>
                          </w:rPr>
                          <w:t xml:space="preserve">will </w:t>
                        </w:r>
                        <w:r w:rsidR="00CF55ED">
                          <w:rPr>
                            <w:rFonts w:cs="Arial"/>
                            <w:color w:val="FFFFFF" w:themeColor="background1"/>
                          </w:rPr>
                          <w:t>undoubtedly</w:t>
                        </w:r>
                        <w:r w:rsidR="00B71CC1" w:rsidRPr="00C6431E">
                          <w:rPr>
                            <w:rFonts w:cs="Arial"/>
                            <w:color w:val="FFFFFF" w:themeColor="background1"/>
                          </w:rPr>
                          <w:t xml:space="preserve"> </w:t>
                        </w:r>
                        <w:r w:rsidR="00CF55ED">
                          <w:rPr>
                            <w:rFonts w:cs="Arial"/>
                            <w:color w:val="FFFFFF" w:themeColor="background1"/>
                          </w:rPr>
                          <w:t>assist</w:t>
                        </w:r>
                        <w:r w:rsidR="00B71CC1" w:rsidRPr="00C6431E">
                          <w:rPr>
                            <w:rFonts w:cs="Arial"/>
                            <w:color w:val="FFFFFF" w:themeColor="background1"/>
                          </w:rPr>
                          <w:t xml:space="preserve"> the NTT </w:t>
                        </w:r>
                        <w:r>
                          <w:rPr>
                            <w:rFonts w:cs="Arial"/>
                            <w:color w:val="FFFFFF" w:themeColor="background1"/>
                          </w:rPr>
                          <w:t>p</w:t>
                        </w:r>
                        <w:r w:rsidR="00B71CC1" w:rsidRPr="00C6431E">
                          <w:rPr>
                            <w:rFonts w:cs="Arial"/>
                            <w:color w:val="FFFFFF" w:themeColor="background1"/>
                          </w:rPr>
                          <w:t xml:space="preserve">rovincial </w:t>
                        </w:r>
                        <w:r>
                          <w:rPr>
                            <w:rFonts w:cs="Arial"/>
                            <w:color w:val="FFFFFF" w:themeColor="background1"/>
                          </w:rPr>
                          <w:t>g</w:t>
                        </w:r>
                        <w:r w:rsidR="00B71CC1" w:rsidRPr="00C6431E">
                          <w:rPr>
                            <w:rFonts w:cs="Arial"/>
                            <w:color w:val="FFFFFF" w:themeColor="background1"/>
                          </w:rPr>
                          <w:t xml:space="preserve">overnment </w:t>
                        </w:r>
                        <w:r w:rsidR="00AE1C80">
                          <w:rPr>
                            <w:rFonts w:cs="Arial"/>
                            <w:color w:val="FFFFFF" w:themeColor="background1"/>
                          </w:rPr>
                          <w:t>in</w:t>
                        </w:r>
                        <w:r w:rsidR="00B71CC1" w:rsidRPr="00C6431E">
                          <w:rPr>
                            <w:rFonts w:cs="Arial"/>
                            <w:color w:val="FFFFFF" w:themeColor="background1"/>
                          </w:rPr>
                          <w:t xml:space="preserve"> formulat</w:t>
                        </w:r>
                        <w:r w:rsidR="00AE1C80">
                          <w:rPr>
                            <w:rFonts w:cs="Arial"/>
                            <w:color w:val="FFFFFF" w:themeColor="background1"/>
                          </w:rPr>
                          <w:t>ing</w:t>
                        </w:r>
                        <w:r w:rsidR="00B71CC1" w:rsidRPr="00C6431E">
                          <w:rPr>
                            <w:rFonts w:cs="Arial"/>
                            <w:color w:val="FFFFFF" w:themeColor="background1"/>
                          </w:rPr>
                          <w:t xml:space="preserve"> </w:t>
                        </w:r>
                        <w:r w:rsidR="00CF55ED" w:rsidRPr="00C6431E">
                          <w:rPr>
                            <w:rFonts w:cs="Arial"/>
                            <w:color w:val="FFFFFF" w:themeColor="background1"/>
                          </w:rPr>
                          <w:t xml:space="preserve">future </w:t>
                        </w:r>
                        <w:r w:rsidR="00B71CC1" w:rsidRPr="00C6431E">
                          <w:rPr>
                            <w:rFonts w:cs="Arial"/>
                            <w:color w:val="FFFFFF" w:themeColor="background1"/>
                          </w:rPr>
                          <w:t>policies</w:t>
                        </w:r>
                        <w:r w:rsidR="00B71CC1">
                          <w:rPr>
                            <w:rFonts w:cs="Arial"/>
                            <w:color w:val="FFFFFF" w:themeColor="background1"/>
                          </w:rPr>
                          <w:t>.</w:t>
                        </w:r>
                      </w:p>
                      <w:p w14:paraId="130E1ADA" w14:textId="35610DFD" w:rsidR="00B71CC1" w:rsidRPr="00E72EF3" w:rsidRDefault="00B71CC1" w:rsidP="00B71CC1">
                        <w:pPr>
                          <w:pStyle w:val="Header"/>
                          <w:spacing w:after="200"/>
                          <w:textAlignment w:val="baseline"/>
                          <w:rPr>
                            <w:rFonts w:cs="Arial"/>
                            <w:color w:val="FFFFFF" w:themeColor="background1"/>
                            <w:szCs w:val="20"/>
                          </w:rPr>
                        </w:pPr>
                        <w:r w:rsidRPr="00831717">
                          <w:rPr>
                            <w:rFonts w:cs="Arial"/>
                            <w:b/>
                            <w:bCs/>
                            <w:color w:val="FFFFFF" w:themeColor="background1"/>
                            <w:szCs w:val="20"/>
                          </w:rPr>
                          <w:t>Theresia Maria Florence</w:t>
                        </w:r>
                        <w:r>
                          <w:rPr>
                            <w:rFonts w:cs="Arial"/>
                            <w:color w:val="FFFFFF" w:themeColor="background1"/>
                            <w:szCs w:val="20"/>
                          </w:rPr>
                          <w:t xml:space="preserve">, </w:t>
                        </w:r>
                        <w:r w:rsidRPr="00831717">
                          <w:rPr>
                            <w:rFonts w:cs="Arial"/>
                            <w:color w:val="FFFFFF" w:themeColor="background1"/>
                            <w:szCs w:val="20"/>
                          </w:rPr>
                          <w:t xml:space="preserve">Head of Economy </w:t>
                        </w:r>
                        <w:r w:rsidR="00CF55ED">
                          <w:rPr>
                            <w:rFonts w:cs="Arial"/>
                            <w:color w:val="FFFFFF" w:themeColor="background1"/>
                            <w:szCs w:val="20"/>
                          </w:rPr>
                          <w:t>and</w:t>
                        </w:r>
                        <w:r w:rsidRPr="00831717">
                          <w:rPr>
                            <w:rFonts w:cs="Arial"/>
                            <w:color w:val="FFFFFF" w:themeColor="background1"/>
                            <w:szCs w:val="20"/>
                          </w:rPr>
                          <w:t xml:space="preserve"> Natural Resources, </w:t>
                        </w:r>
                        <w:r w:rsidR="00CF55ED" w:rsidRPr="00831717">
                          <w:rPr>
                            <w:rFonts w:cs="Arial"/>
                            <w:color w:val="FFFFFF" w:themeColor="background1"/>
                            <w:szCs w:val="20"/>
                          </w:rPr>
                          <w:t>NTT</w:t>
                        </w:r>
                        <w:r w:rsidR="00CF55ED">
                          <w:rPr>
                            <w:rFonts w:cs="Arial"/>
                            <w:color w:val="FFFFFF" w:themeColor="background1"/>
                            <w:szCs w:val="20"/>
                          </w:rPr>
                          <w:t xml:space="preserve"> </w:t>
                        </w:r>
                        <w:r w:rsidR="00F22727" w:rsidRPr="00F22727">
                          <w:rPr>
                            <w:rFonts w:cs="Arial"/>
                            <w:color w:val="FFFFFF" w:themeColor="background1"/>
                            <w:szCs w:val="20"/>
                            <w:lang w:val="en-AU"/>
                          </w:rPr>
                          <w:t xml:space="preserve">Regional Development Planning, Research, and Innovation Agency </w:t>
                        </w:r>
                        <w:r w:rsidR="00F22727">
                          <w:rPr>
                            <w:rFonts w:cs="Arial"/>
                            <w:color w:val="FFFFFF" w:themeColor="background1"/>
                            <w:szCs w:val="20"/>
                            <w:lang w:val="en-AU"/>
                          </w:rPr>
                          <w:t>(</w:t>
                        </w:r>
                        <w:r w:rsidRPr="00831717">
                          <w:rPr>
                            <w:rFonts w:cs="Arial"/>
                            <w:color w:val="FFFFFF" w:themeColor="background1"/>
                            <w:szCs w:val="20"/>
                          </w:rPr>
                          <w:t>Bapperida</w:t>
                        </w:r>
                        <w:r w:rsidR="00F22727">
                          <w:rPr>
                            <w:rFonts w:cs="Arial"/>
                            <w:color w:val="FFFFFF" w:themeColor="background1"/>
                            <w:szCs w:val="20"/>
                          </w:rPr>
                          <w:t>)</w:t>
                        </w:r>
                        <w:r w:rsidRPr="00831717">
                          <w:rPr>
                            <w:rFonts w:cs="Arial"/>
                            <w:color w:val="FFFFFF" w:themeColor="background1"/>
                            <w:szCs w:val="20"/>
                          </w:rPr>
                          <w:t xml:space="preserve"> </w:t>
                        </w:r>
                      </w:p>
                    </w:txbxContent>
                  </v:textbox>
                </v:shape>
                <v:shape id="Picture 17" o:spid="_x0000_s1065" type="#_x0000_t75" alt="A photo of Theresia Maria Florence, Head of Economy and Natural Resources, NTT Regional Development Planning, Research, and Innovation Agency (Bapperida) " style="position:absolute;left:40117;width:20053;height:15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">
                  <v:imagedata r:id="rId128" o:title="A photo of Theresia Maria Florence, Head of Economy and Natural Resources, NTT Regional Development Planning, Research, and Innovation Agency (Bapperida) "/>
                </v:shape>
                <w10:anchorlock/>
              </v:group>
            </w:pict>
          </mc:Fallback>
        </mc:AlternateContent>
      </w:r>
    </w:p>
    <w:p w14:paraId="780B10AF" w14:textId="1972E60D" w:rsidR="00D25D45" w:rsidRPr="00C64064" w:rsidRDefault="001A1E62" w:rsidP="00E0014D">
      <w:pPr>
        <w:pStyle w:val="paragraph"/>
        <w:spacing w:before="0" w:beforeAutospacing="0" w:after="0" w:afterAutospacing="0" w:line="360" w:lineRule="auto"/>
        <w:textAlignment w:val="baseline"/>
        <w:rPr>
          <w:rFonts w:asciiTheme="majorHAnsi" w:hAnsiTheme="majorHAnsi" w:cstheme="majorHAnsi"/>
          <w:lang w:val="en-US"/>
        </w:rPr>
      </w:pPr>
      <w:r w:rsidRPr="00C64064">
        <w:rPr>
          <w:rStyle w:val="eop"/>
          <w:rFonts w:asciiTheme="majorHAnsi" w:hAnsiTheme="majorHAnsi" w:cstheme="majorHAnsi"/>
          <w:sz w:val="22"/>
          <w:szCs w:val="22"/>
        </w:rPr>
        <w:t> </w:t>
      </w:r>
    </w:p>
    <w:p w14:paraId="32C06675" w14:textId="0397A9FB" w:rsidR="00FA6FCF" w:rsidRPr="00567A9C" w:rsidRDefault="00BA6502" w:rsidP="00E0014D">
      <w:pPr>
        <w:spacing w:line="276" w:lineRule="auto"/>
        <w:ind w:right="-1"/>
        <w:rPr>
          <w:rFonts w:asciiTheme="majorHAnsi" w:hAnsiTheme="majorHAnsi" w:cstheme="majorHAnsi"/>
          <w:b/>
          <w:bCs/>
          <w:color w:val="002060"/>
        </w:rPr>
      </w:pPr>
      <w:r w:rsidRPr="00567A9C">
        <w:rPr>
          <w:rFonts w:asciiTheme="majorHAnsi" w:hAnsiTheme="majorHAnsi" w:cstheme="majorHAnsi"/>
          <w:b/>
          <w:bCs/>
          <w:color w:val="002060"/>
        </w:rPr>
        <w:t xml:space="preserve">Private sector view of PRISMA policy support to </w:t>
      </w:r>
      <w:r w:rsidR="00B91546" w:rsidRPr="00567A9C">
        <w:rPr>
          <w:rFonts w:asciiTheme="majorHAnsi" w:hAnsiTheme="majorHAnsi" w:cstheme="majorHAnsi"/>
          <w:b/>
          <w:bCs/>
          <w:color w:val="002060"/>
        </w:rPr>
        <w:t xml:space="preserve">the </w:t>
      </w:r>
      <w:r w:rsidRPr="00567A9C">
        <w:rPr>
          <w:rFonts w:asciiTheme="majorHAnsi" w:hAnsiTheme="majorHAnsi" w:cstheme="majorHAnsi"/>
          <w:b/>
          <w:bCs/>
          <w:color w:val="002060"/>
        </w:rPr>
        <w:t>MoA on good animal feed practices</w:t>
      </w:r>
    </w:p>
    <w:bookmarkStart w:id="104" w:name="_Toc173318317"/>
    <w:p w14:paraId="7293DB25" w14:textId="08D432DD" w:rsidR="00FA6FCF" w:rsidRPr="00567A9C" w:rsidRDefault="00DC5786" w:rsidP="5583D54B">
      <w:pPr>
        <w:pStyle w:val="Head3"/>
        <w:ind w:left="0"/>
        <w:rPr>
          <w:rFonts w:eastAsiaTheme="minorEastAsia" w:cstheme="majorHAnsi"/>
          <w:b w:val="0"/>
          <w:bCs w:val="0"/>
          <w:i/>
          <w:iCs/>
          <w:color w:val="002060"/>
          <w:sz w:val="22"/>
          <w:szCs w:val="22"/>
          <w:lang w:val="en-GB"/>
        </w:rPr>
      </w:pPr>
      <w:r w:rsidRPr="00567A9C">
        <w:rPr>
          <w:rFonts w:eastAsiaTheme="minorEastAsia" w:cstheme="majorHAnsi"/>
          <w:b w:val="0"/>
          <w:bCs w:val="0"/>
          <w:i/>
          <w:iCs/>
          <w:color w:val="002060"/>
          <w:sz w:val="22"/>
          <w:szCs w:val="22"/>
          <w:lang w:val="en-GB"/>
        </w:rPr>
        <w:fldChar w:fldCharType="begin"/>
      </w:r>
      <w:r w:rsidRPr="00567A9C">
        <w:rPr>
          <w:rFonts w:eastAsiaTheme="minorEastAsia" w:cstheme="majorHAnsi"/>
          <w:b w:val="0"/>
          <w:bCs w:val="0"/>
          <w:i/>
          <w:iCs/>
          <w:color w:val="002060"/>
          <w:sz w:val="22"/>
          <w:szCs w:val="22"/>
          <w:lang w:val="en-GB"/>
        </w:rPr>
        <w:instrText>HYPERLINK "https://www.linkedin.com/feed/hashtag/?keywords=prisma&amp;highlightedUpdateUrns=urn%3Ali%3Aactivity%3A7205841355909074944" \h</w:instrText>
      </w:r>
      <w:r w:rsidRPr="00567A9C">
        <w:rPr>
          <w:rFonts w:eastAsiaTheme="minorEastAsia" w:cstheme="majorHAnsi"/>
          <w:b w:val="0"/>
          <w:bCs w:val="0"/>
          <w:i/>
          <w:iCs/>
          <w:color w:val="002060"/>
          <w:sz w:val="22"/>
          <w:szCs w:val="22"/>
          <w:lang w:val="en-GB"/>
        </w:rPr>
      </w:r>
      <w:r w:rsidRPr="00567A9C">
        <w:rPr>
          <w:rFonts w:eastAsiaTheme="minorEastAsia" w:cstheme="majorHAnsi"/>
          <w:b w:val="0"/>
          <w:bCs w:val="0"/>
          <w:i/>
          <w:iCs/>
          <w:color w:val="002060"/>
          <w:sz w:val="22"/>
          <w:szCs w:val="22"/>
          <w:lang w:val="en-GB"/>
        </w:rPr>
        <w:fldChar w:fldCharType="separate"/>
      </w:r>
      <w:bookmarkStart w:id="105" w:name="_Toc179192309"/>
      <w:bookmarkStart w:id="106" w:name="_Toc180155174"/>
      <w:r w:rsidR="00BA6502" w:rsidRPr="00567A9C">
        <w:rPr>
          <w:rFonts w:eastAsiaTheme="minorEastAsia" w:cstheme="majorHAnsi"/>
          <w:b w:val="0"/>
          <w:bCs w:val="0"/>
          <w:i/>
          <w:iCs/>
          <w:color w:val="002060"/>
          <w:sz w:val="22"/>
          <w:szCs w:val="22"/>
          <w:lang w:val="en-GB"/>
        </w:rPr>
        <w:t>PRISMA</w:t>
      </w:r>
      <w:r w:rsidRPr="00567A9C">
        <w:rPr>
          <w:rFonts w:eastAsiaTheme="minorEastAsia" w:cstheme="majorHAnsi"/>
          <w:b w:val="0"/>
          <w:bCs w:val="0"/>
          <w:i/>
          <w:iCs/>
          <w:color w:val="002060"/>
          <w:sz w:val="22"/>
          <w:szCs w:val="22"/>
          <w:lang w:val="en-GB"/>
        </w:rPr>
        <w:fldChar w:fldCharType="end"/>
      </w:r>
      <w:r w:rsidR="00BA6502" w:rsidRPr="00567A9C">
        <w:rPr>
          <w:rFonts w:eastAsiaTheme="minorEastAsia" w:cstheme="majorHAnsi"/>
          <w:b w:val="0"/>
          <w:bCs w:val="0"/>
          <w:i/>
          <w:iCs/>
          <w:color w:val="002060"/>
          <w:sz w:val="22"/>
          <w:szCs w:val="22"/>
          <w:lang w:val="en-GB"/>
        </w:rPr>
        <w:t xml:space="preserve"> collaborated with the MoA to enhance </w:t>
      </w:r>
      <w:r w:rsidR="00840E42" w:rsidRPr="00567A9C">
        <w:rPr>
          <w:rFonts w:eastAsiaTheme="minorEastAsia" w:cstheme="majorHAnsi"/>
          <w:b w:val="0"/>
          <w:bCs w:val="0"/>
          <w:i/>
          <w:iCs/>
          <w:color w:val="002060"/>
          <w:sz w:val="22"/>
          <w:szCs w:val="22"/>
          <w:lang w:val="en-GB"/>
        </w:rPr>
        <w:t>s</w:t>
      </w:r>
      <w:hyperlink r:id="rId129">
        <w:r w:rsidR="00BA6502" w:rsidRPr="00567A9C">
          <w:rPr>
            <w:rFonts w:eastAsiaTheme="minorEastAsia" w:cstheme="majorHAnsi"/>
            <w:b w:val="0"/>
            <w:bCs w:val="0"/>
            <w:i/>
            <w:iCs/>
            <w:color w:val="002060"/>
            <w:sz w:val="22"/>
            <w:szCs w:val="22"/>
            <w:lang w:val="en-GB"/>
          </w:rPr>
          <w:t>mallholder</w:t>
        </w:r>
      </w:hyperlink>
      <w:r w:rsidR="00BA6502" w:rsidRPr="00567A9C">
        <w:rPr>
          <w:rFonts w:eastAsiaTheme="minorEastAsia" w:cstheme="majorHAnsi"/>
          <w:b w:val="0"/>
          <w:bCs w:val="0"/>
          <w:i/>
          <w:iCs/>
          <w:color w:val="002060"/>
          <w:sz w:val="22"/>
          <w:szCs w:val="22"/>
          <w:lang w:val="en-GB"/>
        </w:rPr>
        <w:t xml:space="preserve"> farmers' access to quality animal </w:t>
      </w:r>
      <w:hyperlink r:id="rId130">
        <w:r w:rsidR="00BA6502" w:rsidRPr="00567A9C">
          <w:rPr>
            <w:rFonts w:eastAsiaTheme="minorEastAsia" w:cstheme="majorHAnsi"/>
            <w:b w:val="0"/>
            <w:bCs w:val="0"/>
            <w:i/>
            <w:iCs/>
            <w:color w:val="002060"/>
            <w:sz w:val="22"/>
            <w:szCs w:val="22"/>
            <w:lang w:val="en-GB"/>
          </w:rPr>
          <w:t>feed</w:t>
        </w:r>
      </w:hyperlink>
      <w:r w:rsidR="00BA6502" w:rsidRPr="00567A9C">
        <w:rPr>
          <w:rFonts w:eastAsiaTheme="minorEastAsia" w:cstheme="majorHAnsi"/>
          <w:b w:val="0"/>
          <w:bCs w:val="0"/>
          <w:i/>
          <w:iCs/>
          <w:color w:val="002060"/>
          <w:sz w:val="22"/>
          <w:szCs w:val="22"/>
          <w:lang w:val="en-GB"/>
        </w:rPr>
        <w:t xml:space="preserve">. </w:t>
      </w:r>
      <w:r w:rsidR="000244F9" w:rsidRPr="00567A9C">
        <w:rPr>
          <w:rFonts w:eastAsiaTheme="minorEastAsia" w:cstheme="majorHAnsi"/>
          <w:b w:val="0"/>
          <w:bCs w:val="0"/>
          <w:i/>
          <w:iCs/>
          <w:color w:val="002060"/>
          <w:sz w:val="22"/>
          <w:szCs w:val="22"/>
          <w:lang w:val="en-GB"/>
        </w:rPr>
        <w:t xml:space="preserve">Feed Directorate MoA, with support from PRISMA, </w:t>
      </w:r>
      <w:r w:rsidR="00BA6502" w:rsidRPr="00567A9C">
        <w:rPr>
          <w:rFonts w:eastAsiaTheme="minorEastAsia" w:cstheme="majorHAnsi"/>
          <w:b w:val="0"/>
          <w:bCs w:val="0"/>
          <w:i/>
          <w:iCs/>
          <w:color w:val="002060"/>
          <w:sz w:val="22"/>
          <w:szCs w:val="22"/>
          <w:lang w:val="en-GB"/>
        </w:rPr>
        <w:t xml:space="preserve"> </w:t>
      </w:r>
      <w:r w:rsidR="00084BF1" w:rsidRPr="00567A9C">
        <w:rPr>
          <w:rFonts w:eastAsiaTheme="minorEastAsia" w:cstheme="majorHAnsi"/>
          <w:b w:val="0"/>
          <w:bCs w:val="0"/>
          <w:i/>
          <w:iCs/>
          <w:color w:val="002060"/>
          <w:sz w:val="22"/>
          <w:szCs w:val="22"/>
          <w:lang w:val="en-GB"/>
        </w:rPr>
        <w:t xml:space="preserve">held an event </w:t>
      </w:r>
      <w:r w:rsidR="00BA6502" w:rsidRPr="00567A9C">
        <w:rPr>
          <w:rFonts w:eastAsiaTheme="minorEastAsia" w:cstheme="majorHAnsi"/>
          <w:b w:val="0"/>
          <w:bCs w:val="0"/>
          <w:i/>
          <w:iCs/>
          <w:color w:val="002060"/>
          <w:sz w:val="22"/>
          <w:szCs w:val="22"/>
          <w:lang w:val="en-GB"/>
        </w:rPr>
        <w:t>provid</w:t>
      </w:r>
      <w:r w:rsidR="00084BF1" w:rsidRPr="00567A9C">
        <w:rPr>
          <w:rFonts w:eastAsiaTheme="minorEastAsia" w:cstheme="majorHAnsi"/>
          <w:b w:val="0"/>
          <w:bCs w:val="0"/>
          <w:i/>
          <w:iCs/>
          <w:color w:val="002060"/>
          <w:sz w:val="22"/>
          <w:szCs w:val="22"/>
          <w:lang w:val="en-GB"/>
        </w:rPr>
        <w:t xml:space="preserve">ing </w:t>
      </w:r>
      <w:r w:rsidR="00BA6502" w:rsidRPr="00567A9C">
        <w:rPr>
          <w:rFonts w:eastAsiaTheme="minorEastAsia" w:cstheme="majorHAnsi"/>
          <w:b w:val="0"/>
          <w:bCs w:val="0"/>
          <w:i/>
          <w:iCs/>
          <w:color w:val="002060"/>
          <w:sz w:val="22"/>
          <w:szCs w:val="22"/>
          <w:lang w:val="en-GB"/>
        </w:rPr>
        <w:t xml:space="preserve">technical guidance to </w:t>
      </w:r>
      <w:r w:rsidR="00F22727" w:rsidRPr="00567A9C">
        <w:rPr>
          <w:rFonts w:eastAsiaTheme="minorEastAsia" w:cstheme="majorHAnsi"/>
          <w:b w:val="0"/>
          <w:bCs w:val="0"/>
          <w:i/>
          <w:iCs/>
          <w:color w:val="002060"/>
          <w:sz w:val="22"/>
          <w:szCs w:val="22"/>
          <w:lang w:val="en-GB"/>
        </w:rPr>
        <w:t>micro, small, medium-sized enterprise (</w:t>
      </w:r>
      <w:r w:rsidR="00BA6502" w:rsidRPr="00567A9C">
        <w:rPr>
          <w:rFonts w:eastAsiaTheme="minorEastAsia" w:cstheme="majorHAnsi"/>
          <w:b w:val="0"/>
          <w:bCs w:val="0"/>
          <w:i/>
          <w:iCs/>
          <w:color w:val="002060"/>
          <w:sz w:val="22"/>
          <w:szCs w:val="22"/>
          <w:lang w:val="en-GB"/>
        </w:rPr>
        <w:t>MSME</w:t>
      </w:r>
      <w:r w:rsidR="00F22727" w:rsidRPr="00567A9C">
        <w:rPr>
          <w:rFonts w:eastAsiaTheme="minorEastAsia" w:cstheme="majorHAnsi"/>
          <w:b w:val="0"/>
          <w:bCs w:val="0"/>
          <w:i/>
          <w:iCs/>
          <w:color w:val="002060"/>
          <w:sz w:val="22"/>
          <w:szCs w:val="22"/>
          <w:lang w:val="en-GB"/>
        </w:rPr>
        <w:t>)</w:t>
      </w:r>
      <w:r w:rsidR="00BA6502" w:rsidRPr="00567A9C">
        <w:rPr>
          <w:rFonts w:eastAsiaTheme="minorEastAsia" w:cstheme="majorHAnsi"/>
          <w:b w:val="0"/>
          <w:bCs w:val="0"/>
          <w:i/>
          <w:iCs/>
          <w:color w:val="002060"/>
          <w:sz w:val="22"/>
          <w:szCs w:val="22"/>
          <w:lang w:val="en-GB"/>
        </w:rPr>
        <w:t xml:space="preserve"> feed producers on </w:t>
      </w:r>
      <w:r w:rsidR="00F22727" w:rsidRPr="00567A9C">
        <w:rPr>
          <w:rFonts w:eastAsiaTheme="minorEastAsia" w:cstheme="majorHAnsi"/>
          <w:b w:val="0"/>
          <w:bCs w:val="0"/>
          <w:i/>
          <w:iCs/>
          <w:color w:val="002060"/>
          <w:sz w:val="22"/>
          <w:szCs w:val="22"/>
          <w:lang w:val="en-GB"/>
        </w:rPr>
        <w:t>g</w:t>
      </w:r>
      <w:r w:rsidR="00BA6502" w:rsidRPr="00567A9C">
        <w:rPr>
          <w:rFonts w:eastAsiaTheme="minorEastAsia" w:cstheme="majorHAnsi"/>
          <w:b w:val="0"/>
          <w:bCs w:val="0"/>
          <w:i/>
          <w:iCs/>
          <w:color w:val="002060"/>
          <w:sz w:val="22"/>
          <w:szCs w:val="22"/>
          <w:lang w:val="en-GB"/>
        </w:rPr>
        <w:t xml:space="preserve">ood </w:t>
      </w:r>
      <w:r w:rsidR="00F22727" w:rsidRPr="00567A9C">
        <w:rPr>
          <w:rFonts w:eastAsiaTheme="minorEastAsia" w:cstheme="majorHAnsi"/>
          <w:b w:val="0"/>
          <w:bCs w:val="0"/>
          <w:i/>
          <w:iCs/>
          <w:color w:val="002060"/>
          <w:sz w:val="22"/>
          <w:szCs w:val="22"/>
          <w:lang w:val="en-GB"/>
        </w:rPr>
        <w:t>f</w:t>
      </w:r>
      <w:r w:rsidR="00BA6502" w:rsidRPr="00567A9C">
        <w:rPr>
          <w:rFonts w:eastAsiaTheme="minorEastAsia" w:cstheme="majorHAnsi"/>
          <w:b w:val="0"/>
          <w:bCs w:val="0"/>
          <w:i/>
          <w:iCs/>
          <w:color w:val="002060"/>
          <w:sz w:val="22"/>
          <w:szCs w:val="22"/>
          <w:lang w:val="en-GB"/>
        </w:rPr>
        <w:t xml:space="preserve">eed </w:t>
      </w:r>
      <w:r w:rsidR="00F22727" w:rsidRPr="00567A9C">
        <w:rPr>
          <w:rFonts w:eastAsiaTheme="minorEastAsia" w:cstheme="majorHAnsi"/>
          <w:b w:val="0"/>
          <w:bCs w:val="0"/>
          <w:i/>
          <w:iCs/>
          <w:color w:val="002060"/>
          <w:sz w:val="22"/>
          <w:szCs w:val="22"/>
          <w:lang w:val="en-GB"/>
        </w:rPr>
        <w:t>m</w:t>
      </w:r>
      <w:r w:rsidR="00BA6502" w:rsidRPr="00567A9C">
        <w:rPr>
          <w:rFonts w:eastAsiaTheme="minorEastAsia" w:cstheme="majorHAnsi"/>
          <w:b w:val="0"/>
          <w:bCs w:val="0"/>
          <w:i/>
          <w:iCs/>
          <w:color w:val="002060"/>
          <w:sz w:val="22"/>
          <w:szCs w:val="22"/>
          <w:lang w:val="en-GB"/>
        </w:rPr>
        <w:t xml:space="preserve">anufacturing </w:t>
      </w:r>
      <w:r w:rsidR="00F22727" w:rsidRPr="00567A9C">
        <w:rPr>
          <w:rFonts w:eastAsiaTheme="minorEastAsia" w:cstheme="majorHAnsi"/>
          <w:b w:val="0"/>
          <w:bCs w:val="0"/>
          <w:i/>
          <w:iCs/>
          <w:color w:val="002060"/>
          <w:sz w:val="22"/>
          <w:szCs w:val="22"/>
          <w:lang w:val="en-GB"/>
        </w:rPr>
        <w:t>p</w:t>
      </w:r>
      <w:r w:rsidR="00BA6502" w:rsidRPr="00567A9C">
        <w:rPr>
          <w:rFonts w:eastAsiaTheme="minorEastAsia" w:cstheme="majorHAnsi"/>
          <w:b w:val="0"/>
          <w:bCs w:val="0"/>
          <w:i/>
          <w:iCs/>
          <w:color w:val="002060"/>
          <w:sz w:val="22"/>
          <w:szCs w:val="22"/>
          <w:lang w:val="en-GB"/>
        </w:rPr>
        <w:t xml:space="preserve">ractices, </w:t>
      </w:r>
      <w:r w:rsidR="00F22727" w:rsidRPr="00567A9C">
        <w:rPr>
          <w:rFonts w:eastAsiaTheme="minorEastAsia" w:cstheme="majorHAnsi"/>
          <w:b w:val="0"/>
          <w:bCs w:val="0"/>
          <w:i/>
          <w:iCs/>
          <w:color w:val="002060"/>
          <w:sz w:val="22"/>
          <w:szCs w:val="22"/>
          <w:lang w:val="en-GB"/>
        </w:rPr>
        <w:t>n</w:t>
      </w:r>
      <w:r w:rsidR="00BA6502" w:rsidRPr="00567A9C">
        <w:rPr>
          <w:rFonts w:eastAsiaTheme="minorEastAsia" w:cstheme="majorHAnsi"/>
          <w:b w:val="0"/>
          <w:bCs w:val="0"/>
          <w:i/>
          <w:iCs/>
          <w:color w:val="002060"/>
          <w:sz w:val="22"/>
          <w:szCs w:val="22"/>
          <w:lang w:val="en-GB"/>
        </w:rPr>
        <w:t xml:space="preserve">ational </w:t>
      </w:r>
      <w:r w:rsidR="00F22727" w:rsidRPr="00567A9C">
        <w:rPr>
          <w:rFonts w:eastAsiaTheme="minorEastAsia" w:cstheme="majorHAnsi"/>
          <w:b w:val="0"/>
          <w:bCs w:val="0"/>
          <w:i/>
          <w:iCs/>
          <w:color w:val="002060"/>
          <w:sz w:val="22"/>
          <w:szCs w:val="22"/>
          <w:lang w:val="en-GB"/>
        </w:rPr>
        <w:t>f</w:t>
      </w:r>
      <w:r w:rsidR="00BA6502" w:rsidRPr="00567A9C">
        <w:rPr>
          <w:rFonts w:eastAsiaTheme="minorEastAsia" w:cstheme="majorHAnsi"/>
          <w:b w:val="0"/>
          <w:bCs w:val="0"/>
          <w:i/>
          <w:iCs/>
          <w:color w:val="002060"/>
          <w:sz w:val="22"/>
          <w:szCs w:val="22"/>
          <w:lang w:val="en-GB"/>
        </w:rPr>
        <w:t xml:space="preserve">eed </w:t>
      </w:r>
      <w:r w:rsidR="00F22727" w:rsidRPr="00567A9C">
        <w:rPr>
          <w:rFonts w:eastAsiaTheme="minorEastAsia" w:cstheme="majorHAnsi"/>
          <w:b w:val="0"/>
          <w:bCs w:val="0"/>
          <w:i/>
          <w:iCs/>
          <w:color w:val="002060"/>
          <w:sz w:val="22"/>
          <w:szCs w:val="22"/>
          <w:lang w:val="en-GB"/>
        </w:rPr>
        <w:t>s</w:t>
      </w:r>
      <w:r w:rsidR="00BA6502" w:rsidRPr="00567A9C">
        <w:rPr>
          <w:rFonts w:eastAsiaTheme="minorEastAsia" w:cstheme="majorHAnsi"/>
          <w:b w:val="0"/>
          <w:bCs w:val="0"/>
          <w:i/>
          <w:iCs/>
          <w:color w:val="002060"/>
          <w:sz w:val="22"/>
          <w:szCs w:val="22"/>
          <w:lang w:val="en-GB"/>
        </w:rPr>
        <w:t>tandard</w:t>
      </w:r>
      <w:r w:rsidR="00F22727" w:rsidRPr="00567A9C">
        <w:rPr>
          <w:rFonts w:eastAsiaTheme="minorEastAsia" w:cstheme="majorHAnsi"/>
          <w:b w:val="0"/>
          <w:bCs w:val="0"/>
          <w:i/>
          <w:iCs/>
          <w:color w:val="002060"/>
          <w:sz w:val="22"/>
          <w:szCs w:val="22"/>
          <w:lang w:val="en-GB"/>
        </w:rPr>
        <w:t>s</w:t>
      </w:r>
      <w:r w:rsidR="00BA6502" w:rsidRPr="00567A9C">
        <w:rPr>
          <w:rFonts w:eastAsiaTheme="minorEastAsia" w:cstheme="majorHAnsi"/>
          <w:b w:val="0"/>
          <w:bCs w:val="0"/>
          <w:i/>
          <w:iCs/>
          <w:color w:val="002060"/>
          <w:sz w:val="22"/>
          <w:szCs w:val="22"/>
          <w:lang w:val="en-GB"/>
        </w:rPr>
        <w:t xml:space="preserve"> with a grading system, and the </w:t>
      </w:r>
      <w:r w:rsidR="00084BF1" w:rsidRPr="00567A9C">
        <w:rPr>
          <w:rFonts w:eastAsiaTheme="minorEastAsia" w:cstheme="majorHAnsi"/>
          <w:b w:val="0"/>
          <w:bCs w:val="0"/>
          <w:i/>
          <w:iCs/>
          <w:color w:val="002060"/>
          <w:sz w:val="22"/>
          <w:szCs w:val="22"/>
          <w:lang w:val="en-GB"/>
        </w:rPr>
        <w:t>f</w:t>
      </w:r>
      <w:r w:rsidR="00BA6502" w:rsidRPr="00567A9C">
        <w:rPr>
          <w:rFonts w:eastAsiaTheme="minorEastAsia" w:cstheme="majorHAnsi"/>
          <w:b w:val="0"/>
          <w:bCs w:val="0"/>
          <w:i/>
          <w:iCs/>
          <w:color w:val="002060"/>
          <w:sz w:val="22"/>
          <w:szCs w:val="22"/>
          <w:lang w:val="en-GB"/>
        </w:rPr>
        <w:t xml:space="preserve">eed </w:t>
      </w:r>
      <w:r w:rsidR="00084BF1" w:rsidRPr="00567A9C">
        <w:rPr>
          <w:rFonts w:eastAsiaTheme="minorEastAsia" w:cstheme="majorHAnsi"/>
          <w:b w:val="0"/>
          <w:bCs w:val="0"/>
          <w:i/>
          <w:iCs/>
          <w:color w:val="002060"/>
          <w:sz w:val="22"/>
          <w:szCs w:val="22"/>
          <w:lang w:val="en-GB"/>
        </w:rPr>
        <w:t>r</w:t>
      </w:r>
      <w:r w:rsidR="00BA6502" w:rsidRPr="00567A9C">
        <w:rPr>
          <w:rFonts w:eastAsiaTheme="minorEastAsia" w:cstheme="majorHAnsi"/>
          <w:b w:val="0"/>
          <w:bCs w:val="0"/>
          <w:i/>
          <w:iCs/>
          <w:color w:val="002060"/>
          <w:sz w:val="22"/>
          <w:szCs w:val="22"/>
          <w:lang w:val="en-GB"/>
        </w:rPr>
        <w:t xml:space="preserve">egistry </w:t>
      </w:r>
      <w:r w:rsidR="00084BF1" w:rsidRPr="00567A9C">
        <w:rPr>
          <w:rFonts w:eastAsiaTheme="minorEastAsia" w:cstheme="majorHAnsi"/>
          <w:b w:val="0"/>
          <w:bCs w:val="0"/>
          <w:i/>
          <w:iCs/>
          <w:color w:val="002060"/>
          <w:sz w:val="22"/>
          <w:szCs w:val="22"/>
          <w:lang w:val="en-GB"/>
        </w:rPr>
        <w:t>n</w:t>
      </w:r>
      <w:r w:rsidR="00BA6502" w:rsidRPr="00567A9C">
        <w:rPr>
          <w:rFonts w:eastAsiaTheme="minorEastAsia" w:cstheme="majorHAnsi"/>
          <w:b w:val="0"/>
          <w:bCs w:val="0"/>
          <w:i/>
          <w:iCs/>
          <w:color w:val="002060"/>
          <w:sz w:val="22"/>
          <w:szCs w:val="22"/>
          <w:lang w:val="en-GB"/>
        </w:rPr>
        <w:t>umber</w:t>
      </w:r>
      <w:r w:rsidR="00084BF1" w:rsidRPr="00567A9C">
        <w:rPr>
          <w:rFonts w:eastAsiaTheme="minorEastAsia" w:cstheme="majorHAnsi"/>
          <w:b w:val="0"/>
          <w:bCs w:val="0"/>
          <w:i/>
          <w:iCs/>
          <w:color w:val="002060"/>
          <w:sz w:val="22"/>
          <w:szCs w:val="22"/>
          <w:lang w:val="en-GB"/>
        </w:rPr>
        <w:t>ing</w:t>
      </w:r>
      <w:r w:rsidR="00BA6502" w:rsidRPr="00567A9C">
        <w:rPr>
          <w:rFonts w:eastAsiaTheme="minorEastAsia" w:cstheme="majorHAnsi"/>
          <w:b w:val="0"/>
          <w:bCs w:val="0"/>
          <w:i/>
          <w:iCs/>
          <w:color w:val="002060"/>
          <w:sz w:val="22"/>
          <w:szCs w:val="22"/>
          <w:lang w:val="en-GB"/>
        </w:rPr>
        <w:t>.</w:t>
      </w:r>
      <w:bookmarkEnd w:id="104"/>
      <w:bookmarkEnd w:id="105"/>
      <w:bookmarkEnd w:id="106"/>
    </w:p>
    <w:p w14:paraId="7C9ABEBC" w14:textId="4450104F" w:rsidR="00FA6FCF" w:rsidRPr="00C64064" w:rsidRDefault="00FA6FCF" w:rsidP="00FA6FCF">
      <w:pPr>
        <w:spacing w:line="276" w:lineRule="auto"/>
        <w:rPr>
          <w:rFonts w:asciiTheme="majorHAnsi" w:hAnsiTheme="majorHAnsi" w:cstheme="majorHAnsi"/>
          <w:iCs/>
        </w:rPr>
      </w:pPr>
      <w:r w:rsidRPr="00C64064">
        <w:rPr>
          <w:rFonts w:asciiTheme="majorHAnsi" w:hAnsiTheme="majorHAnsi" w:cstheme="majorHAnsi"/>
          <w:noProof/>
        </w:rPr>
        <mc:AlternateContent>
          <mc:Choice Requires="wps">
            <w:drawing>
              <wp:anchor distT="0" distB="0" distL="114300" distR="114300" simplePos="0" relativeHeight="251658244" behindDoc="0" locked="0" layoutInCell="1" allowOverlap="1" wp14:anchorId="6D1156D8" wp14:editId="5FF029B8">
                <wp:simplePos x="0" y="0"/>
                <wp:positionH relativeFrom="column">
                  <wp:posOffset>2113104</wp:posOffset>
                </wp:positionH>
                <wp:positionV relativeFrom="paragraph">
                  <wp:posOffset>66675</wp:posOffset>
                </wp:positionV>
                <wp:extent cx="3873998" cy="1637030"/>
                <wp:effectExtent l="0" t="0" r="0" b="1270"/>
                <wp:wrapNone/>
                <wp:docPr id="760551543"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873998" cy="1637030"/>
                        </a:xfrm>
                        <a:prstGeom prst="rect">
                          <a:avLst/>
                        </a:prstGeom>
                        <a:solidFill>
                          <a:srgbClr val="252C66"/>
                        </a:solidFill>
                        <a:ln w="6350">
                          <a:noFill/>
                        </a:ln>
                      </wps:spPr>
                      <wps:txbx>
                        <w:txbxContent>
                          <w:p w14:paraId="5EB44416" w14:textId="77777777" w:rsidR="00FA6FCF" w:rsidRPr="00E72EF3" w:rsidRDefault="00FA6FCF" w:rsidP="00FA6FCF">
                            <w:pPr>
                              <w:pStyle w:val="Header"/>
                              <w:spacing w:after="200"/>
                              <w:textAlignment w:val="baseline"/>
                              <w:rPr>
                                <w:rStyle w:val="Hyperlink"/>
                                <w:rFonts w:cs="Arial"/>
                                <w:i/>
                                <w:iCs/>
                                <w:color w:val="FFFFFF" w:themeColor="background1"/>
                                <w:sz w:val="21"/>
                                <w:szCs w:val="21"/>
                                <w:lang w:val="en-US"/>
                              </w:rPr>
                            </w:pPr>
                            <w:r w:rsidRPr="00E72EF3">
                              <w:rPr>
                                <w:rFonts w:cs="Arial"/>
                                <w:i/>
                                <w:iCs/>
                                <w:noProof/>
                                <w:color w:val="FFFFFF" w:themeColor="background1"/>
                                <w:sz w:val="21"/>
                                <w:szCs w:val="21"/>
                                <w:lang w:val="en-US"/>
                              </w:rPr>
                              <w:drawing>
                                <wp:inline distT="0" distB="0" distL="0" distR="0" wp14:anchorId="4866E8BC" wp14:editId="2EFB5FE6">
                                  <wp:extent cx="126853" cy="126853"/>
                                  <wp:effectExtent l="0" t="0" r="6985" b="6985"/>
                                  <wp:docPr id="1798517271" name="Graphic 17985172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74014"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128823" cy="128823"/>
                                          </a:xfrm>
                                          <a:prstGeom prst="rect">
                                            <a:avLst/>
                                          </a:prstGeom>
                                        </pic:spPr>
                                      </pic:pic>
                                    </a:graphicData>
                                  </a:graphic>
                                </wp:inline>
                              </w:drawing>
                            </w:r>
                          </w:p>
                          <w:p w14:paraId="44A4D808" w14:textId="20489647" w:rsidR="00FA6FCF" w:rsidRPr="008B1B23" w:rsidRDefault="00FA6FCF" w:rsidP="00FA6FCF">
                            <w:pPr>
                              <w:pStyle w:val="Header"/>
                              <w:spacing w:after="200"/>
                              <w:textAlignment w:val="baseline"/>
                              <w:rPr>
                                <w:rFonts w:cs="Arial"/>
                                <w:color w:val="FFFFFF" w:themeColor="background1"/>
                                <w:szCs w:val="20"/>
                              </w:rPr>
                            </w:pPr>
                            <w:r>
                              <w:rPr>
                                <w:rFonts w:cs="Arial"/>
                                <w:color w:val="FFFFFF" w:themeColor="background1"/>
                                <w:szCs w:val="20"/>
                              </w:rPr>
                              <w:t xml:space="preserve">We </w:t>
                            </w:r>
                            <w:r w:rsidRPr="00204AE8">
                              <w:rPr>
                                <w:rFonts w:cs="Arial"/>
                                <w:color w:val="FFFFFF" w:themeColor="background1"/>
                                <w:szCs w:val="20"/>
                              </w:rPr>
                              <w:t xml:space="preserve">are very </w:t>
                            </w:r>
                            <w:r w:rsidR="00084BF1">
                              <w:rPr>
                                <w:rFonts w:cs="Arial"/>
                                <w:color w:val="FFFFFF" w:themeColor="background1"/>
                                <w:szCs w:val="20"/>
                              </w:rPr>
                              <w:t>appreciative</w:t>
                            </w:r>
                            <w:r w:rsidRPr="00204AE8">
                              <w:rPr>
                                <w:rFonts w:cs="Arial"/>
                                <w:color w:val="FFFFFF" w:themeColor="background1"/>
                                <w:szCs w:val="20"/>
                              </w:rPr>
                              <w:t xml:space="preserve"> </w:t>
                            </w:r>
                            <w:r w:rsidR="008815DB">
                              <w:rPr>
                                <w:rFonts w:cs="Arial"/>
                                <w:color w:val="FFFFFF" w:themeColor="background1"/>
                                <w:szCs w:val="20"/>
                              </w:rPr>
                              <w:t>of</w:t>
                            </w:r>
                            <w:r w:rsidR="00084BF1">
                              <w:rPr>
                                <w:rFonts w:cs="Arial"/>
                                <w:color w:val="FFFFFF" w:themeColor="background1"/>
                                <w:szCs w:val="20"/>
                              </w:rPr>
                              <w:t xml:space="preserve"> this</w:t>
                            </w:r>
                            <w:r w:rsidRPr="00204AE8">
                              <w:rPr>
                                <w:rFonts w:cs="Arial"/>
                                <w:color w:val="FFFFFF" w:themeColor="background1"/>
                                <w:szCs w:val="20"/>
                              </w:rPr>
                              <w:t xml:space="preserve"> knowledge</w:t>
                            </w:r>
                            <w:r w:rsidR="008815DB">
                              <w:rPr>
                                <w:rFonts w:cs="Arial"/>
                                <w:color w:val="FFFFFF" w:themeColor="background1"/>
                                <w:szCs w:val="20"/>
                              </w:rPr>
                              <w:t>-</w:t>
                            </w:r>
                            <w:r w:rsidRPr="00204AE8">
                              <w:rPr>
                                <w:rFonts w:cs="Arial"/>
                                <w:color w:val="FFFFFF" w:themeColor="background1"/>
                                <w:szCs w:val="20"/>
                              </w:rPr>
                              <w:t xml:space="preserve">sharing event </w:t>
                            </w:r>
                            <w:r w:rsidR="00084BF1">
                              <w:rPr>
                                <w:rFonts w:cs="Arial"/>
                                <w:color w:val="FFFFFF" w:themeColor="background1"/>
                                <w:szCs w:val="20"/>
                              </w:rPr>
                              <w:t>on</w:t>
                            </w:r>
                            <w:r w:rsidRPr="00204AE8">
                              <w:rPr>
                                <w:rFonts w:cs="Arial"/>
                                <w:color w:val="FFFFFF" w:themeColor="background1"/>
                                <w:szCs w:val="20"/>
                              </w:rPr>
                              <w:t xml:space="preserve"> implement</w:t>
                            </w:r>
                            <w:r w:rsidR="00084BF1">
                              <w:rPr>
                                <w:rFonts w:cs="Arial"/>
                                <w:color w:val="FFFFFF" w:themeColor="background1"/>
                                <w:szCs w:val="20"/>
                              </w:rPr>
                              <w:t>ing</w:t>
                            </w:r>
                            <w:r w:rsidRPr="00204AE8">
                              <w:rPr>
                                <w:rFonts w:cs="Arial"/>
                                <w:color w:val="FFFFFF" w:themeColor="background1"/>
                                <w:szCs w:val="20"/>
                              </w:rPr>
                              <w:t xml:space="preserve"> </w:t>
                            </w:r>
                            <w:r w:rsidR="00084BF1">
                              <w:rPr>
                                <w:rFonts w:cs="Arial"/>
                                <w:color w:val="FFFFFF" w:themeColor="background1"/>
                                <w:szCs w:val="20"/>
                              </w:rPr>
                              <w:t>g</w:t>
                            </w:r>
                            <w:r w:rsidRPr="00204AE8">
                              <w:rPr>
                                <w:rFonts w:cs="Arial"/>
                                <w:color w:val="FFFFFF" w:themeColor="background1"/>
                                <w:szCs w:val="20"/>
                              </w:rPr>
                              <w:t xml:space="preserve">ood </w:t>
                            </w:r>
                            <w:r w:rsidR="00084BF1">
                              <w:rPr>
                                <w:rFonts w:cs="Arial"/>
                                <w:color w:val="FFFFFF" w:themeColor="background1"/>
                                <w:szCs w:val="20"/>
                              </w:rPr>
                              <w:t>f</w:t>
                            </w:r>
                            <w:r w:rsidRPr="00204AE8">
                              <w:rPr>
                                <w:rFonts w:cs="Arial"/>
                                <w:color w:val="FFFFFF" w:themeColor="background1"/>
                                <w:szCs w:val="20"/>
                              </w:rPr>
                              <w:t xml:space="preserve">eed </w:t>
                            </w:r>
                            <w:r w:rsidR="00084BF1">
                              <w:rPr>
                                <w:rFonts w:cs="Arial"/>
                                <w:color w:val="FFFFFF" w:themeColor="background1"/>
                                <w:szCs w:val="20"/>
                              </w:rPr>
                              <w:t>p</w:t>
                            </w:r>
                            <w:r w:rsidRPr="00204AE8">
                              <w:rPr>
                                <w:rFonts w:cs="Arial"/>
                                <w:color w:val="FFFFFF" w:themeColor="background1"/>
                                <w:szCs w:val="20"/>
                              </w:rPr>
                              <w:t xml:space="preserve">rocessing </w:t>
                            </w:r>
                            <w:r w:rsidR="00084BF1">
                              <w:rPr>
                                <w:rFonts w:cs="Arial"/>
                                <w:color w:val="FFFFFF" w:themeColor="background1"/>
                                <w:szCs w:val="20"/>
                              </w:rPr>
                              <w:t>p</w:t>
                            </w:r>
                            <w:r w:rsidRPr="00204AE8">
                              <w:rPr>
                                <w:rFonts w:cs="Arial"/>
                                <w:color w:val="FFFFFF" w:themeColor="background1"/>
                                <w:szCs w:val="20"/>
                              </w:rPr>
                              <w:t xml:space="preserve">ractices </w:t>
                            </w:r>
                            <w:r w:rsidR="00084BF1">
                              <w:rPr>
                                <w:rFonts w:cs="Arial"/>
                                <w:color w:val="FFFFFF" w:themeColor="background1"/>
                                <w:szCs w:val="20"/>
                              </w:rPr>
                              <w:t>in</w:t>
                            </w:r>
                            <w:r w:rsidRPr="00204AE8">
                              <w:rPr>
                                <w:rFonts w:cs="Arial"/>
                                <w:color w:val="FFFFFF" w:themeColor="background1"/>
                                <w:szCs w:val="20"/>
                              </w:rPr>
                              <w:t xml:space="preserve"> our business</w:t>
                            </w:r>
                            <w:r>
                              <w:rPr>
                                <w:rFonts w:cs="Arial"/>
                                <w:color w:val="FFFFFF" w:themeColor="background1"/>
                                <w:szCs w:val="20"/>
                              </w:rPr>
                              <w:t>.</w:t>
                            </w:r>
                          </w:p>
                          <w:p w14:paraId="03009529" w14:textId="331DA7F4" w:rsidR="00FA6FCF" w:rsidRPr="00E72EF3" w:rsidRDefault="00FA6FCF" w:rsidP="00FA6FCF">
                            <w:pPr>
                              <w:pStyle w:val="Header"/>
                              <w:spacing w:after="200"/>
                              <w:textAlignment w:val="baseline"/>
                              <w:rPr>
                                <w:rFonts w:cs="Arial"/>
                                <w:color w:val="FFFFFF" w:themeColor="background1"/>
                                <w:szCs w:val="20"/>
                              </w:rPr>
                            </w:pPr>
                            <w:r>
                              <w:rPr>
                                <w:rFonts w:cs="Arial"/>
                                <w:b/>
                                <w:bCs/>
                                <w:color w:val="FFFFFF" w:themeColor="background1"/>
                                <w:szCs w:val="20"/>
                              </w:rPr>
                              <w:t xml:space="preserve">Juani </w:t>
                            </w:r>
                            <w:r>
                              <w:rPr>
                                <w:rFonts w:cs="Arial"/>
                                <w:color w:val="FFFFFF" w:themeColor="background1"/>
                                <w:szCs w:val="20"/>
                              </w:rPr>
                              <w:t>(</w:t>
                            </w:r>
                            <w:r w:rsidRPr="00204AE8">
                              <w:rPr>
                                <w:rFonts w:cs="Arial"/>
                                <w:i/>
                                <w:iCs/>
                                <w:color w:val="FFFFFF" w:themeColor="background1"/>
                                <w:szCs w:val="20"/>
                              </w:rPr>
                              <w:t>right</w:t>
                            </w:r>
                            <w:r>
                              <w:rPr>
                                <w:rFonts w:cs="Arial"/>
                                <w:color w:val="FFFFFF" w:themeColor="background1"/>
                                <w:szCs w:val="20"/>
                              </w:rPr>
                              <w:t>)</w:t>
                            </w:r>
                            <w:r>
                              <w:rPr>
                                <w:rFonts w:cs="Arial"/>
                                <w:b/>
                                <w:bCs/>
                                <w:color w:val="FFFFFF" w:themeColor="background1"/>
                                <w:szCs w:val="20"/>
                              </w:rPr>
                              <w:t>,</w:t>
                            </w:r>
                            <w:r w:rsidRPr="00115014">
                              <w:rPr>
                                <w:rFonts w:cs="Arial"/>
                                <w:color w:val="FFFFFF" w:themeColor="background1"/>
                                <w:szCs w:val="20"/>
                              </w:rPr>
                              <w:t xml:space="preserve"> </w:t>
                            </w:r>
                            <w:r>
                              <w:rPr>
                                <w:rFonts w:cs="Arial"/>
                                <w:color w:val="FFFFFF" w:themeColor="background1"/>
                                <w:szCs w:val="20"/>
                              </w:rPr>
                              <w:t xml:space="preserve">Head of </w:t>
                            </w:r>
                            <w:r w:rsidRPr="009E60AF">
                              <w:rPr>
                                <w:rFonts w:cs="Arial"/>
                                <w:color w:val="FFFFFF" w:themeColor="background1"/>
                                <w:szCs w:val="20"/>
                              </w:rPr>
                              <w:t>Agribusiness Cooperative</w:t>
                            </w:r>
                            <w:r>
                              <w:rPr>
                                <w:rFonts w:cs="Arial"/>
                                <w:color w:val="FFFFFF" w:themeColor="background1"/>
                                <w:szCs w:val="20"/>
                              </w:rPr>
                              <w:t xml:space="preserve"> (KAN) in Jabung, Malang</w:t>
                            </w:r>
                            <w:r w:rsidR="008E56FD">
                              <w:rPr>
                                <w:rFonts w:cs="Arial"/>
                                <w:color w:val="FFFFFF" w:themeColor="background1"/>
                                <w:szCs w:val="20"/>
                              </w:rPr>
                              <w:t xml:space="preserve"> </w:t>
                            </w:r>
                            <w:r w:rsidR="008E56FD">
                              <w:rPr>
                                <w:rFonts w:cs="Arial"/>
                                <w:color w:val="FFFFFF" w:themeColor="background1"/>
                                <w:szCs w:val="20"/>
                              </w:rPr>
                              <w:tab/>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1156D8" id="_x0000_s1066" type="#_x0000_t202" alt="&quot;&quot;" style="position:absolute;margin-left:166.4pt;margin-top:5.25pt;width:305.05pt;height:128.9pt;z-index:2516582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" fillcolor="#252c66" stroked="f" strokeweight=".5pt">
                <v:textbox inset="5mm,5mm,5mm,5mm">
                  <w:txbxContent>
                    <w:p w14:paraId="5EB44416" w14:textId="77777777" w:rsidR="00FA6FCF" w:rsidRPr="00E72EF3" w:rsidRDefault="00FA6FCF" w:rsidP="00FA6FCF">
                      <w:pPr>
                        <w:pStyle w:val="Header"/>
                        <w:spacing w:after="200"/>
                        <w:textAlignment w:val="baseline"/>
                        <w:rPr>
                          <w:rStyle w:val="Hyperlink"/>
                          <w:rFonts w:cs="Arial"/>
                          <w:i/>
                          <w:iCs/>
                          <w:color w:val="FFFFFF" w:themeColor="background1"/>
                          <w:sz w:val="21"/>
                          <w:szCs w:val="21"/>
                          <w:lang w:val="en-US"/>
                        </w:rPr>
                      </w:pPr>
                      <w:r w:rsidRPr="00E72EF3">
                        <w:rPr>
                          <w:rFonts w:cs="Arial"/>
                          <w:i/>
                          <w:iCs/>
                          <w:noProof/>
                          <w:color w:val="FFFFFF" w:themeColor="background1"/>
                          <w:sz w:val="21"/>
                          <w:szCs w:val="21"/>
                          <w:lang w:val="en-US"/>
                        </w:rPr>
                        <w:drawing>
                          <wp:inline distT="0" distB="0" distL="0" distR="0" wp14:anchorId="4866E8BC" wp14:editId="2EFB5FE6">
                            <wp:extent cx="126853" cy="126853"/>
                            <wp:effectExtent l="0" t="0" r="6985" b="6985"/>
                            <wp:docPr id="1798517271" name="Graphic 17985172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74014"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128823" cy="128823"/>
                                    </a:xfrm>
                                    <a:prstGeom prst="rect">
                                      <a:avLst/>
                                    </a:prstGeom>
                                  </pic:spPr>
                                </pic:pic>
                              </a:graphicData>
                            </a:graphic>
                          </wp:inline>
                        </w:drawing>
                      </w:r>
                    </w:p>
                    <w:p w14:paraId="44A4D808" w14:textId="20489647" w:rsidR="00FA6FCF" w:rsidRPr="008B1B23" w:rsidRDefault="00FA6FCF" w:rsidP="00FA6FCF">
                      <w:pPr>
                        <w:pStyle w:val="Header"/>
                        <w:spacing w:after="200"/>
                        <w:textAlignment w:val="baseline"/>
                        <w:rPr>
                          <w:rFonts w:cs="Arial"/>
                          <w:color w:val="FFFFFF" w:themeColor="background1"/>
                          <w:szCs w:val="20"/>
                        </w:rPr>
                      </w:pPr>
                      <w:r>
                        <w:rPr>
                          <w:rFonts w:cs="Arial"/>
                          <w:color w:val="FFFFFF" w:themeColor="background1"/>
                          <w:szCs w:val="20"/>
                        </w:rPr>
                        <w:t xml:space="preserve">We </w:t>
                      </w:r>
                      <w:r w:rsidRPr="00204AE8">
                        <w:rPr>
                          <w:rFonts w:cs="Arial"/>
                          <w:color w:val="FFFFFF" w:themeColor="background1"/>
                          <w:szCs w:val="20"/>
                        </w:rPr>
                        <w:t xml:space="preserve">are very </w:t>
                      </w:r>
                      <w:r w:rsidR="00084BF1">
                        <w:rPr>
                          <w:rFonts w:cs="Arial"/>
                          <w:color w:val="FFFFFF" w:themeColor="background1"/>
                          <w:szCs w:val="20"/>
                        </w:rPr>
                        <w:t>appreciative</w:t>
                      </w:r>
                      <w:r w:rsidRPr="00204AE8">
                        <w:rPr>
                          <w:rFonts w:cs="Arial"/>
                          <w:color w:val="FFFFFF" w:themeColor="background1"/>
                          <w:szCs w:val="20"/>
                        </w:rPr>
                        <w:t xml:space="preserve"> </w:t>
                      </w:r>
                      <w:r w:rsidR="008815DB">
                        <w:rPr>
                          <w:rFonts w:cs="Arial"/>
                          <w:color w:val="FFFFFF" w:themeColor="background1"/>
                          <w:szCs w:val="20"/>
                        </w:rPr>
                        <w:t>of</w:t>
                      </w:r>
                      <w:r w:rsidR="00084BF1">
                        <w:rPr>
                          <w:rFonts w:cs="Arial"/>
                          <w:color w:val="FFFFFF" w:themeColor="background1"/>
                          <w:szCs w:val="20"/>
                        </w:rPr>
                        <w:t xml:space="preserve"> this</w:t>
                      </w:r>
                      <w:r w:rsidRPr="00204AE8">
                        <w:rPr>
                          <w:rFonts w:cs="Arial"/>
                          <w:color w:val="FFFFFF" w:themeColor="background1"/>
                          <w:szCs w:val="20"/>
                        </w:rPr>
                        <w:t xml:space="preserve"> knowledge</w:t>
                      </w:r>
                      <w:r w:rsidR="008815DB">
                        <w:rPr>
                          <w:rFonts w:cs="Arial"/>
                          <w:color w:val="FFFFFF" w:themeColor="background1"/>
                          <w:szCs w:val="20"/>
                        </w:rPr>
                        <w:t>-</w:t>
                      </w:r>
                      <w:r w:rsidRPr="00204AE8">
                        <w:rPr>
                          <w:rFonts w:cs="Arial"/>
                          <w:color w:val="FFFFFF" w:themeColor="background1"/>
                          <w:szCs w:val="20"/>
                        </w:rPr>
                        <w:t xml:space="preserve">sharing event </w:t>
                      </w:r>
                      <w:r w:rsidR="00084BF1">
                        <w:rPr>
                          <w:rFonts w:cs="Arial"/>
                          <w:color w:val="FFFFFF" w:themeColor="background1"/>
                          <w:szCs w:val="20"/>
                        </w:rPr>
                        <w:t>on</w:t>
                      </w:r>
                      <w:r w:rsidRPr="00204AE8">
                        <w:rPr>
                          <w:rFonts w:cs="Arial"/>
                          <w:color w:val="FFFFFF" w:themeColor="background1"/>
                          <w:szCs w:val="20"/>
                        </w:rPr>
                        <w:t xml:space="preserve"> implement</w:t>
                      </w:r>
                      <w:r w:rsidR="00084BF1">
                        <w:rPr>
                          <w:rFonts w:cs="Arial"/>
                          <w:color w:val="FFFFFF" w:themeColor="background1"/>
                          <w:szCs w:val="20"/>
                        </w:rPr>
                        <w:t>ing</w:t>
                      </w:r>
                      <w:r w:rsidRPr="00204AE8">
                        <w:rPr>
                          <w:rFonts w:cs="Arial"/>
                          <w:color w:val="FFFFFF" w:themeColor="background1"/>
                          <w:szCs w:val="20"/>
                        </w:rPr>
                        <w:t xml:space="preserve"> </w:t>
                      </w:r>
                      <w:r w:rsidR="00084BF1">
                        <w:rPr>
                          <w:rFonts w:cs="Arial"/>
                          <w:color w:val="FFFFFF" w:themeColor="background1"/>
                          <w:szCs w:val="20"/>
                        </w:rPr>
                        <w:t>g</w:t>
                      </w:r>
                      <w:r w:rsidRPr="00204AE8">
                        <w:rPr>
                          <w:rFonts w:cs="Arial"/>
                          <w:color w:val="FFFFFF" w:themeColor="background1"/>
                          <w:szCs w:val="20"/>
                        </w:rPr>
                        <w:t xml:space="preserve">ood </w:t>
                      </w:r>
                      <w:r w:rsidR="00084BF1">
                        <w:rPr>
                          <w:rFonts w:cs="Arial"/>
                          <w:color w:val="FFFFFF" w:themeColor="background1"/>
                          <w:szCs w:val="20"/>
                        </w:rPr>
                        <w:t>f</w:t>
                      </w:r>
                      <w:r w:rsidRPr="00204AE8">
                        <w:rPr>
                          <w:rFonts w:cs="Arial"/>
                          <w:color w:val="FFFFFF" w:themeColor="background1"/>
                          <w:szCs w:val="20"/>
                        </w:rPr>
                        <w:t xml:space="preserve">eed </w:t>
                      </w:r>
                      <w:r w:rsidR="00084BF1">
                        <w:rPr>
                          <w:rFonts w:cs="Arial"/>
                          <w:color w:val="FFFFFF" w:themeColor="background1"/>
                          <w:szCs w:val="20"/>
                        </w:rPr>
                        <w:t>p</w:t>
                      </w:r>
                      <w:r w:rsidRPr="00204AE8">
                        <w:rPr>
                          <w:rFonts w:cs="Arial"/>
                          <w:color w:val="FFFFFF" w:themeColor="background1"/>
                          <w:szCs w:val="20"/>
                        </w:rPr>
                        <w:t xml:space="preserve">rocessing </w:t>
                      </w:r>
                      <w:r w:rsidR="00084BF1">
                        <w:rPr>
                          <w:rFonts w:cs="Arial"/>
                          <w:color w:val="FFFFFF" w:themeColor="background1"/>
                          <w:szCs w:val="20"/>
                        </w:rPr>
                        <w:t>p</w:t>
                      </w:r>
                      <w:r w:rsidRPr="00204AE8">
                        <w:rPr>
                          <w:rFonts w:cs="Arial"/>
                          <w:color w:val="FFFFFF" w:themeColor="background1"/>
                          <w:szCs w:val="20"/>
                        </w:rPr>
                        <w:t xml:space="preserve">ractices </w:t>
                      </w:r>
                      <w:r w:rsidR="00084BF1">
                        <w:rPr>
                          <w:rFonts w:cs="Arial"/>
                          <w:color w:val="FFFFFF" w:themeColor="background1"/>
                          <w:szCs w:val="20"/>
                        </w:rPr>
                        <w:t>in</w:t>
                      </w:r>
                      <w:r w:rsidRPr="00204AE8">
                        <w:rPr>
                          <w:rFonts w:cs="Arial"/>
                          <w:color w:val="FFFFFF" w:themeColor="background1"/>
                          <w:szCs w:val="20"/>
                        </w:rPr>
                        <w:t xml:space="preserve"> our business</w:t>
                      </w:r>
                      <w:r>
                        <w:rPr>
                          <w:rFonts w:cs="Arial"/>
                          <w:color w:val="FFFFFF" w:themeColor="background1"/>
                          <w:szCs w:val="20"/>
                        </w:rPr>
                        <w:t>.</w:t>
                      </w:r>
                    </w:p>
                    <w:p w14:paraId="03009529" w14:textId="331DA7F4" w:rsidR="00FA6FCF" w:rsidRPr="00E72EF3" w:rsidRDefault="00FA6FCF" w:rsidP="00FA6FCF">
                      <w:pPr>
                        <w:pStyle w:val="Header"/>
                        <w:spacing w:after="200"/>
                        <w:textAlignment w:val="baseline"/>
                        <w:rPr>
                          <w:rFonts w:cs="Arial"/>
                          <w:color w:val="FFFFFF" w:themeColor="background1"/>
                          <w:szCs w:val="20"/>
                        </w:rPr>
                      </w:pPr>
                      <w:r>
                        <w:rPr>
                          <w:rFonts w:cs="Arial"/>
                          <w:b/>
                          <w:bCs/>
                          <w:color w:val="FFFFFF" w:themeColor="background1"/>
                          <w:szCs w:val="20"/>
                        </w:rPr>
                        <w:t xml:space="preserve">Juani </w:t>
                      </w:r>
                      <w:r>
                        <w:rPr>
                          <w:rFonts w:cs="Arial"/>
                          <w:color w:val="FFFFFF" w:themeColor="background1"/>
                          <w:szCs w:val="20"/>
                        </w:rPr>
                        <w:t>(</w:t>
                      </w:r>
                      <w:r w:rsidRPr="00204AE8">
                        <w:rPr>
                          <w:rFonts w:cs="Arial"/>
                          <w:i/>
                          <w:iCs/>
                          <w:color w:val="FFFFFF" w:themeColor="background1"/>
                          <w:szCs w:val="20"/>
                        </w:rPr>
                        <w:t>right</w:t>
                      </w:r>
                      <w:r>
                        <w:rPr>
                          <w:rFonts w:cs="Arial"/>
                          <w:color w:val="FFFFFF" w:themeColor="background1"/>
                          <w:szCs w:val="20"/>
                        </w:rPr>
                        <w:t>)</w:t>
                      </w:r>
                      <w:r>
                        <w:rPr>
                          <w:rFonts w:cs="Arial"/>
                          <w:b/>
                          <w:bCs/>
                          <w:color w:val="FFFFFF" w:themeColor="background1"/>
                          <w:szCs w:val="20"/>
                        </w:rPr>
                        <w:t>,</w:t>
                      </w:r>
                      <w:r w:rsidRPr="00115014">
                        <w:rPr>
                          <w:rFonts w:cs="Arial"/>
                          <w:color w:val="FFFFFF" w:themeColor="background1"/>
                          <w:szCs w:val="20"/>
                        </w:rPr>
                        <w:t xml:space="preserve"> </w:t>
                      </w:r>
                      <w:r>
                        <w:rPr>
                          <w:rFonts w:cs="Arial"/>
                          <w:color w:val="FFFFFF" w:themeColor="background1"/>
                          <w:szCs w:val="20"/>
                        </w:rPr>
                        <w:t xml:space="preserve">Head of </w:t>
                      </w:r>
                      <w:r w:rsidRPr="009E60AF">
                        <w:rPr>
                          <w:rFonts w:cs="Arial"/>
                          <w:color w:val="FFFFFF" w:themeColor="background1"/>
                          <w:szCs w:val="20"/>
                        </w:rPr>
                        <w:t>Agribusiness Cooperative</w:t>
                      </w:r>
                      <w:r>
                        <w:rPr>
                          <w:rFonts w:cs="Arial"/>
                          <w:color w:val="FFFFFF" w:themeColor="background1"/>
                          <w:szCs w:val="20"/>
                        </w:rPr>
                        <w:t xml:space="preserve"> (KAN) in Jabung, Malang</w:t>
                      </w:r>
                      <w:r w:rsidR="008E56FD">
                        <w:rPr>
                          <w:rFonts w:cs="Arial"/>
                          <w:color w:val="FFFFFF" w:themeColor="background1"/>
                          <w:szCs w:val="20"/>
                        </w:rPr>
                        <w:t xml:space="preserve"> </w:t>
                      </w:r>
                      <w:r w:rsidR="008E56FD">
                        <w:rPr>
                          <w:rFonts w:cs="Arial"/>
                          <w:color w:val="FFFFFF" w:themeColor="background1"/>
                          <w:szCs w:val="20"/>
                        </w:rPr>
                        <w:tab/>
                      </w:r>
                    </w:p>
                  </w:txbxContent>
                </v:textbox>
              </v:shape>
            </w:pict>
          </mc:Fallback>
        </mc:AlternateContent>
      </w:r>
      <w:r w:rsidRPr="00C64064">
        <w:rPr>
          <w:rFonts w:asciiTheme="majorHAnsi" w:hAnsiTheme="majorHAnsi" w:cstheme="majorHAnsi"/>
          <w:b/>
          <w:bCs/>
          <w:noProof/>
        </w:rPr>
        <w:drawing>
          <wp:anchor distT="0" distB="0" distL="114300" distR="114300" simplePos="0" relativeHeight="251658243" behindDoc="0" locked="0" layoutInCell="1" allowOverlap="1" wp14:anchorId="5003A068" wp14:editId="7C397C68">
            <wp:simplePos x="0" y="0"/>
            <wp:positionH relativeFrom="column">
              <wp:posOffset>-1644</wp:posOffset>
            </wp:positionH>
            <wp:positionV relativeFrom="paragraph">
              <wp:posOffset>66675</wp:posOffset>
            </wp:positionV>
            <wp:extent cx="2256930" cy="1637381"/>
            <wp:effectExtent l="0" t="0" r="0" b="1270"/>
            <wp:wrapNone/>
            <wp:docPr id="342096732"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096732" name="Picture 29">
                      <a:extLst>
                        <a:ext uri="{C183D7F6-B498-43B3-948B-1728B52AA6E4}">
                          <adec:decorative xmlns:adec="http://schemas.microsoft.com/office/drawing/2017/decorative" val="1"/>
                        </a:ext>
                      </a:extLst>
                    </pic:cNvPr>
                    <pic:cNvPicPr/>
                  </pic:nvPicPr>
                  <pic:blipFill rotWithShape="1">
                    <a:blip r:embed="rId131" cstate="email">
                      <a:extLst>
                        <a:ext uri="{28A0092B-C50C-407E-A947-70E740481C1C}">
                          <a14:useLocalDpi xmlns:a14="http://schemas.microsoft.com/office/drawing/2010/main"/>
                        </a:ext>
                      </a:extLst>
                    </a:blip>
                    <a:srcRect/>
                    <a:stretch/>
                  </pic:blipFill>
                  <pic:spPr bwMode="auto">
                    <a:xfrm>
                      <a:off x="0" y="0"/>
                      <a:ext cx="2256930" cy="16373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86689D" w14:textId="77777777" w:rsidR="00977B56" w:rsidRPr="009570EE" w:rsidRDefault="00FA6FCF" w:rsidP="00977B56">
      <w:pPr>
        <w:rPr>
          <w:lang w:val="en-US"/>
        </w:rPr>
      </w:pPr>
      <w:r w:rsidRPr="00C64064">
        <w:rPr>
          <w:rFonts w:asciiTheme="majorHAnsi" w:hAnsiTheme="majorHAnsi" w:cstheme="majorHAnsi"/>
          <w:b/>
          <w:bCs/>
        </w:rPr>
        <w:br w:type="page"/>
      </w:r>
      <w:r w:rsidR="00977B56" w:rsidRPr="009570EE">
        <w:rPr>
          <w:b/>
          <w:bCs/>
          <w:lang w:val="en-US"/>
        </w:rPr>
        <w:lastRenderedPageBreak/>
        <w:t xml:space="preserve">MoA </w:t>
      </w:r>
      <w:r w:rsidR="00977B56">
        <w:rPr>
          <w:b/>
          <w:bCs/>
          <w:lang w:val="en-US"/>
        </w:rPr>
        <w:t>recognition for better feed, brighter futures</w:t>
      </w:r>
    </w:p>
    <w:p w14:paraId="737D3458" w14:textId="77777777" w:rsidR="006A0DF7" w:rsidRPr="006A0DF7" w:rsidRDefault="006A0DF7" w:rsidP="006A0DF7">
      <w:pPr>
        <w:rPr>
          <w:lang w:val="en-US"/>
        </w:rPr>
      </w:pPr>
      <w:r w:rsidRPr="006A0DF7">
        <w:rPr>
          <w:lang w:val="en-US"/>
        </w:rPr>
        <w:t xml:space="preserve">PRISMA’s game-changing support to MoA to revise the animal feed standards was recognised at an event this semester. The Director of Feed at MoA presented PRISMA with a plaque to thank the program for its impactful support. The event was part of an MoA/PRISMA training assisting MSME feed producers, that often struggle to access information about regulations leading to regulatory violations and unsafe feed on the market. To bridge this gap, PRISMA and MoA provide technical guidance to MSME feed producers to ensure MSMEs can meet industry requirements and supply quality and affordable animal feed to smallholder farmers. </w:t>
      </w:r>
    </w:p>
    <w:p w14:paraId="3C18B3CF" w14:textId="77777777" w:rsidR="006A0DF7" w:rsidRPr="006A0DF7" w:rsidRDefault="006A0DF7" w:rsidP="006A0DF7">
      <w:pPr>
        <w:rPr>
          <w:lang w:val="en-US"/>
        </w:rPr>
      </w:pPr>
      <w:r w:rsidRPr="00D921B1">
        <w:rPr>
          <w:lang w:val="en-US"/>
        </w:rPr>
        <w:t>The training covered feed registration, identifying critical points in testing for feed registration, good feed manufacturing practices, and the CPPB business licensing system. From the feedback survey, 83.3% of the participants found that the Bimtek training was helpful for their work, and 70.2% felt more confident in facilitating their company's feed registration process after the training. As many as 40.5% of the participating MSMEs planned to register for CPPB, SNI, and NPP using the knowledge from the training.</w:t>
      </w:r>
    </w:p>
    <w:p w14:paraId="148ACBF5" w14:textId="4BF3914F" w:rsidR="00E45E31" w:rsidRPr="00C64064" w:rsidRDefault="006A0DF7" w:rsidP="0045601F">
      <w:pPr>
        <w:spacing w:before="120" w:after="120" w:line="276" w:lineRule="auto"/>
        <w:contextualSpacing/>
        <w:jc w:val="both"/>
        <w:rPr>
          <w:rFonts w:asciiTheme="majorHAnsi" w:eastAsia="Times New Roman" w:hAnsiTheme="majorHAnsi" w:cstheme="majorHAnsi"/>
          <w:color w:val="FF0000"/>
        </w:rPr>
      </w:pPr>
      <w:r w:rsidRPr="006A0DF7">
        <w:rPr>
          <w:lang w:val="en-US"/>
        </w:rPr>
        <w:t>This work, and the policy support that came before it, were appreciated by the MoA</w:t>
      </w:r>
      <w:r w:rsidR="00977B56">
        <w:rPr>
          <w:noProof/>
          <w:lang w:val="en-US"/>
        </w:rPr>
        <mc:AlternateContent>
          <mc:Choice Requires="wps">
            <w:drawing>
              <wp:anchor distT="0" distB="0" distL="114300" distR="114300" simplePos="0" relativeHeight="251658315" behindDoc="0" locked="0" layoutInCell="1" allowOverlap="1" wp14:anchorId="243F3A05" wp14:editId="11C6D6B7">
                <wp:simplePos x="0" y="0"/>
                <wp:positionH relativeFrom="column">
                  <wp:posOffset>135029</wp:posOffset>
                </wp:positionH>
                <wp:positionV relativeFrom="paragraph">
                  <wp:posOffset>1333725</wp:posOffset>
                </wp:positionV>
                <wp:extent cx="324464" cy="545691"/>
                <wp:effectExtent l="0" t="0" r="0" b="0"/>
                <wp:wrapNone/>
                <wp:docPr id="44134662" name="Text Box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24464" cy="545691"/>
                        </a:xfrm>
                        <a:prstGeom prst="rect">
                          <a:avLst/>
                        </a:prstGeom>
                        <a:noFill/>
                        <a:ln w="6350">
                          <a:noFill/>
                        </a:ln>
                      </wps:spPr>
                      <wps:txbx>
                        <w:txbxContent>
                          <w:p w14:paraId="49559A5A" w14:textId="77777777" w:rsidR="00977B56" w:rsidRPr="006D2A03" w:rsidRDefault="00977B56" w:rsidP="00977B56">
                            <w:pPr>
                              <w:rPr>
                                <w:color w:val="FFFFFF" w:themeColor="background1"/>
                                <w:sz w:val="80"/>
                                <w:szCs w:val="80"/>
                              </w:rPr>
                            </w:pPr>
                            <w:r w:rsidRPr="006D2A03">
                              <w:rPr>
                                <w:color w:val="FFFFFF" w:themeColor="background1"/>
                                <w:sz w:val="80"/>
                                <w:szCs w:val="8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F3A05" id="Text Box 5" o:spid="_x0000_s1067" type="#_x0000_t202" alt="&quot;&quot;" style="position:absolute;left:0;text-align:left;margin-left:10.65pt;margin-top:105pt;width:25.55pt;height:42.95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" filled="f" stroked="f" strokeweight=".5pt">
                <v:textbox>
                  <w:txbxContent>
                    <w:p w14:paraId="49559A5A" w14:textId="77777777" w:rsidR="00977B56" w:rsidRPr="006D2A03" w:rsidRDefault="00977B56" w:rsidP="00977B56">
                      <w:pPr>
                        <w:rPr>
                          <w:color w:val="FFFFFF" w:themeColor="background1"/>
                          <w:sz w:val="80"/>
                          <w:szCs w:val="80"/>
                        </w:rPr>
                      </w:pPr>
                      <w:r w:rsidRPr="006D2A03">
                        <w:rPr>
                          <w:color w:val="FFFFFF" w:themeColor="background1"/>
                          <w:sz w:val="80"/>
                          <w:szCs w:val="80"/>
                        </w:rPr>
                        <w:t>“</w:t>
                      </w:r>
                    </w:p>
                  </w:txbxContent>
                </v:textbox>
              </v:shape>
            </w:pict>
          </mc:Fallback>
        </mc:AlternateContent>
      </w:r>
      <w:r w:rsidR="00977B56">
        <w:rPr>
          <w:lang w:val="en-US"/>
        </w:rPr>
        <w:t xml:space="preserve">.  </w:t>
      </w:r>
    </w:p>
    <w:p w14:paraId="5F48499F" w14:textId="733D470E" w:rsidR="00E45E31" w:rsidRPr="00C64064" w:rsidRDefault="00E45E31" w:rsidP="0045601F">
      <w:pPr>
        <w:spacing w:before="120" w:after="120" w:line="276" w:lineRule="auto"/>
        <w:contextualSpacing/>
        <w:jc w:val="both"/>
        <w:rPr>
          <w:rFonts w:asciiTheme="majorHAnsi" w:eastAsia="Times New Roman" w:hAnsiTheme="majorHAnsi" w:cstheme="majorHAnsi"/>
          <w:color w:val="FF0000"/>
        </w:rPr>
      </w:pPr>
    </w:p>
    <w:p w14:paraId="60061F76" w14:textId="70A3998D" w:rsidR="008A30DD" w:rsidRDefault="00C148F6">
      <w:pPr>
        <w:rPr>
          <w:rFonts w:ascii="Arial" w:eastAsiaTheme="majorEastAsia" w:hAnsi="Arial" w:cs="Arial"/>
          <w:color w:val="252D65"/>
          <w:sz w:val="56"/>
          <w:szCs w:val="36"/>
          <w:u w:color="252E65"/>
        </w:rPr>
      </w:pPr>
      <w:bookmarkStart w:id="107" w:name="_Toc179192310"/>
      <w:r>
        <w:rPr>
          <w:noProof/>
          <w:lang w:val="en-US"/>
        </w:rPr>
        <w:drawing>
          <wp:anchor distT="0" distB="0" distL="114300" distR="114300" simplePos="0" relativeHeight="251658313" behindDoc="0" locked="0" layoutInCell="1" allowOverlap="1" wp14:anchorId="13A2F302" wp14:editId="1BE41EDF">
            <wp:simplePos x="0" y="0"/>
            <wp:positionH relativeFrom="margin">
              <wp:posOffset>2772410</wp:posOffset>
            </wp:positionH>
            <wp:positionV relativeFrom="paragraph">
              <wp:posOffset>713740</wp:posOffset>
            </wp:positionV>
            <wp:extent cx="3178810" cy="1784350"/>
            <wp:effectExtent l="0" t="0" r="2540" b="6350"/>
            <wp:wrapTopAndBottom/>
            <wp:docPr id="1502637765"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637765" name="Picture 3">
                      <a:extLst>
                        <a:ext uri="{C183D7F6-B498-43B3-948B-1728B52AA6E4}">
                          <adec:decorative xmlns:adec="http://schemas.microsoft.com/office/drawing/2017/decorative" val="1"/>
                        </a:ext>
                      </a:extLst>
                    </pic:cNvPr>
                    <pic:cNvPicPr/>
                  </pic:nvPicPr>
                  <pic:blipFill>
                    <a:blip r:embed="rId132"/>
                    <a:stretch>
                      <a:fillRect/>
                    </a:stretch>
                  </pic:blipFill>
                  <pic:spPr>
                    <a:xfrm>
                      <a:off x="0" y="0"/>
                      <a:ext cx="3178810" cy="1784350"/>
                    </a:xfrm>
                    <a:prstGeom prst="rect">
                      <a:avLst/>
                    </a:prstGeom>
                  </pic:spPr>
                </pic:pic>
              </a:graphicData>
            </a:graphic>
          </wp:anchor>
        </w:drawing>
      </w:r>
      <w:r>
        <w:rPr>
          <w:noProof/>
          <w:lang w:val="en-US"/>
        </w:rPr>
        <mc:AlternateContent>
          <mc:Choice Requires="wps">
            <w:drawing>
              <wp:anchor distT="0" distB="0" distL="114300" distR="114300" simplePos="0" relativeHeight="251658314" behindDoc="0" locked="0" layoutInCell="1" allowOverlap="1" wp14:anchorId="5B54B3F2" wp14:editId="1981029E">
                <wp:simplePos x="0" y="0"/>
                <wp:positionH relativeFrom="column">
                  <wp:posOffset>46355</wp:posOffset>
                </wp:positionH>
                <wp:positionV relativeFrom="paragraph">
                  <wp:posOffset>721995</wp:posOffset>
                </wp:positionV>
                <wp:extent cx="4305935" cy="1762125"/>
                <wp:effectExtent l="0" t="0" r="18415" b="28575"/>
                <wp:wrapNone/>
                <wp:docPr id="764148025"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305935" cy="1762125"/>
                        </a:xfrm>
                        <a:prstGeom prst="rect">
                          <a:avLst/>
                        </a:prstGeom>
                        <a:solidFill>
                          <a:srgbClr val="002060"/>
                        </a:solidFill>
                        <a:ln>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6F926" id="Rectangle 4" o:spid="_x0000_s1026" alt="&quot;&quot;" style="position:absolute;margin-left:3.65pt;margin-top:56.85pt;width:339.05pt;height:138.75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" fillcolor="#002060" strokecolor="#002060" strokeweight="2pt"/>
            </w:pict>
          </mc:Fallback>
        </mc:AlternateContent>
      </w:r>
      <w:r>
        <w:rPr>
          <w:noProof/>
          <w:lang w:val="en-US"/>
        </w:rPr>
        <mc:AlternateContent>
          <mc:Choice Requires="wps">
            <w:drawing>
              <wp:anchor distT="0" distB="0" distL="114300" distR="114300" simplePos="0" relativeHeight="251658316" behindDoc="0" locked="0" layoutInCell="1" allowOverlap="1" wp14:anchorId="09CC002D" wp14:editId="14140187">
                <wp:simplePos x="0" y="0"/>
                <wp:positionH relativeFrom="column">
                  <wp:posOffset>304800</wp:posOffset>
                </wp:positionH>
                <wp:positionV relativeFrom="paragraph">
                  <wp:posOffset>1024255</wp:posOffset>
                </wp:positionV>
                <wp:extent cx="3834130" cy="1356360"/>
                <wp:effectExtent l="0" t="0" r="0" b="0"/>
                <wp:wrapNone/>
                <wp:docPr id="1173643834" name="Text Box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834130" cy="1356360"/>
                        </a:xfrm>
                        <a:prstGeom prst="rect">
                          <a:avLst/>
                        </a:prstGeom>
                        <a:noFill/>
                        <a:ln w="6350">
                          <a:noFill/>
                        </a:ln>
                      </wps:spPr>
                      <wps:txbx>
                        <w:txbxContent>
                          <w:p w14:paraId="1E298EEE" w14:textId="77777777" w:rsidR="00977B56" w:rsidRPr="006D2A03" w:rsidRDefault="00977B56" w:rsidP="00977B56">
                            <w:pPr>
                              <w:rPr>
                                <w:color w:val="FFFFFF" w:themeColor="background1"/>
                                <w:lang w:val="en-US"/>
                              </w:rPr>
                            </w:pPr>
                            <w:r w:rsidRPr="006D2A03">
                              <w:rPr>
                                <w:color w:val="FFFFFF" w:themeColor="background1"/>
                                <w:lang w:val="en-US"/>
                              </w:rPr>
                              <w:t>We created the SNI grading system to enhance MSMEs’ competitiveness. Now, MSMEs have a better opportunity to compete fairly, even with large companies.</w:t>
                            </w:r>
                          </w:p>
                          <w:p w14:paraId="3B5D0878" w14:textId="77777777" w:rsidR="00977B56" w:rsidRPr="000613EE" w:rsidRDefault="00977B56" w:rsidP="00977B56">
                            <w:pPr>
                              <w:rPr>
                                <w:color w:val="FFFFFF" w:themeColor="background1"/>
                              </w:rPr>
                            </w:pPr>
                            <w:r w:rsidRPr="006D2A03">
                              <w:rPr>
                                <w:b/>
                                <w:bCs/>
                                <w:color w:val="FFFFFF" w:themeColor="background1"/>
                                <w:lang w:val="en-US"/>
                              </w:rPr>
                              <w:t>drh. Nur Saptahidhayat,</w:t>
                            </w:r>
                            <w:r w:rsidRPr="006D2A03">
                              <w:rPr>
                                <w:color w:val="FFFFFF" w:themeColor="background1"/>
                                <w:lang w:val="en-US"/>
                              </w:rPr>
                              <w:t xml:space="preserve"> Director of Feed at the Ministry of Agriculture.</w:t>
                            </w:r>
                          </w:p>
                          <w:p w14:paraId="7B1AAC6C" w14:textId="77777777" w:rsidR="00977B56" w:rsidRPr="006D2A03" w:rsidRDefault="00977B56" w:rsidP="00977B56">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C002D" id="Text Box 6" o:spid="_x0000_s1068" type="#_x0000_t202" alt="&quot;&quot;" style="position:absolute;margin-left:24pt;margin-top:80.65pt;width:301.9pt;height:106.8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" filled="f" stroked="f" strokeweight=".5pt">
                <v:textbox>
                  <w:txbxContent>
                    <w:p w14:paraId="1E298EEE" w14:textId="77777777" w:rsidR="00977B56" w:rsidRPr="006D2A03" w:rsidRDefault="00977B56" w:rsidP="00977B56">
                      <w:pPr>
                        <w:rPr>
                          <w:color w:val="FFFFFF" w:themeColor="background1"/>
                          <w:lang w:val="en-US"/>
                        </w:rPr>
                      </w:pPr>
                      <w:r w:rsidRPr="006D2A03">
                        <w:rPr>
                          <w:color w:val="FFFFFF" w:themeColor="background1"/>
                          <w:lang w:val="en-US"/>
                        </w:rPr>
                        <w:t>We created the SNI grading system to enhance MSMEs’ competitiveness. Now, MSMEs have a better opportunity to compete fairly, even with large companies.</w:t>
                      </w:r>
                    </w:p>
                    <w:p w14:paraId="3B5D0878" w14:textId="77777777" w:rsidR="00977B56" w:rsidRPr="000613EE" w:rsidRDefault="00977B56" w:rsidP="00977B56">
                      <w:pPr>
                        <w:rPr>
                          <w:color w:val="FFFFFF" w:themeColor="background1"/>
                        </w:rPr>
                      </w:pPr>
                      <w:r w:rsidRPr="006D2A03">
                        <w:rPr>
                          <w:b/>
                          <w:bCs/>
                          <w:color w:val="FFFFFF" w:themeColor="background1"/>
                          <w:lang w:val="en-US"/>
                        </w:rPr>
                        <w:t>drh. Nur Saptahidhayat,</w:t>
                      </w:r>
                      <w:r w:rsidRPr="006D2A03">
                        <w:rPr>
                          <w:color w:val="FFFFFF" w:themeColor="background1"/>
                          <w:lang w:val="en-US"/>
                        </w:rPr>
                        <w:t xml:space="preserve"> Director of Feed at the Ministry of Agriculture.</w:t>
                      </w:r>
                    </w:p>
                    <w:p w14:paraId="7B1AAC6C" w14:textId="77777777" w:rsidR="00977B56" w:rsidRPr="006D2A03" w:rsidRDefault="00977B56" w:rsidP="00977B56">
                      <w:pPr>
                        <w:rPr>
                          <w:color w:val="FFFFFF" w:themeColor="background1"/>
                        </w:rPr>
                      </w:pPr>
                    </w:p>
                  </w:txbxContent>
                </v:textbox>
              </v:shape>
            </w:pict>
          </mc:Fallback>
        </mc:AlternateContent>
      </w:r>
      <w:bookmarkEnd w:id="107"/>
      <w:r w:rsidR="008A30DD" w:rsidRPr="00A8522F">
        <w:br w:type="page"/>
      </w:r>
      <w:r w:rsidR="00311D14" w:rsidRPr="00A8522F">
        <w:rPr>
          <w:noProof/>
        </w:rPr>
        <w:lastRenderedPageBreak/>
        <w:drawing>
          <wp:anchor distT="0" distB="0" distL="114300" distR="114300" simplePos="0" relativeHeight="251658318" behindDoc="0" locked="0" layoutInCell="1" allowOverlap="1" wp14:anchorId="65F1E987" wp14:editId="65463B4F">
            <wp:simplePos x="0" y="0"/>
            <wp:positionH relativeFrom="margin">
              <wp:posOffset>-318770</wp:posOffset>
            </wp:positionH>
            <wp:positionV relativeFrom="paragraph">
              <wp:posOffset>5480685</wp:posOffset>
            </wp:positionV>
            <wp:extent cx="6665820" cy="3749524"/>
            <wp:effectExtent l="0" t="0" r="1905" b="3810"/>
            <wp:wrapNone/>
            <wp:docPr id="1314795322"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795322" name="Picture 56">
                      <a:extLst>
                        <a:ext uri="{C183D7F6-B498-43B3-948B-1728B52AA6E4}">
                          <adec:decorative xmlns:adec="http://schemas.microsoft.com/office/drawing/2017/decorative" val="1"/>
                        </a:ext>
                      </a:extLst>
                    </pic:cNvPr>
                    <pic:cNvPicPr>
                      <a:picLocks noChangeAspect="1" noChangeArrowheads="1"/>
                    </pic:cNvPicPr>
                  </pic:nvPicPr>
                  <pic:blipFill>
                    <a:blip r:embed="rId133"/>
                    <a:stretch>
                      <a:fillRect/>
                    </a:stretch>
                  </pic:blipFill>
                  <pic:spPr bwMode="auto">
                    <a:xfrm>
                      <a:off x="0" y="0"/>
                      <a:ext cx="6665820" cy="37495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30DD" w:rsidRPr="00A8522F">
        <w:br w:type="page"/>
      </w:r>
    </w:p>
    <w:p w14:paraId="57D5C7F7" w14:textId="1AED593A" w:rsidR="00A705FF" w:rsidRPr="00C64064" w:rsidRDefault="00770BC8" w:rsidP="00E0014D">
      <w:pPr>
        <w:pStyle w:val="Head1"/>
        <w:rPr>
          <w:rFonts w:asciiTheme="majorHAnsi" w:hAnsiTheme="majorHAnsi" w:cstheme="majorHAnsi"/>
        </w:rPr>
      </w:pPr>
      <w:r w:rsidRPr="00C64064">
        <w:rPr>
          <w:rFonts w:asciiTheme="majorHAnsi" w:hAnsiTheme="majorHAnsi" w:cstheme="majorHAnsi"/>
        </w:rPr>
        <w:lastRenderedPageBreak/>
        <w:br/>
      </w:r>
      <w:bookmarkStart w:id="108" w:name="_Toc172823295"/>
      <w:bookmarkStart w:id="109" w:name="_Toc180155175"/>
      <w:r w:rsidR="006B1CE8" w:rsidRPr="00C64064">
        <w:rPr>
          <w:rFonts w:asciiTheme="majorHAnsi" w:hAnsiTheme="majorHAnsi" w:cstheme="majorHAnsi"/>
        </w:rPr>
        <w:t>Cross-cutting Area Progress</w:t>
      </w:r>
      <w:bookmarkEnd w:id="108"/>
      <w:bookmarkEnd w:id="109"/>
    </w:p>
    <w:p w14:paraId="5A9AF2FC" w14:textId="77777777" w:rsidR="00A40BCF" w:rsidRDefault="00A40BCF" w:rsidP="00A40BCF">
      <w:pPr>
        <w:rPr>
          <w:i/>
          <w:iCs/>
        </w:rPr>
      </w:pPr>
      <w:bookmarkStart w:id="110" w:name="_Toc167702260"/>
    </w:p>
    <w:p w14:paraId="2FBB1B93" w14:textId="4539EF37" w:rsidR="00A40BCF" w:rsidRPr="00A40BCF" w:rsidRDefault="00A40BCF" w:rsidP="00A40BCF">
      <w:pPr>
        <w:rPr>
          <w:i/>
          <w:iCs/>
        </w:rPr>
      </w:pPr>
      <w:r w:rsidRPr="00A40BCF">
        <w:rPr>
          <w:i/>
          <w:iCs/>
        </w:rPr>
        <w:t>The progress data is derived from impact assessments of interventions in semester 2, 2023, and previous interventions that continued into semester 1, 2024. Most of PRISMA’s interventions ceased in December 2023 to concentrate on market resilience and ensure the sustainability of climate, GEDSI, and policy outcomes supported by strategic communications.</w:t>
      </w:r>
    </w:p>
    <w:p w14:paraId="7A40E481" w14:textId="4CE4FC23" w:rsidR="00775960" w:rsidRPr="00C64064" w:rsidRDefault="00775960" w:rsidP="00775960">
      <w:pPr>
        <w:pStyle w:val="Head2"/>
        <w:rPr>
          <w:rFonts w:cstheme="majorHAnsi"/>
        </w:rPr>
      </w:pPr>
      <w:bookmarkStart w:id="111" w:name="_Toc172823296"/>
      <w:bookmarkStart w:id="112" w:name="_Toc180155176"/>
      <w:r w:rsidRPr="00C64064">
        <w:rPr>
          <w:rFonts w:cstheme="majorHAnsi"/>
        </w:rPr>
        <w:t>Climat</w:t>
      </w:r>
      <w:bookmarkEnd w:id="110"/>
      <w:r w:rsidRPr="00C64064">
        <w:rPr>
          <w:rFonts w:cstheme="majorHAnsi"/>
        </w:rPr>
        <w:t>e</w:t>
      </w:r>
      <w:r w:rsidR="00FF1467" w:rsidRPr="00C64064">
        <w:rPr>
          <w:rFonts w:cstheme="majorHAnsi"/>
        </w:rPr>
        <w:t xml:space="preserve">-smart </w:t>
      </w:r>
      <w:r w:rsidR="00FC46DE" w:rsidRPr="00C64064">
        <w:rPr>
          <w:rFonts w:cstheme="majorHAnsi"/>
        </w:rPr>
        <w:t>A</w:t>
      </w:r>
      <w:r w:rsidR="00FF1467" w:rsidRPr="00C64064">
        <w:rPr>
          <w:rFonts w:cstheme="majorHAnsi"/>
        </w:rPr>
        <w:t>griculture</w:t>
      </w:r>
      <w:bookmarkEnd w:id="111"/>
      <w:bookmarkEnd w:id="112"/>
    </w:p>
    <w:p w14:paraId="268B1F8D" w14:textId="56B618F9" w:rsidR="00775960" w:rsidRPr="00C64064" w:rsidRDefault="00775960" w:rsidP="00775960">
      <w:pPr>
        <w:jc w:val="both"/>
        <w:rPr>
          <w:rFonts w:asciiTheme="majorHAnsi" w:hAnsiTheme="majorHAnsi" w:cstheme="majorHAnsi"/>
        </w:rPr>
      </w:pPr>
      <w:r w:rsidRPr="00C64064">
        <w:rPr>
          <w:rFonts w:asciiTheme="majorHAnsi" w:hAnsiTheme="majorHAnsi" w:cstheme="majorHAnsi"/>
        </w:rPr>
        <w:t xml:space="preserve">Achieving increased incomes for smallholder farmers while adapting to climate change and reducing greenhouse gas (GHG) emissions has become increasingly critical. PRISMA has demonstrated how </w:t>
      </w:r>
      <w:r w:rsidR="00FC46DE" w:rsidRPr="00C64064">
        <w:rPr>
          <w:rFonts w:asciiTheme="majorHAnsi" w:hAnsiTheme="majorHAnsi" w:cstheme="majorHAnsi"/>
        </w:rPr>
        <w:t xml:space="preserve">the </w:t>
      </w:r>
      <w:r w:rsidRPr="00C64064">
        <w:rPr>
          <w:rFonts w:asciiTheme="majorHAnsi" w:hAnsiTheme="majorHAnsi" w:cstheme="majorHAnsi"/>
        </w:rPr>
        <w:t xml:space="preserve">private sector can successfully invest </w:t>
      </w:r>
      <w:r w:rsidR="00A25827" w:rsidRPr="00C64064">
        <w:rPr>
          <w:rFonts w:asciiTheme="majorHAnsi" w:hAnsiTheme="majorHAnsi" w:cstheme="majorHAnsi"/>
        </w:rPr>
        <w:t xml:space="preserve">in </w:t>
      </w:r>
      <w:r w:rsidRPr="00C64064">
        <w:rPr>
          <w:rFonts w:asciiTheme="majorHAnsi" w:hAnsiTheme="majorHAnsi" w:cstheme="majorHAnsi"/>
        </w:rPr>
        <w:t xml:space="preserve">and contribute to </w:t>
      </w:r>
      <w:r w:rsidR="00FC46DE" w:rsidRPr="00C64064">
        <w:rPr>
          <w:rFonts w:asciiTheme="majorHAnsi" w:hAnsiTheme="majorHAnsi" w:cstheme="majorHAnsi"/>
        </w:rPr>
        <w:t xml:space="preserve">a </w:t>
      </w:r>
      <w:r w:rsidRPr="00C64064">
        <w:rPr>
          <w:rFonts w:asciiTheme="majorHAnsi" w:hAnsiTheme="majorHAnsi" w:cstheme="majorHAnsi"/>
        </w:rPr>
        <w:t>climate</w:t>
      </w:r>
      <w:r w:rsidR="00A25827" w:rsidRPr="00C64064">
        <w:rPr>
          <w:rFonts w:asciiTheme="majorHAnsi" w:hAnsiTheme="majorHAnsi" w:cstheme="majorHAnsi"/>
        </w:rPr>
        <w:t>-</w:t>
      </w:r>
      <w:r w:rsidRPr="00C64064">
        <w:rPr>
          <w:rFonts w:asciiTheme="majorHAnsi" w:hAnsiTheme="majorHAnsi" w:cstheme="majorHAnsi"/>
        </w:rPr>
        <w:t>resilient agriculture system by offering climate</w:t>
      </w:r>
      <w:r w:rsidR="00A25827" w:rsidRPr="00C64064">
        <w:rPr>
          <w:rFonts w:asciiTheme="majorHAnsi" w:hAnsiTheme="majorHAnsi" w:cstheme="majorHAnsi"/>
        </w:rPr>
        <w:t>-</w:t>
      </w:r>
      <w:r w:rsidRPr="00C64064">
        <w:rPr>
          <w:rFonts w:asciiTheme="majorHAnsi" w:hAnsiTheme="majorHAnsi" w:cstheme="majorHAnsi"/>
        </w:rPr>
        <w:t>resilient inputs and educating farmers on climate</w:t>
      </w:r>
      <w:r w:rsidR="00FC46DE" w:rsidRPr="00C64064">
        <w:rPr>
          <w:rFonts w:asciiTheme="majorHAnsi" w:hAnsiTheme="majorHAnsi" w:cstheme="majorHAnsi"/>
        </w:rPr>
        <w:t>-</w:t>
      </w:r>
      <w:r w:rsidRPr="00C64064">
        <w:rPr>
          <w:rFonts w:asciiTheme="majorHAnsi" w:hAnsiTheme="majorHAnsi" w:cstheme="majorHAnsi"/>
        </w:rPr>
        <w:t xml:space="preserve">smart agriculture practices. </w:t>
      </w:r>
    </w:p>
    <w:p w14:paraId="42463346" w14:textId="69C66F22" w:rsidR="00775960" w:rsidRPr="00C64064" w:rsidRDefault="00775960" w:rsidP="00775960">
      <w:pPr>
        <w:jc w:val="both"/>
        <w:rPr>
          <w:rFonts w:asciiTheme="majorHAnsi" w:hAnsiTheme="majorHAnsi" w:cstheme="majorHAnsi"/>
        </w:rPr>
      </w:pPr>
      <w:r w:rsidRPr="00C64064">
        <w:rPr>
          <w:rFonts w:asciiTheme="majorHAnsi" w:hAnsiTheme="majorHAnsi" w:cstheme="majorHAnsi"/>
        </w:rPr>
        <w:t>During this semester, 24,715 smallholder farmers contributed</w:t>
      </w:r>
      <w:r w:rsidR="00A25827" w:rsidRPr="00C64064">
        <w:rPr>
          <w:rFonts w:asciiTheme="majorHAnsi" w:hAnsiTheme="majorHAnsi" w:cstheme="majorHAnsi"/>
        </w:rPr>
        <w:t xml:space="preserve"> to</w:t>
      </w:r>
      <w:r w:rsidRPr="00C64064">
        <w:rPr>
          <w:rFonts w:asciiTheme="majorHAnsi" w:hAnsiTheme="majorHAnsi" w:cstheme="majorHAnsi"/>
        </w:rPr>
        <w:t xml:space="preserve"> reduc</w:t>
      </w:r>
      <w:r w:rsidR="00FC46DE" w:rsidRPr="00C64064">
        <w:rPr>
          <w:rFonts w:asciiTheme="majorHAnsi" w:hAnsiTheme="majorHAnsi" w:cstheme="majorHAnsi"/>
        </w:rPr>
        <w:t>ing</w:t>
      </w:r>
      <w:r w:rsidRPr="00C64064">
        <w:rPr>
          <w:rFonts w:asciiTheme="majorHAnsi" w:hAnsiTheme="majorHAnsi" w:cstheme="majorHAnsi"/>
        </w:rPr>
        <w:t xml:space="preserve"> 2,424 tonnes of carbon dioxide equivalent (CO2e) </w:t>
      </w:r>
      <w:r w:rsidR="00A25827" w:rsidRPr="00C64064">
        <w:rPr>
          <w:rFonts w:asciiTheme="majorHAnsi" w:hAnsiTheme="majorHAnsi" w:cstheme="majorHAnsi"/>
        </w:rPr>
        <w:t>by</w:t>
      </w:r>
      <w:r w:rsidRPr="00C64064">
        <w:rPr>
          <w:rFonts w:asciiTheme="majorHAnsi" w:hAnsiTheme="majorHAnsi" w:cstheme="majorHAnsi"/>
        </w:rPr>
        <w:t xml:space="preserve"> adopti</w:t>
      </w:r>
      <w:r w:rsidR="00A25827" w:rsidRPr="00C64064">
        <w:rPr>
          <w:rFonts w:asciiTheme="majorHAnsi" w:hAnsiTheme="majorHAnsi" w:cstheme="majorHAnsi"/>
        </w:rPr>
        <w:t>ng</w:t>
      </w:r>
      <w:r w:rsidRPr="00C64064">
        <w:rPr>
          <w:rFonts w:asciiTheme="majorHAnsi" w:hAnsiTheme="majorHAnsi" w:cstheme="majorHAnsi"/>
        </w:rPr>
        <w:t xml:space="preserve"> concentrated feed for beef cattle, hybrid rice seed, and mineral fertiliser. T</w:t>
      </w:r>
      <w:r w:rsidR="00FC46DE" w:rsidRPr="00C64064">
        <w:rPr>
          <w:rFonts w:asciiTheme="majorHAnsi" w:hAnsiTheme="majorHAnsi" w:cstheme="majorHAnsi"/>
        </w:rPr>
        <w:t>o</w:t>
      </w:r>
      <w:r w:rsidRPr="00C64064">
        <w:rPr>
          <w:rFonts w:asciiTheme="majorHAnsi" w:hAnsiTheme="majorHAnsi" w:cstheme="majorHAnsi"/>
        </w:rPr>
        <w:t xml:space="preserve"> date, PRISMA has contributed to a total emission reduction of 137,132 tonnes of CO2e attributed to 2,027,180 individual farmers.</w:t>
      </w:r>
    </w:p>
    <w:p w14:paraId="1A29D01C" w14:textId="77777777" w:rsidR="00775960" w:rsidRPr="00C64064" w:rsidRDefault="00775960" w:rsidP="00775960">
      <w:pPr>
        <w:jc w:val="both"/>
        <w:rPr>
          <w:rFonts w:asciiTheme="majorHAnsi" w:hAnsiTheme="majorHAnsi" w:cstheme="majorHAnsi"/>
        </w:rPr>
      </w:pPr>
      <w:r w:rsidRPr="00C64064">
        <w:rPr>
          <w:rFonts w:asciiTheme="majorHAnsi" w:hAnsiTheme="majorHAnsi" w:cstheme="majorHAnsi"/>
        </w:rPr>
        <w:t xml:space="preserve">This total reduction is equivalent to the consumption of 1,353,384 motorcycles running on gasoline for a month or the combined electricity and fuel consumption of 1,920 households for a month. </w:t>
      </w:r>
    </w:p>
    <w:tbl>
      <w:tblPr>
        <w:tblStyle w:val="PlainTable2"/>
        <w:tblW w:w="5000" w:type="pct"/>
        <w:tblCellMar>
          <w:top w:w="108" w:type="dxa"/>
          <w:bottom w:w="108" w:type="dxa"/>
        </w:tblCellMar>
        <w:tblLook w:val="04A0" w:firstRow="1" w:lastRow="0" w:firstColumn="1" w:lastColumn="0" w:noHBand="0" w:noVBand="1"/>
      </w:tblPr>
      <w:tblGrid>
        <w:gridCol w:w="1664"/>
        <w:gridCol w:w="3765"/>
        <w:gridCol w:w="3947"/>
      </w:tblGrid>
      <w:tr w:rsidR="00775960" w:rsidRPr="00C64064" w14:paraId="5608EFCA" w14:textId="77777777" w:rsidTr="00CF05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7" w:type="pct"/>
            <w:shd w:val="clear" w:color="auto" w:fill="252D65"/>
          </w:tcPr>
          <w:p w14:paraId="5121872E" w14:textId="77777777" w:rsidR="00775960" w:rsidRPr="00C64064" w:rsidRDefault="00775960" w:rsidP="00326BA6">
            <w:pPr>
              <w:jc w:val="both"/>
              <w:rPr>
                <w:rFonts w:asciiTheme="majorHAnsi" w:hAnsiTheme="majorHAnsi" w:cstheme="majorHAnsi"/>
              </w:rPr>
            </w:pPr>
            <w:r w:rsidRPr="00C64064">
              <w:rPr>
                <w:rFonts w:asciiTheme="majorHAnsi" w:hAnsiTheme="majorHAnsi" w:cstheme="majorHAnsi"/>
              </w:rPr>
              <w:t>Sector</w:t>
            </w:r>
          </w:p>
        </w:tc>
        <w:tc>
          <w:tcPr>
            <w:tcW w:w="2008" w:type="pct"/>
            <w:shd w:val="clear" w:color="auto" w:fill="252D65"/>
          </w:tcPr>
          <w:p w14:paraId="0E4BD4B8" w14:textId="77777777" w:rsidR="00775960" w:rsidRPr="00C64064" w:rsidRDefault="00775960" w:rsidP="00326BA6">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C64064">
              <w:rPr>
                <w:rFonts w:asciiTheme="majorHAnsi" w:hAnsiTheme="majorHAnsi" w:cstheme="majorHAnsi"/>
              </w:rPr>
              <w:t>Attributable emission reduction</w:t>
            </w:r>
          </w:p>
          <w:p w14:paraId="0E2C44A1" w14:textId="079A0C91" w:rsidR="00775960" w:rsidRPr="00C64064" w:rsidRDefault="00775960" w:rsidP="00326BA6">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C64064">
              <w:rPr>
                <w:rFonts w:asciiTheme="majorHAnsi" w:hAnsiTheme="majorHAnsi" w:cstheme="majorHAnsi"/>
              </w:rPr>
              <w:t xml:space="preserve">(kg </w:t>
            </w:r>
            <w:r w:rsidR="008A0D1F" w:rsidRPr="00C64064">
              <w:rPr>
                <w:rFonts w:asciiTheme="majorHAnsi" w:hAnsiTheme="majorHAnsi" w:cstheme="majorHAnsi"/>
              </w:rPr>
              <w:t xml:space="preserve">of </w:t>
            </w:r>
            <w:r w:rsidRPr="00C64064">
              <w:rPr>
                <w:rFonts w:asciiTheme="majorHAnsi" w:hAnsiTheme="majorHAnsi" w:cstheme="majorHAnsi"/>
              </w:rPr>
              <w:t>CO2e per household per cycle)</w:t>
            </w:r>
          </w:p>
        </w:tc>
        <w:tc>
          <w:tcPr>
            <w:tcW w:w="2105" w:type="pct"/>
            <w:shd w:val="clear" w:color="auto" w:fill="252D65"/>
          </w:tcPr>
          <w:p w14:paraId="5351874A" w14:textId="77777777" w:rsidR="00775960" w:rsidRPr="00C64064" w:rsidRDefault="00775960" w:rsidP="00326BA6">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C64064">
              <w:rPr>
                <w:rFonts w:asciiTheme="majorHAnsi" w:hAnsiTheme="majorHAnsi" w:cstheme="majorHAnsi"/>
              </w:rPr>
              <w:t>Total attributable emission reduction</w:t>
            </w:r>
          </w:p>
          <w:p w14:paraId="79C00190" w14:textId="6D3C6510" w:rsidR="00775960" w:rsidRPr="00C64064" w:rsidRDefault="00775960" w:rsidP="00326BA6">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C64064">
              <w:rPr>
                <w:rFonts w:asciiTheme="majorHAnsi" w:hAnsiTheme="majorHAnsi" w:cstheme="majorHAnsi"/>
              </w:rPr>
              <w:t>(tonnes</w:t>
            </w:r>
            <w:r w:rsidR="008A0D1F" w:rsidRPr="00C64064">
              <w:rPr>
                <w:rFonts w:asciiTheme="majorHAnsi" w:hAnsiTheme="majorHAnsi" w:cstheme="majorHAnsi"/>
              </w:rPr>
              <w:t xml:space="preserve"> of</w:t>
            </w:r>
            <w:r w:rsidRPr="00C64064">
              <w:rPr>
                <w:rFonts w:asciiTheme="majorHAnsi" w:hAnsiTheme="majorHAnsi" w:cstheme="majorHAnsi"/>
              </w:rPr>
              <w:t xml:space="preserve"> CO2e)</w:t>
            </w:r>
          </w:p>
        </w:tc>
      </w:tr>
      <w:tr w:rsidR="00775960" w:rsidRPr="00C64064" w14:paraId="3F88795C" w14:textId="77777777" w:rsidTr="00CF05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7" w:type="pct"/>
          </w:tcPr>
          <w:p w14:paraId="2FE4099A" w14:textId="77777777" w:rsidR="00775960" w:rsidRPr="00C64064" w:rsidRDefault="00775960" w:rsidP="00326BA6">
            <w:pPr>
              <w:jc w:val="both"/>
              <w:rPr>
                <w:rFonts w:asciiTheme="majorHAnsi" w:hAnsiTheme="majorHAnsi" w:cstheme="majorHAnsi"/>
              </w:rPr>
            </w:pPr>
            <w:r w:rsidRPr="00C64064">
              <w:rPr>
                <w:rFonts w:asciiTheme="majorHAnsi" w:hAnsiTheme="majorHAnsi" w:cstheme="majorHAnsi"/>
              </w:rPr>
              <w:t>Beef</w:t>
            </w:r>
          </w:p>
        </w:tc>
        <w:tc>
          <w:tcPr>
            <w:tcW w:w="2008" w:type="pct"/>
          </w:tcPr>
          <w:p w14:paraId="5A511E07" w14:textId="77777777" w:rsidR="00775960" w:rsidRPr="00CD4A00" w:rsidRDefault="00775960" w:rsidP="00326BA6">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n-US"/>
              </w:rPr>
            </w:pPr>
            <w:r w:rsidRPr="00CD4A00">
              <w:rPr>
                <w:rFonts w:asciiTheme="majorHAnsi" w:hAnsiTheme="majorHAnsi" w:cstheme="majorHAnsi"/>
                <w:lang w:val="en-US"/>
              </w:rPr>
              <w:t>East and Central Java: 101</w:t>
            </w:r>
          </w:p>
          <w:p w14:paraId="74F9DE83" w14:textId="790B918C" w:rsidR="00775960" w:rsidRPr="00CD4A00" w:rsidRDefault="00FC46DE" w:rsidP="00326BA6">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n-US"/>
              </w:rPr>
            </w:pPr>
            <w:r w:rsidRPr="00CD4A00">
              <w:rPr>
                <w:rFonts w:asciiTheme="majorHAnsi" w:hAnsiTheme="majorHAnsi" w:cstheme="majorHAnsi"/>
                <w:lang w:val="en-US"/>
              </w:rPr>
              <w:t xml:space="preserve">West </w:t>
            </w:r>
            <w:r w:rsidR="00775960" w:rsidRPr="00CD4A00">
              <w:rPr>
                <w:rFonts w:asciiTheme="majorHAnsi" w:hAnsiTheme="majorHAnsi" w:cstheme="majorHAnsi"/>
                <w:lang w:val="en-US"/>
              </w:rPr>
              <w:t xml:space="preserve">Nusa Tenggara: 85.5 </w:t>
            </w:r>
          </w:p>
        </w:tc>
        <w:tc>
          <w:tcPr>
            <w:tcW w:w="2105" w:type="pct"/>
          </w:tcPr>
          <w:p w14:paraId="30DA3DFA" w14:textId="77777777" w:rsidR="00775960" w:rsidRPr="00C64064" w:rsidRDefault="00775960" w:rsidP="00326BA6">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C64064">
              <w:rPr>
                <w:rFonts w:asciiTheme="majorHAnsi" w:hAnsiTheme="majorHAnsi" w:cstheme="majorHAnsi"/>
              </w:rPr>
              <w:t>64,045</w:t>
            </w:r>
          </w:p>
        </w:tc>
      </w:tr>
      <w:tr w:rsidR="00775960" w:rsidRPr="00C64064" w14:paraId="4E9810BA" w14:textId="77777777" w:rsidTr="00CF0500">
        <w:tc>
          <w:tcPr>
            <w:cnfStyle w:val="001000000000" w:firstRow="0" w:lastRow="0" w:firstColumn="1" w:lastColumn="0" w:oddVBand="0" w:evenVBand="0" w:oddHBand="0" w:evenHBand="0" w:firstRowFirstColumn="0" w:firstRowLastColumn="0" w:lastRowFirstColumn="0" w:lastRowLastColumn="0"/>
            <w:tcW w:w="887" w:type="pct"/>
          </w:tcPr>
          <w:p w14:paraId="71A49A95" w14:textId="77777777" w:rsidR="00775960" w:rsidRPr="00C64064" w:rsidRDefault="00775960" w:rsidP="00326BA6">
            <w:pPr>
              <w:jc w:val="both"/>
              <w:rPr>
                <w:rFonts w:asciiTheme="majorHAnsi" w:hAnsiTheme="majorHAnsi" w:cstheme="majorHAnsi"/>
              </w:rPr>
            </w:pPr>
            <w:r w:rsidRPr="00C64064">
              <w:rPr>
                <w:rFonts w:asciiTheme="majorHAnsi" w:hAnsiTheme="majorHAnsi" w:cstheme="majorHAnsi"/>
              </w:rPr>
              <w:t>Rice</w:t>
            </w:r>
          </w:p>
        </w:tc>
        <w:tc>
          <w:tcPr>
            <w:tcW w:w="2008" w:type="pct"/>
          </w:tcPr>
          <w:p w14:paraId="52CB3000" w14:textId="2A49D147" w:rsidR="00775960" w:rsidRPr="00C64064" w:rsidRDefault="00775960" w:rsidP="00326BA6">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64064">
              <w:rPr>
                <w:rFonts w:asciiTheme="majorHAnsi" w:hAnsiTheme="majorHAnsi" w:cstheme="majorHAnsi"/>
              </w:rPr>
              <w:t xml:space="preserve">Hybrid: </w:t>
            </w:r>
            <w:r w:rsidR="002E37BF">
              <w:rPr>
                <w:rFonts w:asciiTheme="majorHAnsi" w:hAnsiTheme="majorHAnsi" w:cstheme="majorHAnsi"/>
              </w:rPr>
              <w:t>95.2</w:t>
            </w:r>
          </w:p>
          <w:p w14:paraId="57FD632A" w14:textId="508644C3" w:rsidR="00775960" w:rsidRPr="00C64064" w:rsidRDefault="00775960" w:rsidP="00326BA6">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C64064">
              <w:rPr>
                <w:rFonts w:asciiTheme="majorHAnsi" w:hAnsiTheme="majorHAnsi" w:cstheme="majorHAnsi"/>
              </w:rPr>
              <w:t xml:space="preserve">New inbreed: </w:t>
            </w:r>
            <w:r w:rsidR="00BB0A84">
              <w:rPr>
                <w:rFonts w:asciiTheme="majorHAnsi" w:hAnsiTheme="majorHAnsi" w:cstheme="majorHAnsi"/>
              </w:rPr>
              <w:t>32.8</w:t>
            </w:r>
          </w:p>
        </w:tc>
        <w:tc>
          <w:tcPr>
            <w:tcW w:w="2105" w:type="pct"/>
          </w:tcPr>
          <w:p w14:paraId="2ED22311" w14:textId="35AA33CF" w:rsidR="00775960" w:rsidRPr="00C64064" w:rsidRDefault="00BB0A84" w:rsidP="00326BA6">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10</w:t>
            </w:r>
            <w:r w:rsidR="00CE0E07">
              <w:rPr>
                <w:rFonts w:asciiTheme="majorHAnsi" w:hAnsiTheme="majorHAnsi" w:cstheme="majorHAnsi"/>
              </w:rPr>
              <w:t>,786</w:t>
            </w:r>
          </w:p>
        </w:tc>
      </w:tr>
      <w:tr w:rsidR="00775960" w:rsidRPr="00C64064" w14:paraId="41A6A273" w14:textId="77777777" w:rsidTr="00CF05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7" w:type="pct"/>
          </w:tcPr>
          <w:p w14:paraId="3AC68956" w14:textId="77777777" w:rsidR="00775960" w:rsidRPr="00C64064" w:rsidRDefault="00775960" w:rsidP="00326BA6">
            <w:pPr>
              <w:jc w:val="both"/>
              <w:rPr>
                <w:rFonts w:asciiTheme="majorHAnsi" w:hAnsiTheme="majorHAnsi" w:cstheme="majorHAnsi"/>
              </w:rPr>
            </w:pPr>
            <w:r w:rsidRPr="00C64064">
              <w:rPr>
                <w:rFonts w:asciiTheme="majorHAnsi" w:hAnsiTheme="majorHAnsi" w:cstheme="majorHAnsi"/>
              </w:rPr>
              <w:t>Maize</w:t>
            </w:r>
          </w:p>
        </w:tc>
        <w:tc>
          <w:tcPr>
            <w:tcW w:w="2008" w:type="pct"/>
          </w:tcPr>
          <w:p w14:paraId="6D8F72F1" w14:textId="2FB12505" w:rsidR="00775960" w:rsidRPr="00C64064" w:rsidRDefault="00775960" w:rsidP="00326BA6">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C64064">
              <w:rPr>
                <w:rFonts w:asciiTheme="majorHAnsi" w:hAnsiTheme="majorHAnsi" w:cstheme="majorHAnsi"/>
              </w:rPr>
              <w:t xml:space="preserve">Hybrid: </w:t>
            </w:r>
            <w:r w:rsidR="003E18E1">
              <w:rPr>
                <w:rFonts w:asciiTheme="majorHAnsi" w:hAnsiTheme="majorHAnsi" w:cstheme="majorHAnsi"/>
              </w:rPr>
              <w:t>73.6</w:t>
            </w:r>
          </w:p>
        </w:tc>
        <w:tc>
          <w:tcPr>
            <w:tcW w:w="2105" w:type="pct"/>
          </w:tcPr>
          <w:p w14:paraId="33398B6D" w14:textId="77777777" w:rsidR="00775960" w:rsidRPr="00C64064" w:rsidRDefault="00775960" w:rsidP="00326BA6">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C64064">
              <w:rPr>
                <w:rFonts w:asciiTheme="majorHAnsi" w:hAnsiTheme="majorHAnsi" w:cstheme="majorHAnsi"/>
              </w:rPr>
              <w:t>26,050</w:t>
            </w:r>
          </w:p>
        </w:tc>
      </w:tr>
      <w:tr w:rsidR="00775960" w:rsidRPr="00C64064" w14:paraId="2B112D19" w14:textId="77777777" w:rsidTr="00CF0500">
        <w:tc>
          <w:tcPr>
            <w:cnfStyle w:val="001000000000" w:firstRow="0" w:lastRow="0" w:firstColumn="1" w:lastColumn="0" w:oddVBand="0" w:evenVBand="0" w:oddHBand="0" w:evenHBand="0" w:firstRowFirstColumn="0" w:firstRowLastColumn="0" w:lastRowFirstColumn="0" w:lastRowLastColumn="0"/>
            <w:tcW w:w="887" w:type="pct"/>
          </w:tcPr>
          <w:p w14:paraId="30B2E50E" w14:textId="77777777" w:rsidR="00775960" w:rsidRPr="00C64064" w:rsidRDefault="00775960" w:rsidP="00326BA6">
            <w:pPr>
              <w:jc w:val="both"/>
              <w:rPr>
                <w:rFonts w:asciiTheme="majorHAnsi" w:hAnsiTheme="majorHAnsi" w:cstheme="majorHAnsi"/>
              </w:rPr>
            </w:pPr>
            <w:r w:rsidRPr="00C64064">
              <w:rPr>
                <w:rFonts w:asciiTheme="majorHAnsi" w:hAnsiTheme="majorHAnsi" w:cstheme="majorHAnsi"/>
              </w:rPr>
              <w:t>Other crops</w:t>
            </w:r>
          </w:p>
        </w:tc>
        <w:tc>
          <w:tcPr>
            <w:tcW w:w="2008" w:type="pct"/>
          </w:tcPr>
          <w:p w14:paraId="5A0A044E" w14:textId="65486283" w:rsidR="00775960" w:rsidRPr="00C64064" w:rsidRDefault="002772C9" w:rsidP="00326BA6">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47.6</w:t>
            </w:r>
          </w:p>
        </w:tc>
        <w:tc>
          <w:tcPr>
            <w:tcW w:w="2105" w:type="pct"/>
          </w:tcPr>
          <w:p w14:paraId="4D540358" w14:textId="17B30620" w:rsidR="00775960" w:rsidRPr="00C64064" w:rsidRDefault="001B5722" w:rsidP="00326BA6">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31</w:t>
            </w:r>
            <w:r w:rsidR="00253898">
              <w:rPr>
                <w:rFonts w:asciiTheme="majorHAnsi" w:hAnsiTheme="majorHAnsi" w:cstheme="majorHAnsi"/>
              </w:rPr>
              <w:t>,921</w:t>
            </w:r>
          </w:p>
        </w:tc>
      </w:tr>
    </w:tbl>
    <w:p w14:paraId="4CFBE1A9" w14:textId="77777777" w:rsidR="00775960" w:rsidRPr="00C64064" w:rsidRDefault="00775960" w:rsidP="00775960">
      <w:pPr>
        <w:jc w:val="both"/>
        <w:rPr>
          <w:rFonts w:asciiTheme="majorHAnsi" w:hAnsiTheme="majorHAnsi" w:cstheme="majorHAnsi"/>
        </w:rPr>
      </w:pPr>
    </w:p>
    <w:p w14:paraId="760CF878" w14:textId="0C07935B" w:rsidR="00775960" w:rsidRPr="00C64064" w:rsidRDefault="00775960" w:rsidP="00775960">
      <w:pPr>
        <w:jc w:val="both"/>
        <w:rPr>
          <w:rFonts w:asciiTheme="majorHAnsi" w:hAnsiTheme="majorHAnsi" w:cstheme="majorHAnsi"/>
        </w:rPr>
      </w:pPr>
      <w:r w:rsidRPr="00C64064">
        <w:rPr>
          <w:rFonts w:asciiTheme="majorHAnsi" w:hAnsiTheme="majorHAnsi" w:cstheme="majorHAnsi"/>
        </w:rPr>
        <w:t xml:space="preserve">These figures were derived from 2 sources. The first source </w:t>
      </w:r>
      <w:r w:rsidR="002C44D8" w:rsidRPr="00C64064">
        <w:rPr>
          <w:rFonts w:asciiTheme="majorHAnsi" w:hAnsiTheme="majorHAnsi" w:cstheme="majorHAnsi"/>
        </w:rPr>
        <w:t>wa</w:t>
      </w:r>
      <w:r w:rsidRPr="00C64064">
        <w:rPr>
          <w:rFonts w:asciiTheme="majorHAnsi" w:hAnsiTheme="majorHAnsi" w:cstheme="majorHAnsi"/>
        </w:rPr>
        <w:t>s the reduced and efficient use of nitrogen-based fertili</w:t>
      </w:r>
      <w:r w:rsidR="00FC46DE" w:rsidRPr="00C64064">
        <w:rPr>
          <w:rFonts w:asciiTheme="majorHAnsi" w:hAnsiTheme="majorHAnsi" w:cstheme="majorHAnsi"/>
        </w:rPr>
        <w:t>s</w:t>
      </w:r>
      <w:r w:rsidRPr="00C64064">
        <w:rPr>
          <w:rFonts w:asciiTheme="majorHAnsi" w:hAnsiTheme="majorHAnsi" w:cstheme="majorHAnsi"/>
        </w:rPr>
        <w:t>er in rice, maize, and other crops. The second source c</w:t>
      </w:r>
      <w:r w:rsidR="002C44D8" w:rsidRPr="00C64064">
        <w:rPr>
          <w:rFonts w:asciiTheme="majorHAnsi" w:hAnsiTheme="majorHAnsi" w:cstheme="majorHAnsi"/>
        </w:rPr>
        <w:t>a</w:t>
      </w:r>
      <w:r w:rsidRPr="00C64064">
        <w:rPr>
          <w:rFonts w:asciiTheme="majorHAnsi" w:hAnsiTheme="majorHAnsi" w:cstheme="majorHAnsi"/>
        </w:rPr>
        <w:t xml:space="preserve">me from the cattle sector, where increased uptake of concentrated feed in cattle feeding practices </w:t>
      </w:r>
      <w:r w:rsidR="002C44D8" w:rsidRPr="00C64064">
        <w:rPr>
          <w:rFonts w:asciiTheme="majorHAnsi" w:hAnsiTheme="majorHAnsi" w:cstheme="majorHAnsi"/>
        </w:rPr>
        <w:t xml:space="preserve">has </w:t>
      </w:r>
      <w:r w:rsidRPr="00C64064">
        <w:rPr>
          <w:rFonts w:asciiTheme="majorHAnsi" w:hAnsiTheme="majorHAnsi" w:cstheme="majorHAnsi"/>
        </w:rPr>
        <w:t>led to shorter cattle rearing cycle</w:t>
      </w:r>
      <w:r w:rsidR="002C44D8" w:rsidRPr="00C64064">
        <w:rPr>
          <w:rFonts w:asciiTheme="majorHAnsi" w:hAnsiTheme="majorHAnsi" w:cstheme="majorHAnsi"/>
        </w:rPr>
        <w:t>s</w:t>
      </w:r>
      <w:r w:rsidRPr="00C64064">
        <w:rPr>
          <w:rFonts w:asciiTheme="majorHAnsi" w:hAnsiTheme="majorHAnsi" w:cstheme="majorHAnsi"/>
        </w:rPr>
        <w:t>, reducing methane equivalent carbon dioxide emissions</w:t>
      </w:r>
      <w:r w:rsidR="002C44D8" w:rsidRPr="00C64064">
        <w:rPr>
          <w:rFonts w:asciiTheme="majorHAnsi" w:hAnsiTheme="majorHAnsi" w:cstheme="majorHAnsi"/>
        </w:rPr>
        <w:t>.</w:t>
      </w:r>
      <w:r w:rsidRPr="00C64064">
        <w:rPr>
          <w:rStyle w:val="FootnoteReference"/>
          <w:rFonts w:asciiTheme="majorHAnsi" w:hAnsiTheme="majorHAnsi" w:cstheme="majorHAnsi"/>
        </w:rPr>
        <w:footnoteReference w:id="14"/>
      </w:r>
    </w:p>
    <w:p w14:paraId="6AA4F8E5" w14:textId="19ACBF7C" w:rsidR="00775960" w:rsidRPr="00C64064" w:rsidRDefault="00775960" w:rsidP="00775960">
      <w:pPr>
        <w:jc w:val="both"/>
        <w:rPr>
          <w:rFonts w:asciiTheme="majorHAnsi" w:hAnsiTheme="majorHAnsi" w:cstheme="majorHAnsi"/>
        </w:rPr>
      </w:pPr>
      <w:r w:rsidRPr="00C64064">
        <w:rPr>
          <w:rFonts w:asciiTheme="majorHAnsi" w:hAnsiTheme="majorHAnsi" w:cstheme="majorHAnsi"/>
        </w:rPr>
        <w:lastRenderedPageBreak/>
        <w:t xml:space="preserve">The reduction in emissions from farming activities is attributed to farmers who have adopted innovations introduced by PRISMA’s partners, compared to emissions emitted by farmers who </w:t>
      </w:r>
      <w:r w:rsidR="002C44D8" w:rsidRPr="00C64064">
        <w:rPr>
          <w:rFonts w:asciiTheme="majorHAnsi" w:hAnsiTheme="majorHAnsi" w:cstheme="majorHAnsi"/>
        </w:rPr>
        <w:t>have</w:t>
      </w:r>
      <w:r w:rsidRPr="00C64064">
        <w:rPr>
          <w:rFonts w:asciiTheme="majorHAnsi" w:hAnsiTheme="majorHAnsi" w:cstheme="majorHAnsi"/>
        </w:rPr>
        <w:t xml:space="preserve"> not adopt</w:t>
      </w:r>
      <w:r w:rsidR="002C44D8" w:rsidRPr="00C64064">
        <w:rPr>
          <w:rFonts w:asciiTheme="majorHAnsi" w:hAnsiTheme="majorHAnsi" w:cstheme="majorHAnsi"/>
        </w:rPr>
        <w:t>ed</w:t>
      </w:r>
      <w:r w:rsidRPr="00C64064">
        <w:rPr>
          <w:rFonts w:asciiTheme="majorHAnsi" w:hAnsiTheme="majorHAnsi" w:cstheme="majorHAnsi"/>
        </w:rPr>
        <w:t xml:space="preserve"> climate-smart agriculture practices. The total emission reduction is a conservative estimate as it captures emissions reduced by farmers for one agriculture season or cycle only.</w:t>
      </w:r>
    </w:p>
    <w:p w14:paraId="55ED5935" w14:textId="4DA8CA6C" w:rsidR="00775960" w:rsidRPr="00C64064" w:rsidRDefault="00775960" w:rsidP="00775960">
      <w:pPr>
        <w:spacing w:line="276" w:lineRule="auto"/>
        <w:rPr>
          <w:rFonts w:asciiTheme="majorHAnsi" w:hAnsiTheme="majorHAnsi" w:cstheme="majorHAnsi"/>
          <w:i/>
          <w:iCs/>
        </w:rPr>
      </w:pPr>
      <w:r w:rsidRPr="00C64064">
        <w:rPr>
          <w:rFonts w:asciiTheme="majorHAnsi" w:hAnsiTheme="majorHAnsi" w:cstheme="majorHAnsi"/>
          <w:i/>
          <w:iCs/>
        </w:rPr>
        <w:t>Market resilience</w:t>
      </w:r>
      <w:r w:rsidR="005D0B98">
        <w:rPr>
          <w:rFonts w:asciiTheme="majorHAnsi" w:hAnsiTheme="majorHAnsi" w:cstheme="majorHAnsi"/>
          <w:i/>
          <w:iCs/>
        </w:rPr>
        <w:t xml:space="preserve"> activity </w:t>
      </w:r>
    </w:p>
    <w:p w14:paraId="642A3F57" w14:textId="38D94500" w:rsidR="005D0B98" w:rsidRDefault="005D0B98" w:rsidP="00775960">
      <w:pPr>
        <w:spacing w:line="276" w:lineRule="auto"/>
        <w:rPr>
          <w:rFonts w:asciiTheme="majorHAnsi" w:hAnsiTheme="majorHAnsi" w:cstheme="majorHAnsi"/>
        </w:rPr>
      </w:pPr>
      <w:r>
        <w:rPr>
          <w:rFonts w:asciiTheme="majorHAnsi" w:hAnsiTheme="majorHAnsi" w:cstheme="majorHAnsi"/>
        </w:rPr>
        <w:t>Together with the World Bank, PRISMA supported a MoA and Bappenas event, "Climate-Smart Agriculture for Productivity, Resilience, and Sustainability of Indonesian Agriculture," in Jakarta on 19-20 June 2024. The workshop included expert presentations, panel sessions, and interactive discussions focused on scaling up climate-smart agricultural practices, facilitating an exchange of knowledge and innovation to inform agricultural planning and policymaking in Indonesia.</w:t>
      </w:r>
    </w:p>
    <w:p w14:paraId="55AE788D" w14:textId="56426AA1" w:rsidR="006047DB" w:rsidRDefault="005D0B98" w:rsidP="00775960">
      <w:pPr>
        <w:spacing w:line="276" w:lineRule="auto"/>
        <w:rPr>
          <w:rFonts w:asciiTheme="majorHAnsi" w:hAnsiTheme="majorHAnsi" w:cstheme="majorHAnsi"/>
        </w:rPr>
      </w:pPr>
      <w:r>
        <w:rPr>
          <w:rFonts w:asciiTheme="majorHAnsi" w:hAnsiTheme="majorHAnsi" w:cstheme="majorHAnsi"/>
        </w:rPr>
        <w:t>PRISMA's business partners involved in critical agricultural commodities, such as rice, maize, cattle, and fertilizer, shared their latest innovations and ideas at the event. PRISMA also held a press conference to support its partners in sharing innovations with journalists</w:t>
      </w:r>
      <w:r w:rsidR="00E43969">
        <w:rPr>
          <w:rFonts w:asciiTheme="majorHAnsi" w:hAnsiTheme="majorHAnsi" w:cstheme="majorHAnsi"/>
        </w:rPr>
        <w:t xml:space="preserve">, </w:t>
      </w:r>
      <w:r w:rsidR="00E43969" w:rsidRPr="00C35BF7">
        <w:rPr>
          <w:rFonts w:asciiTheme="majorHAnsi" w:hAnsiTheme="majorHAnsi" w:cstheme="majorHAnsi"/>
        </w:rPr>
        <w:t>resulting in 31 media articles</w:t>
      </w:r>
      <w:r w:rsidR="006047DB" w:rsidRPr="00C35BF7">
        <w:rPr>
          <w:rFonts w:asciiTheme="majorHAnsi" w:hAnsiTheme="majorHAnsi" w:cstheme="majorHAnsi"/>
        </w:rPr>
        <w:t>.</w:t>
      </w:r>
    </w:p>
    <w:p w14:paraId="74EA3FB7" w14:textId="22581825" w:rsidR="00775960" w:rsidRPr="00C64064" w:rsidRDefault="00775960" w:rsidP="00775960">
      <w:pPr>
        <w:spacing w:line="276" w:lineRule="auto"/>
        <w:rPr>
          <w:rFonts w:asciiTheme="majorHAnsi" w:hAnsiTheme="majorHAnsi" w:cstheme="majorHAnsi"/>
        </w:rPr>
      </w:pPr>
      <w:r w:rsidRPr="00C64064">
        <w:rPr>
          <w:rFonts w:asciiTheme="majorHAnsi" w:hAnsiTheme="majorHAnsi" w:cstheme="majorHAnsi"/>
          <w:noProof/>
        </w:rPr>
        <mc:AlternateContent>
          <mc:Choice Requires="wpg">
            <w:drawing>
              <wp:inline distT="0" distB="0" distL="0" distR="0" wp14:anchorId="599B41BF" wp14:editId="7C77AFD4">
                <wp:extent cx="5988526" cy="2013790"/>
                <wp:effectExtent l="0" t="0" r="0" b="5715"/>
                <wp:docPr id="161271449" name="Group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88526" cy="2013790"/>
                          <a:chOff x="0" y="-5283"/>
                          <a:chExt cx="5988526" cy="2013790"/>
                        </a:xfrm>
                      </wpg:grpSpPr>
                      <wps:wsp>
                        <wps:cNvPr id="1648753245" name="Text Box 1648753245">
                          <a:extLst>
                            <a:ext uri="{C183D7F6-B498-43B3-948B-1728B52AA6E4}">
                              <adec:decorative xmlns:adec="http://schemas.microsoft.com/office/drawing/2017/decorative" val="1"/>
                            </a:ext>
                          </a:extLst>
                        </wps:cNvPr>
                        <wps:cNvSpPr txBox="1"/>
                        <wps:spPr>
                          <a:xfrm>
                            <a:off x="3018048" y="-5283"/>
                            <a:ext cx="2970478" cy="2013790"/>
                          </a:xfrm>
                          <a:prstGeom prst="rect">
                            <a:avLst/>
                          </a:prstGeom>
                          <a:solidFill>
                            <a:srgbClr val="252C66"/>
                          </a:solidFill>
                          <a:ln w="6350">
                            <a:noFill/>
                          </a:ln>
                        </wps:spPr>
                        <wps:txbx>
                          <w:txbxContent>
                            <w:p w14:paraId="40865D81" w14:textId="77777777" w:rsidR="00775960" w:rsidRPr="00052CD2" w:rsidRDefault="00775960" w:rsidP="00775960">
                              <w:pPr>
                                <w:pStyle w:val="paragraph"/>
                                <w:spacing w:before="0" w:beforeAutospacing="0" w:after="200" w:afterAutospacing="0"/>
                                <w:textAlignment w:val="baseline"/>
                                <w:rPr>
                                  <w:rStyle w:val="normaltextrun"/>
                                  <w:rFonts w:ascii="Arial" w:hAnsi="Arial" w:cs="Arial"/>
                                  <w:i/>
                                  <w:iCs/>
                                  <w:color w:val="FFFFFF" w:themeColor="background1"/>
                                  <w:sz w:val="20"/>
                                  <w:szCs w:val="20"/>
                                  <w:lang w:val="en-US"/>
                                </w:rPr>
                              </w:pPr>
                              <w:r w:rsidRPr="00052CD2">
                                <w:rPr>
                                  <w:rFonts w:ascii="Arial" w:hAnsi="Arial" w:cs="Arial"/>
                                  <w:i/>
                                  <w:iCs/>
                                  <w:noProof/>
                                  <w:color w:val="FFFFFF" w:themeColor="background1"/>
                                  <w:sz w:val="20"/>
                                  <w:szCs w:val="20"/>
                                  <w:lang w:val="en-US"/>
                                </w:rPr>
                                <w:drawing>
                                  <wp:inline distT="0" distB="0" distL="0" distR="0" wp14:anchorId="742C4B91" wp14:editId="625BE3D9">
                                    <wp:extent cx="228600" cy="228600"/>
                                    <wp:effectExtent l="0" t="0" r="0" b="0"/>
                                    <wp:docPr id="39593041" name="Graphic 395930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33060"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228600" cy="228600"/>
                                            </a:xfrm>
                                            <a:prstGeom prst="rect">
                                              <a:avLst/>
                                            </a:prstGeom>
                                          </pic:spPr>
                                        </pic:pic>
                                      </a:graphicData>
                                    </a:graphic>
                                  </wp:inline>
                                </w:drawing>
                              </w:r>
                            </w:p>
                            <w:p w14:paraId="7DBDEC89" w14:textId="14614C84" w:rsidR="00775960" w:rsidRPr="00A602AD" w:rsidRDefault="00862681" w:rsidP="00775960">
                              <w:pPr>
                                <w:pStyle w:val="paragraph"/>
                                <w:spacing w:before="0" w:beforeAutospacing="0" w:after="200" w:afterAutospacing="0"/>
                                <w:textAlignment w:val="baseline"/>
                                <w:rPr>
                                  <w:rStyle w:val="normaltextrun"/>
                                  <w:rFonts w:ascii="Arial" w:hAnsi="Arial" w:cs="Arial"/>
                                  <w:color w:val="FFFFFF" w:themeColor="background1"/>
                                  <w:sz w:val="20"/>
                                  <w:szCs w:val="20"/>
                                  <w:lang w:val="en-US"/>
                                </w:rPr>
                              </w:pPr>
                              <w:r w:rsidRPr="00A602AD">
                                <w:rPr>
                                  <w:rStyle w:val="normaltextrun"/>
                                  <w:rFonts w:ascii="Arial" w:hAnsi="Arial" w:cs="Arial"/>
                                  <w:color w:val="FFFFFF" w:themeColor="background1"/>
                                  <w:sz w:val="20"/>
                                  <w:szCs w:val="20"/>
                                  <w:lang w:val="en-US"/>
                                </w:rPr>
                                <w:t xml:space="preserve">This workshop </w:t>
                              </w:r>
                              <w:r w:rsidR="00097520" w:rsidRPr="00A602AD">
                                <w:rPr>
                                  <w:rStyle w:val="normaltextrun"/>
                                  <w:rFonts w:ascii="Arial" w:hAnsi="Arial" w:cs="Arial"/>
                                  <w:color w:val="FFFFFF" w:themeColor="background1"/>
                                  <w:sz w:val="20"/>
                                  <w:szCs w:val="20"/>
                                  <w:lang w:val="en-US"/>
                                </w:rPr>
                                <w:t>address</w:t>
                              </w:r>
                              <w:r w:rsidRPr="00A602AD">
                                <w:rPr>
                                  <w:rStyle w:val="normaltextrun"/>
                                  <w:rFonts w:ascii="Arial" w:hAnsi="Arial" w:cs="Arial"/>
                                  <w:color w:val="FFFFFF" w:themeColor="background1"/>
                                  <w:sz w:val="20"/>
                                  <w:szCs w:val="20"/>
                                  <w:lang w:val="en-US"/>
                                </w:rPr>
                                <w:t>ed v</w:t>
                              </w:r>
                              <w:r w:rsidR="00775960" w:rsidRPr="00A602AD">
                                <w:rPr>
                                  <w:rStyle w:val="normaltextrun"/>
                                  <w:rFonts w:ascii="Arial" w:hAnsi="Arial" w:cs="Arial"/>
                                  <w:color w:val="FFFFFF" w:themeColor="background1"/>
                                  <w:sz w:val="20"/>
                                  <w:szCs w:val="20"/>
                                  <w:lang w:val="en-US"/>
                                </w:rPr>
                                <w:t xml:space="preserve">arious important </w:t>
                              </w:r>
                              <w:r w:rsidR="00525561" w:rsidRPr="00A602AD">
                                <w:rPr>
                                  <w:rStyle w:val="normaltextrun"/>
                                  <w:rFonts w:ascii="Arial" w:hAnsi="Arial" w:cs="Arial"/>
                                  <w:color w:val="FFFFFF" w:themeColor="background1"/>
                                  <w:sz w:val="20"/>
                                  <w:szCs w:val="20"/>
                                  <w:lang w:val="en-US"/>
                                </w:rPr>
                                <w:t>aspects of</w:t>
                              </w:r>
                              <w:r w:rsidR="00775960" w:rsidRPr="00A602AD">
                                <w:rPr>
                                  <w:rStyle w:val="normaltextrun"/>
                                  <w:rFonts w:ascii="Arial" w:hAnsi="Arial" w:cs="Arial"/>
                                  <w:color w:val="FFFFFF" w:themeColor="background1"/>
                                  <w:sz w:val="20"/>
                                  <w:szCs w:val="20"/>
                                  <w:lang w:val="en-US"/>
                                </w:rPr>
                                <w:t xml:space="preserve"> </w:t>
                              </w:r>
                              <w:r w:rsidR="00525561" w:rsidRPr="00A602AD">
                                <w:rPr>
                                  <w:rStyle w:val="normaltextrun"/>
                                  <w:rFonts w:ascii="Arial" w:hAnsi="Arial" w:cs="Arial"/>
                                  <w:color w:val="FFFFFF" w:themeColor="background1"/>
                                  <w:sz w:val="20"/>
                                  <w:szCs w:val="20"/>
                                  <w:lang w:val="en-US"/>
                                </w:rPr>
                                <w:t>c</w:t>
                              </w:r>
                              <w:r w:rsidR="00775960" w:rsidRPr="00A602AD">
                                <w:rPr>
                                  <w:rStyle w:val="normaltextrun"/>
                                  <w:rFonts w:ascii="Arial" w:hAnsi="Arial" w:cs="Arial"/>
                                  <w:color w:val="FFFFFF" w:themeColor="background1"/>
                                  <w:sz w:val="20"/>
                                  <w:szCs w:val="20"/>
                                  <w:lang w:val="en-US"/>
                                </w:rPr>
                                <w:t>limate</w:t>
                              </w:r>
                              <w:r w:rsidR="00525561" w:rsidRPr="00A602AD">
                                <w:rPr>
                                  <w:rStyle w:val="normaltextrun"/>
                                  <w:rFonts w:ascii="Arial" w:hAnsi="Arial" w:cs="Arial"/>
                                  <w:color w:val="FFFFFF" w:themeColor="background1"/>
                                  <w:sz w:val="20"/>
                                  <w:szCs w:val="20"/>
                                  <w:lang w:val="en-US"/>
                                </w:rPr>
                                <w:t>-s</w:t>
                              </w:r>
                              <w:r w:rsidR="00775960" w:rsidRPr="00A602AD">
                                <w:rPr>
                                  <w:rStyle w:val="normaltextrun"/>
                                  <w:rFonts w:ascii="Arial" w:hAnsi="Arial" w:cs="Arial"/>
                                  <w:color w:val="FFFFFF" w:themeColor="background1"/>
                                  <w:sz w:val="20"/>
                                  <w:szCs w:val="20"/>
                                  <w:lang w:val="en-US"/>
                                </w:rPr>
                                <w:t xml:space="preserve">mart </w:t>
                              </w:r>
                              <w:r w:rsidR="00525561" w:rsidRPr="00A602AD">
                                <w:rPr>
                                  <w:rStyle w:val="normaltextrun"/>
                                  <w:rFonts w:ascii="Arial" w:hAnsi="Arial" w:cs="Arial"/>
                                  <w:color w:val="FFFFFF" w:themeColor="background1"/>
                                  <w:sz w:val="20"/>
                                  <w:szCs w:val="20"/>
                                  <w:lang w:val="en-US"/>
                                </w:rPr>
                                <w:t>a</w:t>
                              </w:r>
                              <w:r w:rsidR="00775960" w:rsidRPr="00A602AD">
                                <w:rPr>
                                  <w:rStyle w:val="normaltextrun"/>
                                  <w:rFonts w:ascii="Arial" w:hAnsi="Arial" w:cs="Arial"/>
                                  <w:color w:val="FFFFFF" w:themeColor="background1"/>
                                  <w:sz w:val="20"/>
                                  <w:szCs w:val="20"/>
                                  <w:lang w:val="en-US"/>
                                </w:rPr>
                                <w:t xml:space="preserve">griculture </w:t>
                              </w:r>
                              <w:r w:rsidR="00525561" w:rsidRPr="00A602AD">
                                <w:rPr>
                                  <w:rStyle w:val="normaltextrun"/>
                                  <w:rFonts w:ascii="Arial" w:hAnsi="Arial" w:cs="Arial"/>
                                  <w:color w:val="FFFFFF" w:themeColor="background1"/>
                                  <w:sz w:val="20"/>
                                  <w:szCs w:val="20"/>
                                  <w:lang w:val="en-US"/>
                                </w:rPr>
                                <w:t>that</w:t>
                              </w:r>
                              <w:r w:rsidR="00775960" w:rsidRPr="00A602AD">
                                <w:rPr>
                                  <w:rStyle w:val="normaltextrun"/>
                                  <w:rFonts w:ascii="Arial" w:hAnsi="Arial" w:cs="Arial"/>
                                  <w:color w:val="FFFFFF" w:themeColor="background1"/>
                                  <w:sz w:val="20"/>
                                  <w:szCs w:val="20"/>
                                  <w:lang w:val="en-US"/>
                                </w:rPr>
                                <w:t xml:space="preserve"> c</w:t>
                              </w:r>
                              <w:r w:rsidR="00097520" w:rsidRPr="00A602AD">
                                <w:rPr>
                                  <w:rStyle w:val="normaltextrun"/>
                                  <w:rFonts w:ascii="Arial" w:hAnsi="Arial" w:cs="Arial"/>
                                  <w:color w:val="FFFFFF" w:themeColor="background1"/>
                                  <w:sz w:val="20"/>
                                  <w:szCs w:val="20"/>
                                  <w:lang w:val="en-US"/>
                                </w:rPr>
                                <w:t>ould</w:t>
                              </w:r>
                              <w:r w:rsidR="00775960" w:rsidRPr="00A602AD">
                                <w:rPr>
                                  <w:rStyle w:val="normaltextrun"/>
                                  <w:rFonts w:ascii="Arial" w:hAnsi="Arial" w:cs="Arial"/>
                                  <w:color w:val="FFFFFF" w:themeColor="background1"/>
                                  <w:sz w:val="20"/>
                                  <w:szCs w:val="20"/>
                                  <w:lang w:val="en-US"/>
                                </w:rPr>
                                <w:t xml:space="preserve"> be i</w:t>
                              </w:r>
                              <w:r w:rsidR="00525561" w:rsidRPr="00A602AD">
                                <w:rPr>
                                  <w:rStyle w:val="normaltextrun"/>
                                  <w:rFonts w:ascii="Arial" w:hAnsi="Arial" w:cs="Arial"/>
                                  <w:color w:val="FFFFFF" w:themeColor="background1"/>
                                  <w:sz w:val="20"/>
                                  <w:szCs w:val="20"/>
                                  <w:lang w:val="en-US"/>
                                </w:rPr>
                                <w:t>ntegrat</w:t>
                              </w:r>
                              <w:r w:rsidR="00775960" w:rsidRPr="00A602AD">
                                <w:rPr>
                                  <w:rStyle w:val="normaltextrun"/>
                                  <w:rFonts w:ascii="Arial" w:hAnsi="Arial" w:cs="Arial"/>
                                  <w:color w:val="FFFFFF" w:themeColor="background1"/>
                                  <w:sz w:val="20"/>
                                  <w:szCs w:val="20"/>
                                  <w:lang w:val="en-US"/>
                                </w:rPr>
                                <w:t>ed in</w:t>
                              </w:r>
                              <w:r w:rsidR="00525561" w:rsidRPr="00A602AD">
                                <w:rPr>
                                  <w:rStyle w:val="normaltextrun"/>
                                  <w:rFonts w:ascii="Arial" w:hAnsi="Arial" w:cs="Arial"/>
                                  <w:color w:val="FFFFFF" w:themeColor="background1"/>
                                  <w:sz w:val="20"/>
                                  <w:szCs w:val="20"/>
                                  <w:lang w:val="en-US"/>
                                </w:rPr>
                                <w:t>to</w:t>
                              </w:r>
                              <w:r w:rsidR="00775960" w:rsidRPr="00A602AD">
                                <w:rPr>
                                  <w:rStyle w:val="normaltextrun"/>
                                  <w:rFonts w:ascii="Arial" w:hAnsi="Arial" w:cs="Arial"/>
                                  <w:color w:val="FFFFFF" w:themeColor="background1"/>
                                  <w:sz w:val="20"/>
                                  <w:szCs w:val="20"/>
                                  <w:lang w:val="en-US"/>
                                </w:rPr>
                                <w:t xml:space="preserve"> </w:t>
                              </w:r>
                              <w:r w:rsidRPr="00A602AD">
                                <w:rPr>
                                  <w:rStyle w:val="normaltextrun"/>
                                  <w:rFonts w:ascii="Arial" w:hAnsi="Arial" w:cs="Arial"/>
                                  <w:color w:val="FFFFFF" w:themeColor="background1"/>
                                  <w:sz w:val="20"/>
                                  <w:szCs w:val="20"/>
                                  <w:lang w:val="en-US"/>
                                </w:rPr>
                                <w:t xml:space="preserve">the </w:t>
                              </w:r>
                              <w:r w:rsidR="00775960" w:rsidRPr="00A602AD">
                                <w:rPr>
                                  <w:rStyle w:val="normaltextrun"/>
                                  <w:rFonts w:ascii="Arial" w:hAnsi="Arial" w:cs="Arial"/>
                                  <w:color w:val="FFFFFF" w:themeColor="background1"/>
                                  <w:sz w:val="20"/>
                                  <w:szCs w:val="20"/>
                                  <w:lang w:val="en-US"/>
                                </w:rPr>
                                <w:t xml:space="preserve">RPJMN, </w:t>
                              </w:r>
                              <w:r w:rsidRPr="00A602AD">
                                <w:rPr>
                                  <w:rFonts w:ascii="Arial" w:hAnsi="Arial" w:cs="Arial"/>
                                  <w:color w:val="FFFFFF" w:themeColor="background1"/>
                                  <w:sz w:val="20"/>
                                  <w:szCs w:val="20"/>
                                  <w:lang w:val="en-AU"/>
                                </w:rPr>
                                <w:t>the MoA’s strategic plan</w:t>
                              </w:r>
                              <w:r w:rsidR="00775960" w:rsidRPr="00A602AD">
                                <w:rPr>
                                  <w:rStyle w:val="normaltextrun"/>
                                  <w:rFonts w:ascii="Arial" w:hAnsi="Arial" w:cs="Arial"/>
                                  <w:color w:val="FFFFFF" w:themeColor="background1"/>
                                  <w:sz w:val="20"/>
                                  <w:szCs w:val="20"/>
                                  <w:lang w:val="en-US"/>
                                </w:rPr>
                                <w:t xml:space="preserve">, </w:t>
                              </w:r>
                              <w:r w:rsidRPr="00A602AD">
                                <w:rPr>
                                  <w:rStyle w:val="normaltextrun"/>
                                  <w:rFonts w:ascii="Arial" w:hAnsi="Arial" w:cs="Arial"/>
                                  <w:color w:val="FFFFFF" w:themeColor="background1"/>
                                  <w:sz w:val="20"/>
                                  <w:szCs w:val="20"/>
                                  <w:lang w:val="en-US"/>
                                </w:rPr>
                                <w:t xml:space="preserve">and the </w:t>
                              </w:r>
                              <w:r w:rsidR="00775960" w:rsidRPr="00A602AD">
                                <w:rPr>
                                  <w:rStyle w:val="normaltextrun"/>
                                  <w:rFonts w:ascii="Arial" w:hAnsi="Arial" w:cs="Arial"/>
                                  <w:color w:val="FFFFFF" w:themeColor="background1"/>
                                  <w:sz w:val="20"/>
                                  <w:szCs w:val="20"/>
                                  <w:lang w:val="en-US"/>
                                </w:rPr>
                                <w:t xml:space="preserve">RPJMD. </w:t>
                              </w:r>
                              <w:r w:rsidRPr="00A602AD">
                                <w:rPr>
                                  <w:rStyle w:val="normaltextrun"/>
                                  <w:rFonts w:ascii="Arial" w:hAnsi="Arial" w:cs="Arial"/>
                                  <w:color w:val="FFFFFF" w:themeColor="background1"/>
                                  <w:sz w:val="20"/>
                                  <w:szCs w:val="20"/>
                                  <w:lang w:val="en-US"/>
                                </w:rPr>
                                <w:t>This will require s</w:t>
                              </w:r>
                              <w:r w:rsidR="00775960" w:rsidRPr="00A602AD">
                                <w:rPr>
                                  <w:rStyle w:val="normaltextrun"/>
                                  <w:rFonts w:ascii="Arial" w:hAnsi="Arial" w:cs="Arial"/>
                                  <w:color w:val="FFFFFF" w:themeColor="background1"/>
                                  <w:sz w:val="20"/>
                                  <w:szCs w:val="20"/>
                                  <w:lang w:val="en-US"/>
                                </w:rPr>
                                <w:t>ynergy and contribution</w:t>
                              </w:r>
                              <w:r w:rsidRPr="00A602AD">
                                <w:rPr>
                                  <w:rStyle w:val="normaltextrun"/>
                                  <w:rFonts w:ascii="Arial" w:hAnsi="Arial" w:cs="Arial"/>
                                  <w:color w:val="FFFFFF" w:themeColor="background1"/>
                                  <w:sz w:val="20"/>
                                  <w:szCs w:val="20"/>
                                  <w:lang w:val="en-US"/>
                                </w:rPr>
                                <w:t>s from all those involved.</w:t>
                              </w:r>
                              <w:r w:rsidR="00775960" w:rsidRPr="00A602AD">
                                <w:rPr>
                                  <w:rStyle w:val="normaltextrun"/>
                                  <w:rFonts w:ascii="Arial" w:hAnsi="Arial" w:cs="Arial"/>
                                  <w:color w:val="FFFFFF" w:themeColor="background1"/>
                                  <w:sz w:val="20"/>
                                  <w:szCs w:val="20"/>
                                  <w:lang w:val="en-US"/>
                                </w:rPr>
                                <w:t xml:space="preserve"> </w:t>
                              </w:r>
                            </w:p>
                            <w:p w14:paraId="7A283954" w14:textId="77777777" w:rsidR="00775960" w:rsidRPr="00052CD2" w:rsidRDefault="00775960" w:rsidP="00775960">
                              <w:pPr>
                                <w:pStyle w:val="paragraph"/>
                                <w:spacing w:before="0" w:beforeAutospacing="0" w:after="200" w:afterAutospacing="0"/>
                                <w:textAlignment w:val="baseline"/>
                                <w:rPr>
                                  <w:rFonts w:ascii="Arial" w:hAnsi="Arial" w:cs="Arial"/>
                                  <w:color w:val="FFFFFF" w:themeColor="background1"/>
                                  <w:sz w:val="20"/>
                                  <w:szCs w:val="20"/>
                                </w:rPr>
                              </w:pPr>
                              <w:r w:rsidRPr="00052CD2">
                                <w:rPr>
                                  <w:rFonts w:ascii="Arial" w:hAnsi="Arial" w:cs="Arial"/>
                                  <w:b/>
                                  <w:bCs/>
                                  <w:color w:val="FFFFFF" w:themeColor="background1"/>
                                  <w:sz w:val="20"/>
                                  <w:szCs w:val="20"/>
                                </w:rPr>
                                <w:t>Dr. Vivi Yulaswati, MSc.</w:t>
                              </w:r>
                              <w:r w:rsidRPr="00052CD2">
                                <w:rPr>
                                  <w:rFonts w:ascii="Arial" w:hAnsi="Arial" w:cs="Arial"/>
                                  <w:color w:val="FFFFFF" w:themeColor="background1"/>
                                  <w:sz w:val="20"/>
                                  <w:szCs w:val="20"/>
                                </w:rPr>
                                <w:t xml:space="preserve"> Deputy for Maritime Affairs and Natural Resources, BAPPENAS</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pic:pic xmlns:pic="http://schemas.openxmlformats.org/drawingml/2006/picture">
                        <pic:nvPicPr>
                          <pic:cNvPr id="641283837" name="Picture 40" descr="A photo of Dr. Vivi Yulaswati, MSc. Deputy for Maritime Affairs and Natural Resources, BAPPENAS"/>
                          <pic:cNvPicPr>
                            <a:picLocks noChangeAspect="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3012440" cy="2008505"/>
                          </a:xfrm>
                          <a:prstGeom prst="rect">
                            <a:avLst/>
                          </a:prstGeom>
                          <a:noFill/>
                          <a:ln>
                            <a:noFill/>
                          </a:ln>
                        </pic:spPr>
                      </pic:pic>
                    </wpg:wgp>
                  </a:graphicData>
                </a:graphic>
              </wp:inline>
            </w:drawing>
          </mc:Choice>
          <mc:Fallback>
            <w:pict>
              <v:group w14:anchorId="599B41BF" id="Group 13" o:spid="_x0000_s1069" alt="&quot;&quot;" style="width:471.55pt;height:158.55pt;mso-position-horizontal-relative:char;mso-position-vertical-relative:line" coordorigin=",-52" coordsize="59885,201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">
                <v:shape id="Text Box 1648753245" o:spid="_x0000_s1070" type="#_x0000_t202" alt="&quot;&quot;" style="position:absolute;left:30180;top:-52;width:29705;height:20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" fillcolor="#252c66" stroked="f" strokeweight=".5pt">
                  <v:textbox inset="5mm,5mm,5mm,5mm">
                    <w:txbxContent>
                      <w:p w14:paraId="40865D81" w14:textId="77777777" w:rsidR="00775960" w:rsidRPr="00052CD2" w:rsidRDefault="00775960" w:rsidP="00775960">
                        <w:pPr>
                          <w:pStyle w:val="paragraph"/>
                          <w:spacing w:before="0" w:beforeAutospacing="0" w:after="200" w:afterAutospacing="0"/>
                          <w:textAlignment w:val="baseline"/>
                          <w:rPr>
                            <w:rStyle w:val="normaltextrun"/>
                            <w:rFonts w:ascii="Arial" w:hAnsi="Arial" w:cs="Arial"/>
                            <w:i/>
                            <w:iCs/>
                            <w:color w:val="FFFFFF" w:themeColor="background1"/>
                            <w:sz w:val="20"/>
                            <w:szCs w:val="20"/>
                            <w:lang w:val="en-US"/>
                          </w:rPr>
                        </w:pPr>
                        <w:r w:rsidRPr="00052CD2">
                          <w:rPr>
                            <w:rFonts w:ascii="Arial" w:hAnsi="Arial" w:cs="Arial"/>
                            <w:i/>
                            <w:iCs/>
                            <w:noProof/>
                            <w:color w:val="FFFFFF" w:themeColor="background1"/>
                            <w:sz w:val="20"/>
                            <w:szCs w:val="20"/>
                            <w:lang w:val="en-US"/>
                          </w:rPr>
                          <w:drawing>
                            <wp:inline distT="0" distB="0" distL="0" distR="0" wp14:anchorId="742C4B91" wp14:editId="625BE3D9">
                              <wp:extent cx="228600" cy="228600"/>
                              <wp:effectExtent l="0" t="0" r="0" b="0"/>
                              <wp:docPr id="39593041" name="Graphic 395930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33060"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228600" cy="228600"/>
                                      </a:xfrm>
                                      <a:prstGeom prst="rect">
                                        <a:avLst/>
                                      </a:prstGeom>
                                    </pic:spPr>
                                  </pic:pic>
                                </a:graphicData>
                              </a:graphic>
                            </wp:inline>
                          </w:drawing>
                        </w:r>
                      </w:p>
                      <w:p w14:paraId="7DBDEC89" w14:textId="14614C84" w:rsidR="00775960" w:rsidRPr="00A602AD" w:rsidRDefault="00862681" w:rsidP="00775960">
                        <w:pPr>
                          <w:pStyle w:val="paragraph"/>
                          <w:spacing w:before="0" w:beforeAutospacing="0" w:after="200" w:afterAutospacing="0"/>
                          <w:textAlignment w:val="baseline"/>
                          <w:rPr>
                            <w:rStyle w:val="normaltextrun"/>
                            <w:rFonts w:ascii="Arial" w:hAnsi="Arial" w:cs="Arial"/>
                            <w:color w:val="FFFFFF" w:themeColor="background1"/>
                            <w:sz w:val="20"/>
                            <w:szCs w:val="20"/>
                            <w:lang w:val="en-US"/>
                          </w:rPr>
                        </w:pPr>
                        <w:r w:rsidRPr="00A602AD">
                          <w:rPr>
                            <w:rStyle w:val="normaltextrun"/>
                            <w:rFonts w:ascii="Arial" w:hAnsi="Arial" w:cs="Arial"/>
                            <w:color w:val="FFFFFF" w:themeColor="background1"/>
                            <w:sz w:val="20"/>
                            <w:szCs w:val="20"/>
                            <w:lang w:val="en-US"/>
                          </w:rPr>
                          <w:t xml:space="preserve">This workshop </w:t>
                        </w:r>
                        <w:r w:rsidR="00097520" w:rsidRPr="00A602AD">
                          <w:rPr>
                            <w:rStyle w:val="normaltextrun"/>
                            <w:rFonts w:ascii="Arial" w:hAnsi="Arial" w:cs="Arial"/>
                            <w:color w:val="FFFFFF" w:themeColor="background1"/>
                            <w:sz w:val="20"/>
                            <w:szCs w:val="20"/>
                            <w:lang w:val="en-US"/>
                          </w:rPr>
                          <w:t>address</w:t>
                        </w:r>
                        <w:r w:rsidRPr="00A602AD">
                          <w:rPr>
                            <w:rStyle w:val="normaltextrun"/>
                            <w:rFonts w:ascii="Arial" w:hAnsi="Arial" w:cs="Arial"/>
                            <w:color w:val="FFFFFF" w:themeColor="background1"/>
                            <w:sz w:val="20"/>
                            <w:szCs w:val="20"/>
                            <w:lang w:val="en-US"/>
                          </w:rPr>
                          <w:t>ed v</w:t>
                        </w:r>
                        <w:r w:rsidR="00775960" w:rsidRPr="00A602AD">
                          <w:rPr>
                            <w:rStyle w:val="normaltextrun"/>
                            <w:rFonts w:ascii="Arial" w:hAnsi="Arial" w:cs="Arial"/>
                            <w:color w:val="FFFFFF" w:themeColor="background1"/>
                            <w:sz w:val="20"/>
                            <w:szCs w:val="20"/>
                            <w:lang w:val="en-US"/>
                          </w:rPr>
                          <w:t xml:space="preserve">arious important </w:t>
                        </w:r>
                        <w:r w:rsidR="00525561" w:rsidRPr="00A602AD">
                          <w:rPr>
                            <w:rStyle w:val="normaltextrun"/>
                            <w:rFonts w:ascii="Arial" w:hAnsi="Arial" w:cs="Arial"/>
                            <w:color w:val="FFFFFF" w:themeColor="background1"/>
                            <w:sz w:val="20"/>
                            <w:szCs w:val="20"/>
                            <w:lang w:val="en-US"/>
                          </w:rPr>
                          <w:t>aspects of</w:t>
                        </w:r>
                        <w:r w:rsidR="00775960" w:rsidRPr="00A602AD">
                          <w:rPr>
                            <w:rStyle w:val="normaltextrun"/>
                            <w:rFonts w:ascii="Arial" w:hAnsi="Arial" w:cs="Arial"/>
                            <w:color w:val="FFFFFF" w:themeColor="background1"/>
                            <w:sz w:val="20"/>
                            <w:szCs w:val="20"/>
                            <w:lang w:val="en-US"/>
                          </w:rPr>
                          <w:t xml:space="preserve"> </w:t>
                        </w:r>
                        <w:r w:rsidR="00525561" w:rsidRPr="00A602AD">
                          <w:rPr>
                            <w:rStyle w:val="normaltextrun"/>
                            <w:rFonts w:ascii="Arial" w:hAnsi="Arial" w:cs="Arial"/>
                            <w:color w:val="FFFFFF" w:themeColor="background1"/>
                            <w:sz w:val="20"/>
                            <w:szCs w:val="20"/>
                            <w:lang w:val="en-US"/>
                          </w:rPr>
                          <w:t>c</w:t>
                        </w:r>
                        <w:r w:rsidR="00775960" w:rsidRPr="00A602AD">
                          <w:rPr>
                            <w:rStyle w:val="normaltextrun"/>
                            <w:rFonts w:ascii="Arial" w:hAnsi="Arial" w:cs="Arial"/>
                            <w:color w:val="FFFFFF" w:themeColor="background1"/>
                            <w:sz w:val="20"/>
                            <w:szCs w:val="20"/>
                            <w:lang w:val="en-US"/>
                          </w:rPr>
                          <w:t>limate</w:t>
                        </w:r>
                        <w:r w:rsidR="00525561" w:rsidRPr="00A602AD">
                          <w:rPr>
                            <w:rStyle w:val="normaltextrun"/>
                            <w:rFonts w:ascii="Arial" w:hAnsi="Arial" w:cs="Arial"/>
                            <w:color w:val="FFFFFF" w:themeColor="background1"/>
                            <w:sz w:val="20"/>
                            <w:szCs w:val="20"/>
                            <w:lang w:val="en-US"/>
                          </w:rPr>
                          <w:t>-s</w:t>
                        </w:r>
                        <w:r w:rsidR="00775960" w:rsidRPr="00A602AD">
                          <w:rPr>
                            <w:rStyle w:val="normaltextrun"/>
                            <w:rFonts w:ascii="Arial" w:hAnsi="Arial" w:cs="Arial"/>
                            <w:color w:val="FFFFFF" w:themeColor="background1"/>
                            <w:sz w:val="20"/>
                            <w:szCs w:val="20"/>
                            <w:lang w:val="en-US"/>
                          </w:rPr>
                          <w:t xml:space="preserve">mart </w:t>
                        </w:r>
                        <w:r w:rsidR="00525561" w:rsidRPr="00A602AD">
                          <w:rPr>
                            <w:rStyle w:val="normaltextrun"/>
                            <w:rFonts w:ascii="Arial" w:hAnsi="Arial" w:cs="Arial"/>
                            <w:color w:val="FFFFFF" w:themeColor="background1"/>
                            <w:sz w:val="20"/>
                            <w:szCs w:val="20"/>
                            <w:lang w:val="en-US"/>
                          </w:rPr>
                          <w:t>a</w:t>
                        </w:r>
                        <w:r w:rsidR="00775960" w:rsidRPr="00A602AD">
                          <w:rPr>
                            <w:rStyle w:val="normaltextrun"/>
                            <w:rFonts w:ascii="Arial" w:hAnsi="Arial" w:cs="Arial"/>
                            <w:color w:val="FFFFFF" w:themeColor="background1"/>
                            <w:sz w:val="20"/>
                            <w:szCs w:val="20"/>
                            <w:lang w:val="en-US"/>
                          </w:rPr>
                          <w:t xml:space="preserve">griculture </w:t>
                        </w:r>
                        <w:r w:rsidR="00525561" w:rsidRPr="00A602AD">
                          <w:rPr>
                            <w:rStyle w:val="normaltextrun"/>
                            <w:rFonts w:ascii="Arial" w:hAnsi="Arial" w:cs="Arial"/>
                            <w:color w:val="FFFFFF" w:themeColor="background1"/>
                            <w:sz w:val="20"/>
                            <w:szCs w:val="20"/>
                            <w:lang w:val="en-US"/>
                          </w:rPr>
                          <w:t>that</w:t>
                        </w:r>
                        <w:r w:rsidR="00775960" w:rsidRPr="00A602AD">
                          <w:rPr>
                            <w:rStyle w:val="normaltextrun"/>
                            <w:rFonts w:ascii="Arial" w:hAnsi="Arial" w:cs="Arial"/>
                            <w:color w:val="FFFFFF" w:themeColor="background1"/>
                            <w:sz w:val="20"/>
                            <w:szCs w:val="20"/>
                            <w:lang w:val="en-US"/>
                          </w:rPr>
                          <w:t xml:space="preserve"> c</w:t>
                        </w:r>
                        <w:r w:rsidR="00097520" w:rsidRPr="00A602AD">
                          <w:rPr>
                            <w:rStyle w:val="normaltextrun"/>
                            <w:rFonts w:ascii="Arial" w:hAnsi="Arial" w:cs="Arial"/>
                            <w:color w:val="FFFFFF" w:themeColor="background1"/>
                            <w:sz w:val="20"/>
                            <w:szCs w:val="20"/>
                            <w:lang w:val="en-US"/>
                          </w:rPr>
                          <w:t>ould</w:t>
                        </w:r>
                        <w:r w:rsidR="00775960" w:rsidRPr="00A602AD">
                          <w:rPr>
                            <w:rStyle w:val="normaltextrun"/>
                            <w:rFonts w:ascii="Arial" w:hAnsi="Arial" w:cs="Arial"/>
                            <w:color w:val="FFFFFF" w:themeColor="background1"/>
                            <w:sz w:val="20"/>
                            <w:szCs w:val="20"/>
                            <w:lang w:val="en-US"/>
                          </w:rPr>
                          <w:t xml:space="preserve"> be i</w:t>
                        </w:r>
                        <w:r w:rsidR="00525561" w:rsidRPr="00A602AD">
                          <w:rPr>
                            <w:rStyle w:val="normaltextrun"/>
                            <w:rFonts w:ascii="Arial" w:hAnsi="Arial" w:cs="Arial"/>
                            <w:color w:val="FFFFFF" w:themeColor="background1"/>
                            <w:sz w:val="20"/>
                            <w:szCs w:val="20"/>
                            <w:lang w:val="en-US"/>
                          </w:rPr>
                          <w:t>ntegrat</w:t>
                        </w:r>
                        <w:r w:rsidR="00775960" w:rsidRPr="00A602AD">
                          <w:rPr>
                            <w:rStyle w:val="normaltextrun"/>
                            <w:rFonts w:ascii="Arial" w:hAnsi="Arial" w:cs="Arial"/>
                            <w:color w:val="FFFFFF" w:themeColor="background1"/>
                            <w:sz w:val="20"/>
                            <w:szCs w:val="20"/>
                            <w:lang w:val="en-US"/>
                          </w:rPr>
                          <w:t>ed in</w:t>
                        </w:r>
                        <w:r w:rsidR="00525561" w:rsidRPr="00A602AD">
                          <w:rPr>
                            <w:rStyle w:val="normaltextrun"/>
                            <w:rFonts w:ascii="Arial" w:hAnsi="Arial" w:cs="Arial"/>
                            <w:color w:val="FFFFFF" w:themeColor="background1"/>
                            <w:sz w:val="20"/>
                            <w:szCs w:val="20"/>
                            <w:lang w:val="en-US"/>
                          </w:rPr>
                          <w:t>to</w:t>
                        </w:r>
                        <w:r w:rsidR="00775960" w:rsidRPr="00A602AD">
                          <w:rPr>
                            <w:rStyle w:val="normaltextrun"/>
                            <w:rFonts w:ascii="Arial" w:hAnsi="Arial" w:cs="Arial"/>
                            <w:color w:val="FFFFFF" w:themeColor="background1"/>
                            <w:sz w:val="20"/>
                            <w:szCs w:val="20"/>
                            <w:lang w:val="en-US"/>
                          </w:rPr>
                          <w:t xml:space="preserve"> </w:t>
                        </w:r>
                        <w:r w:rsidRPr="00A602AD">
                          <w:rPr>
                            <w:rStyle w:val="normaltextrun"/>
                            <w:rFonts w:ascii="Arial" w:hAnsi="Arial" w:cs="Arial"/>
                            <w:color w:val="FFFFFF" w:themeColor="background1"/>
                            <w:sz w:val="20"/>
                            <w:szCs w:val="20"/>
                            <w:lang w:val="en-US"/>
                          </w:rPr>
                          <w:t xml:space="preserve">the </w:t>
                        </w:r>
                        <w:r w:rsidR="00775960" w:rsidRPr="00A602AD">
                          <w:rPr>
                            <w:rStyle w:val="normaltextrun"/>
                            <w:rFonts w:ascii="Arial" w:hAnsi="Arial" w:cs="Arial"/>
                            <w:color w:val="FFFFFF" w:themeColor="background1"/>
                            <w:sz w:val="20"/>
                            <w:szCs w:val="20"/>
                            <w:lang w:val="en-US"/>
                          </w:rPr>
                          <w:t xml:space="preserve">RPJMN, </w:t>
                        </w:r>
                        <w:r w:rsidRPr="00A602AD">
                          <w:rPr>
                            <w:rFonts w:ascii="Arial" w:hAnsi="Arial" w:cs="Arial"/>
                            <w:color w:val="FFFFFF" w:themeColor="background1"/>
                            <w:sz w:val="20"/>
                            <w:szCs w:val="20"/>
                            <w:lang w:val="en-AU"/>
                          </w:rPr>
                          <w:t>the MoA’s strategic plan</w:t>
                        </w:r>
                        <w:r w:rsidR="00775960" w:rsidRPr="00A602AD">
                          <w:rPr>
                            <w:rStyle w:val="normaltextrun"/>
                            <w:rFonts w:ascii="Arial" w:hAnsi="Arial" w:cs="Arial"/>
                            <w:color w:val="FFFFFF" w:themeColor="background1"/>
                            <w:sz w:val="20"/>
                            <w:szCs w:val="20"/>
                            <w:lang w:val="en-US"/>
                          </w:rPr>
                          <w:t xml:space="preserve">, </w:t>
                        </w:r>
                        <w:r w:rsidRPr="00A602AD">
                          <w:rPr>
                            <w:rStyle w:val="normaltextrun"/>
                            <w:rFonts w:ascii="Arial" w:hAnsi="Arial" w:cs="Arial"/>
                            <w:color w:val="FFFFFF" w:themeColor="background1"/>
                            <w:sz w:val="20"/>
                            <w:szCs w:val="20"/>
                            <w:lang w:val="en-US"/>
                          </w:rPr>
                          <w:t xml:space="preserve">and the </w:t>
                        </w:r>
                        <w:r w:rsidR="00775960" w:rsidRPr="00A602AD">
                          <w:rPr>
                            <w:rStyle w:val="normaltextrun"/>
                            <w:rFonts w:ascii="Arial" w:hAnsi="Arial" w:cs="Arial"/>
                            <w:color w:val="FFFFFF" w:themeColor="background1"/>
                            <w:sz w:val="20"/>
                            <w:szCs w:val="20"/>
                            <w:lang w:val="en-US"/>
                          </w:rPr>
                          <w:t xml:space="preserve">RPJMD. </w:t>
                        </w:r>
                        <w:r w:rsidRPr="00A602AD">
                          <w:rPr>
                            <w:rStyle w:val="normaltextrun"/>
                            <w:rFonts w:ascii="Arial" w:hAnsi="Arial" w:cs="Arial"/>
                            <w:color w:val="FFFFFF" w:themeColor="background1"/>
                            <w:sz w:val="20"/>
                            <w:szCs w:val="20"/>
                            <w:lang w:val="en-US"/>
                          </w:rPr>
                          <w:t>This will require s</w:t>
                        </w:r>
                        <w:r w:rsidR="00775960" w:rsidRPr="00A602AD">
                          <w:rPr>
                            <w:rStyle w:val="normaltextrun"/>
                            <w:rFonts w:ascii="Arial" w:hAnsi="Arial" w:cs="Arial"/>
                            <w:color w:val="FFFFFF" w:themeColor="background1"/>
                            <w:sz w:val="20"/>
                            <w:szCs w:val="20"/>
                            <w:lang w:val="en-US"/>
                          </w:rPr>
                          <w:t>ynergy and contribution</w:t>
                        </w:r>
                        <w:r w:rsidRPr="00A602AD">
                          <w:rPr>
                            <w:rStyle w:val="normaltextrun"/>
                            <w:rFonts w:ascii="Arial" w:hAnsi="Arial" w:cs="Arial"/>
                            <w:color w:val="FFFFFF" w:themeColor="background1"/>
                            <w:sz w:val="20"/>
                            <w:szCs w:val="20"/>
                            <w:lang w:val="en-US"/>
                          </w:rPr>
                          <w:t>s from all those involved.</w:t>
                        </w:r>
                        <w:r w:rsidR="00775960" w:rsidRPr="00A602AD">
                          <w:rPr>
                            <w:rStyle w:val="normaltextrun"/>
                            <w:rFonts w:ascii="Arial" w:hAnsi="Arial" w:cs="Arial"/>
                            <w:color w:val="FFFFFF" w:themeColor="background1"/>
                            <w:sz w:val="20"/>
                            <w:szCs w:val="20"/>
                            <w:lang w:val="en-US"/>
                          </w:rPr>
                          <w:t xml:space="preserve"> </w:t>
                        </w:r>
                      </w:p>
                      <w:p w14:paraId="7A283954" w14:textId="77777777" w:rsidR="00775960" w:rsidRPr="00052CD2" w:rsidRDefault="00775960" w:rsidP="00775960">
                        <w:pPr>
                          <w:pStyle w:val="paragraph"/>
                          <w:spacing w:before="0" w:beforeAutospacing="0" w:after="200" w:afterAutospacing="0"/>
                          <w:textAlignment w:val="baseline"/>
                          <w:rPr>
                            <w:rFonts w:ascii="Arial" w:hAnsi="Arial" w:cs="Arial"/>
                            <w:color w:val="FFFFFF" w:themeColor="background1"/>
                            <w:sz w:val="20"/>
                            <w:szCs w:val="20"/>
                          </w:rPr>
                        </w:pPr>
                        <w:r w:rsidRPr="00052CD2">
                          <w:rPr>
                            <w:rFonts w:ascii="Arial" w:hAnsi="Arial" w:cs="Arial"/>
                            <w:b/>
                            <w:bCs/>
                            <w:color w:val="FFFFFF" w:themeColor="background1"/>
                            <w:sz w:val="20"/>
                            <w:szCs w:val="20"/>
                          </w:rPr>
                          <w:t>Dr. Vivi Yulaswati, MSc.</w:t>
                        </w:r>
                        <w:r w:rsidRPr="00052CD2">
                          <w:rPr>
                            <w:rFonts w:ascii="Arial" w:hAnsi="Arial" w:cs="Arial"/>
                            <w:color w:val="FFFFFF" w:themeColor="background1"/>
                            <w:sz w:val="20"/>
                            <w:szCs w:val="20"/>
                          </w:rPr>
                          <w:t xml:space="preserve"> Deputy for Maritime Affairs and Natural Resources, BAPPENAS</w:t>
                        </w:r>
                      </w:p>
                    </w:txbxContent>
                  </v:textbox>
                </v:shape>
                <v:shape id="Picture 40" o:spid="_x0000_s1071" type="#_x0000_t75" alt="A photo of Dr. Vivi Yulaswati, MSc. Deputy for Maritime Affairs and Natural Resources, BAPPENAS" style="position:absolute;width:30124;height:20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">
                  <v:imagedata r:id="rId135" o:title="A photo of Dr. Vivi Yulaswati, MSc"/>
                </v:shape>
                <w10:anchorlock/>
              </v:group>
            </w:pict>
          </mc:Fallback>
        </mc:AlternateContent>
      </w:r>
      <w:r w:rsidRPr="00C64064">
        <w:rPr>
          <w:rFonts w:asciiTheme="majorHAnsi" w:hAnsiTheme="majorHAnsi" w:cstheme="majorHAnsi"/>
          <w:b/>
          <w:bCs/>
        </w:rPr>
        <w:t xml:space="preserve"> </w:t>
      </w:r>
    </w:p>
    <w:p w14:paraId="5669CBFC" w14:textId="7EF8CC20" w:rsidR="00F800ED" w:rsidRPr="00C64064" w:rsidRDefault="00FC7DB8" w:rsidP="00775960">
      <w:pPr>
        <w:pStyle w:val="Head2"/>
        <w:rPr>
          <w:rFonts w:cstheme="majorHAnsi"/>
          <w:lang w:eastAsia="en-US"/>
        </w:rPr>
      </w:pPr>
      <w:bookmarkStart w:id="113" w:name="_Toc172823297"/>
      <w:bookmarkStart w:id="114" w:name="_Toc180155177"/>
      <w:r w:rsidRPr="00C64064">
        <w:rPr>
          <w:rFonts w:cstheme="majorHAnsi"/>
          <w:lang w:eastAsia="en-US"/>
        </w:rPr>
        <w:t xml:space="preserve">Gender Equality, </w:t>
      </w:r>
      <w:r w:rsidR="00862681" w:rsidRPr="00C64064">
        <w:rPr>
          <w:rFonts w:cstheme="majorHAnsi"/>
          <w:lang w:eastAsia="en-US"/>
        </w:rPr>
        <w:t>D</w:t>
      </w:r>
      <w:r w:rsidRPr="00C64064">
        <w:rPr>
          <w:rFonts w:cstheme="majorHAnsi"/>
          <w:lang w:eastAsia="en-US"/>
        </w:rPr>
        <w:t xml:space="preserve">isability, and </w:t>
      </w:r>
      <w:r w:rsidR="00862681" w:rsidRPr="00C64064">
        <w:rPr>
          <w:rFonts w:cstheme="majorHAnsi"/>
          <w:lang w:eastAsia="en-US"/>
        </w:rPr>
        <w:t>S</w:t>
      </w:r>
      <w:r w:rsidRPr="00C64064">
        <w:rPr>
          <w:rFonts w:cstheme="majorHAnsi"/>
          <w:lang w:eastAsia="en-US"/>
        </w:rPr>
        <w:t xml:space="preserve">ocial </w:t>
      </w:r>
      <w:r w:rsidR="00862681" w:rsidRPr="00C64064">
        <w:rPr>
          <w:rFonts w:cstheme="majorHAnsi"/>
          <w:lang w:eastAsia="en-US"/>
        </w:rPr>
        <w:t>I</w:t>
      </w:r>
      <w:r w:rsidRPr="00C64064">
        <w:rPr>
          <w:rFonts w:cstheme="majorHAnsi"/>
          <w:lang w:eastAsia="en-US"/>
        </w:rPr>
        <w:t>nclusion</w:t>
      </w:r>
      <w:bookmarkEnd w:id="113"/>
      <w:bookmarkEnd w:id="114"/>
    </w:p>
    <w:p w14:paraId="36C892F4" w14:textId="77777777" w:rsidR="00F800ED" w:rsidRPr="00C64064" w:rsidRDefault="00F800ED" w:rsidP="00FC7DB8">
      <w:pPr>
        <w:keepNext/>
        <w:keepLines/>
        <w:suppressAutoHyphens/>
        <w:spacing w:before="120" w:after="120" w:line="264" w:lineRule="auto"/>
        <w:jc w:val="both"/>
        <w:outlineLvl w:val="0"/>
        <w:rPr>
          <w:rFonts w:asciiTheme="majorHAnsi" w:eastAsia="Arial" w:hAnsiTheme="majorHAnsi" w:cstheme="majorHAnsi"/>
          <w:sz w:val="20"/>
          <w:lang w:eastAsia="en-US"/>
        </w:rPr>
      </w:pPr>
    </w:p>
    <w:p w14:paraId="4F6D91D2" w14:textId="1124406F" w:rsidR="00FC7DB8" w:rsidRPr="00C64064" w:rsidRDefault="00FC7DB8" w:rsidP="00FC7DB8">
      <w:pPr>
        <w:keepNext/>
        <w:keepLines/>
        <w:suppressAutoHyphens/>
        <w:spacing w:before="120" w:after="120" w:line="264" w:lineRule="auto"/>
        <w:jc w:val="both"/>
        <w:outlineLvl w:val="0"/>
        <w:rPr>
          <w:rFonts w:asciiTheme="majorHAnsi" w:eastAsia="Arial" w:hAnsiTheme="majorHAnsi" w:cstheme="majorHAnsi"/>
          <w:sz w:val="20"/>
          <w:lang w:eastAsia="en-US"/>
        </w:rPr>
      </w:pPr>
      <w:bookmarkStart w:id="115" w:name="_Toc173318322"/>
      <w:r w:rsidRPr="00C64064">
        <w:rPr>
          <w:rFonts w:asciiTheme="majorHAnsi" w:eastAsia="Arial" w:hAnsiTheme="majorHAnsi" w:cstheme="majorHAnsi"/>
          <w:sz w:val="20"/>
          <w:lang w:eastAsia="en-US"/>
        </w:rPr>
        <w:t>PRISMA works with its partners to adopt inclusive business models to create opportunities to support gender equality, people with disabilities, youth, and Indigenous people.</w:t>
      </w:r>
      <w:bookmarkEnd w:id="115"/>
      <w:r w:rsidRPr="00C64064">
        <w:rPr>
          <w:rFonts w:asciiTheme="majorHAnsi" w:eastAsia="Arial" w:hAnsiTheme="majorHAnsi" w:cstheme="majorHAnsi"/>
          <w:sz w:val="20"/>
          <w:lang w:eastAsia="en-US"/>
        </w:rPr>
        <w:t xml:space="preserve"> </w:t>
      </w:r>
    </w:p>
    <w:p w14:paraId="397FF444" w14:textId="16B67793" w:rsidR="00FC7DB8" w:rsidRPr="00C64064" w:rsidRDefault="00300601" w:rsidP="00B03C3A">
      <w:pPr>
        <w:pStyle w:val="Head3"/>
        <w:rPr>
          <w:lang w:eastAsia="en-US"/>
        </w:rPr>
      </w:pPr>
      <w:bookmarkStart w:id="116" w:name="_Toc173318323"/>
      <w:bookmarkStart w:id="117" w:name="_Toc179192314"/>
      <w:bookmarkStart w:id="118" w:name="_Toc180155178"/>
      <w:r>
        <w:rPr>
          <w:lang w:eastAsia="en-US"/>
        </w:rPr>
        <w:t>3</w:t>
      </w:r>
      <w:r w:rsidR="002146B2" w:rsidRPr="00C64064">
        <w:rPr>
          <w:lang w:eastAsia="en-US"/>
        </w:rPr>
        <w:t>.</w:t>
      </w:r>
      <w:r w:rsidR="00775960" w:rsidRPr="00C64064">
        <w:rPr>
          <w:lang w:eastAsia="en-US"/>
        </w:rPr>
        <w:t>2</w:t>
      </w:r>
      <w:r w:rsidR="002146B2" w:rsidRPr="00C64064">
        <w:rPr>
          <w:lang w:eastAsia="en-US"/>
        </w:rPr>
        <w:t xml:space="preserve">.1 </w:t>
      </w:r>
      <w:r w:rsidR="00FC7DB8" w:rsidRPr="00C64064">
        <w:rPr>
          <w:lang w:eastAsia="en-US"/>
        </w:rPr>
        <w:t xml:space="preserve">Gender </w:t>
      </w:r>
      <w:r w:rsidR="008A5111" w:rsidRPr="00C64064">
        <w:rPr>
          <w:lang w:eastAsia="en-US"/>
        </w:rPr>
        <w:t>e</w:t>
      </w:r>
      <w:r w:rsidR="00FC7DB8" w:rsidRPr="00C64064">
        <w:rPr>
          <w:lang w:eastAsia="en-US"/>
        </w:rPr>
        <w:t>quality</w:t>
      </w:r>
      <w:bookmarkEnd w:id="116"/>
      <w:bookmarkEnd w:id="117"/>
      <w:bookmarkEnd w:id="118"/>
    </w:p>
    <w:p w14:paraId="7CCA9969" w14:textId="647FBE59" w:rsidR="00FC7DB8" w:rsidRPr="00C64064" w:rsidRDefault="00FC7DB8" w:rsidP="00FC7DB8">
      <w:pPr>
        <w:keepNext/>
        <w:keepLines/>
        <w:suppressAutoHyphens/>
        <w:spacing w:before="280" w:after="240" w:line="264" w:lineRule="auto"/>
        <w:ind w:left="851" w:hanging="851"/>
        <w:jc w:val="both"/>
        <w:outlineLvl w:val="1"/>
        <w:rPr>
          <w:rFonts w:asciiTheme="majorHAnsi" w:eastAsiaTheme="majorEastAsia" w:hAnsiTheme="majorHAnsi" w:cstheme="majorHAnsi"/>
          <w:sz w:val="24"/>
          <w:lang w:eastAsia="en-US"/>
        </w:rPr>
      </w:pPr>
      <w:bookmarkStart w:id="119" w:name="_Toc173318324"/>
      <w:r w:rsidRPr="00C64064">
        <w:rPr>
          <w:rFonts w:asciiTheme="majorHAnsi" w:eastAsiaTheme="majorEastAsia" w:hAnsiTheme="majorHAnsi" w:cstheme="majorHAnsi"/>
          <w:sz w:val="24"/>
          <w:lang w:eastAsia="en-US"/>
        </w:rPr>
        <w:t>Impact on women’s economic empowerment dimensions</w:t>
      </w:r>
      <w:bookmarkEnd w:id="119"/>
    </w:p>
    <w:p w14:paraId="036C40A4" w14:textId="4F123B6A" w:rsidR="00FC7DB8" w:rsidRPr="00C64064" w:rsidRDefault="00FC7DB8" w:rsidP="00FC7DB8">
      <w:pPr>
        <w:suppressAutoHyphens/>
        <w:spacing w:before="200" w:after="200" w:line="264" w:lineRule="auto"/>
        <w:jc w:val="both"/>
        <w:rPr>
          <w:rFonts w:asciiTheme="majorHAnsi" w:eastAsia="Arial" w:hAnsiTheme="majorHAnsi" w:cstheme="majorHAnsi"/>
          <w:lang w:eastAsia="en-US"/>
        </w:rPr>
      </w:pPr>
      <w:r w:rsidRPr="00C64064">
        <w:rPr>
          <w:rFonts w:asciiTheme="majorHAnsi" w:eastAsia="Arial" w:hAnsiTheme="majorHAnsi" w:cstheme="majorHAnsi"/>
          <w:lang w:eastAsia="en-US"/>
        </w:rPr>
        <w:t xml:space="preserve">Women continue to experience positive changes across all 6 dimensions due to </w:t>
      </w:r>
      <w:r w:rsidR="002C5614" w:rsidRPr="00C64064">
        <w:rPr>
          <w:rFonts w:asciiTheme="majorHAnsi" w:eastAsia="Arial" w:hAnsiTheme="majorHAnsi" w:cstheme="majorHAnsi"/>
          <w:lang w:eastAsia="en-US"/>
        </w:rPr>
        <w:t>the</w:t>
      </w:r>
      <w:r w:rsidRPr="00C64064">
        <w:rPr>
          <w:rFonts w:asciiTheme="majorHAnsi" w:eastAsia="Arial" w:hAnsiTheme="majorHAnsi" w:cstheme="majorHAnsi"/>
          <w:lang w:eastAsia="en-US"/>
        </w:rPr>
        <w:t xml:space="preserve"> agricultur</w:t>
      </w:r>
      <w:r w:rsidR="002C5614" w:rsidRPr="00C64064">
        <w:rPr>
          <w:rFonts w:asciiTheme="majorHAnsi" w:eastAsia="Arial" w:hAnsiTheme="majorHAnsi" w:cstheme="majorHAnsi"/>
          <w:lang w:eastAsia="en-US"/>
        </w:rPr>
        <w:t>al</w:t>
      </w:r>
      <w:r w:rsidRPr="00C64064">
        <w:rPr>
          <w:rFonts w:asciiTheme="majorHAnsi" w:eastAsia="Arial" w:hAnsiTheme="majorHAnsi" w:cstheme="majorHAnsi"/>
          <w:lang w:eastAsia="en-US"/>
        </w:rPr>
        <w:t xml:space="preserve"> inputs and services offered by PRISMA’s partners. During this semester, PRISMA conducted WEE impact assessments </w:t>
      </w:r>
      <w:r w:rsidRPr="00C26B8C">
        <w:rPr>
          <w:rFonts w:asciiTheme="majorHAnsi" w:eastAsia="Arial" w:hAnsiTheme="majorHAnsi" w:cstheme="majorHAnsi"/>
          <w:lang w:eastAsia="en-US"/>
        </w:rPr>
        <w:t xml:space="preserve">with 104 </w:t>
      </w:r>
      <w:r w:rsidR="007030A1" w:rsidRPr="00C26B8C">
        <w:rPr>
          <w:rFonts w:asciiTheme="majorHAnsi" w:eastAsia="Arial" w:hAnsiTheme="majorHAnsi" w:cstheme="majorHAnsi"/>
          <w:lang w:eastAsia="en-US"/>
        </w:rPr>
        <w:t xml:space="preserve">women </w:t>
      </w:r>
      <w:r w:rsidRPr="00C26B8C">
        <w:rPr>
          <w:rFonts w:asciiTheme="majorHAnsi" w:eastAsia="Arial" w:hAnsiTheme="majorHAnsi" w:cstheme="majorHAnsi"/>
          <w:lang w:eastAsia="en-US"/>
        </w:rPr>
        <w:t>respondents</w:t>
      </w:r>
      <w:r w:rsidRPr="00C26B8C">
        <w:rPr>
          <w:rFonts w:asciiTheme="majorHAnsi" w:eastAsia="Arial" w:hAnsiTheme="majorHAnsi" w:cstheme="majorHAnsi"/>
          <w:vertAlign w:val="superscript"/>
          <w:lang w:eastAsia="en-US"/>
        </w:rPr>
        <w:footnoteReference w:id="15"/>
      </w:r>
      <w:r w:rsidRPr="00C26B8C">
        <w:rPr>
          <w:rFonts w:asciiTheme="majorHAnsi" w:eastAsia="Arial" w:hAnsiTheme="majorHAnsi" w:cstheme="majorHAnsi"/>
          <w:lang w:eastAsia="en-US"/>
        </w:rPr>
        <w:t xml:space="preserve"> from the dairy, beef, and mechanisation sectors, cumulative</w:t>
      </w:r>
      <w:r w:rsidR="00194FD0" w:rsidRPr="00C26B8C">
        <w:rPr>
          <w:rFonts w:asciiTheme="majorHAnsi" w:eastAsia="Arial" w:hAnsiTheme="majorHAnsi" w:cstheme="majorHAnsi"/>
          <w:lang w:eastAsia="en-US"/>
        </w:rPr>
        <w:t>ly reaching</w:t>
      </w:r>
      <w:r w:rsidRPr="00C26B8C">
        <w:rPr>
          <w:rFonts w:asciiTheme="majorHAnsi" w:eastAsia="Arial" w:hAnsiTheme="majorHAnsi" w:cstheme="majorHAnsi"/>
          <w:lang w:eastAsia="en-US"/>
        </w:rPr>
        <w:t xml:space="preserve"> 2,422 women respondents </w:t>
      </w:r>
      <w:r w:rsidR="007030A1" w:rsidRPr="00C26B8C">
        <w:rPr>
          <w:rFonts w:asciiTheme="majorHAnsi" w:eastAsia="Arial" w:hAnsiTheme="majorHAnsi" w:cstheme="majorHAnsi"/>
          <w:lang w:eastAsia="en-US"/>
        </w:rPr>
        <w:t>across</w:t>
      </w:r>
      <w:r w:rsidRPr="00C26B8C">
        <w:rPr>
          <w:rFonts w:asciiTheme="majorHAnsi" w:eastAsia="Arial" w:hAnsiTheme="majorHAnsi" w:cstheme="majorHAnsi"/>
          <w:lang w:eastAsia="en-US"/>
        </w:rPr>
        <w:t xml:space="preserve"> 12 sectors</w:t>
      </w:r>
      <w:r w:rsidR="00194FD0" w:rsidRPr="00C26B8C">
        <w:rPr>
          <w:rFonts w:asciiTheme="majorHAnsi" w:eastAsia="Arial" w:hAnsiTheme="majorHAnsi" w:cstheme="majorHAnsi"/>
          <w:lang w:eastAsia="en-US"/>
        </w:rPr>
        <w:t xml:space="preserve"> since </w:t>
      </w:r>
      <w:r w:rsidR="00194FD0" w:rsidRPr="00C26B8C">
        <w:rPr>
          <w:rFonts w:asciiTheme="majorHAnsi" w:eastAsia="Arial" w:hAnsiTheme="majorHAnsi" w:cstheme="majorHAnsi"/>
          <w:lang w:eastAsia="en-US"/>
        </w:rPr>
        <w:lastRenderedPageBreak/>
        <w:t>2020</w:t>
      </w:r>
      <w:r w:rsidR="007030A1" w:rsidRPr="00C26B8C">
        <w:rPr>
          <w:rFonts w:asciiTheme="majorHAnsi" w:eastAsia="Arial" w:hAnsiTheme="majorHAnsi" w:cstheme="majorHAnsi"/>
          <w:lang w:eastAsia="en-US"/>
        </w:rPr>
        <w:t>.</w:t>
      </w:r>
      <w:r w:rsidRPr="00C26B8C">
        <w:rPr>
          <w:rFonts w:asciiTheme="majorHAnsi" w:eastAsia="Arial" w:hAnsiTheme="majorHAnsi" w:cstheme="majorHAnsi"/>
          <w:vertAlign w:val="superscript"/>
          <w:lang w:eastAsia="en-US"/>
        </w:rPr>
        <w:footnoteReference w:id="16"/>
      </w:r>
      <w:r w:rsidRPr="00C26B8C">
        <w:rPr>
          <w:rFonts w:asciiTheme="majorHAnsi" w:eastAsia="Arial" w:hAnsiTheme="majorHAnsi" w:cstheme="majorHAnsi"/>
          <w:lang w:eastAsia="en-US"/>
        </w:rPr>
        <w:t xml:space="preserve"> Al</w:t>
      </w:r>
      <w:r w:rsidRPr="00C64064">
        <w:rPr>
          <w:rFonts w:asciiTheme="majorHAnsi" w:eastAsia="Arial" w:hAnsiTheme="majorHAnsi" w:cstheme="majorHAnsi"/>
          <w:lang w:eastAsia="en-US"/>
        </w:rPr>
        <w:t xml:space="preserve">l 3 sectors assessed during this semester </w:t>
      </w:r>
      <w:r w:rsidR="00194FD0" w:rsidRPr="00C64064">
        <w:rPr>
          <w:rFonts w:asciiTheme="majorHAnsi" w:eastAsia="Arial" w:hAnsiTheme="majorHAnsi" w:cstheme="majorHAnsi"/>
          <w:lang w:eastAsia="en-US"/>
        </w:rPr>
        <w:t>showed</w:t>
      </w:r>
      <w:r w:rsidRPr="00C64064">
        <w:rPr>
          <w:rFonts w:asciiTheme="majorHAnsi" w:eastAsia="Arial" w:hAnsiTheme="majorHAnsi" w:cstheme="majorHAnsi"/>
          <w:lang w:eastAsia="en-US"/>
        </w:rPr>
        <w:t xml:space="preserve"> low </w:t>
      </w:r>
      <w:r w:rsidR="00194FD0" w:rsidRPr="00C64064">
        <w:rPr>
          <w:rFonts w:asciiTheme="majorHAnsi" w:eastAsia="Arial" w:hAnsiTheme="majorHAnsi" w:cstheme="majorHAnsi"/>
          <w:lang w:eastAsia="en-US"/>
        </w:rPr>
        <w:t xml:space="preserve">involvement of </w:t>
      </w:r>
      <w:r w:rsidRPr="00C64064">
        <w:rPr>
          <w:rFonts w:asciiTheme="majorHAnsi" w:eastAsia="Arial" w:hAnsiTheme="majorHAnsi" w:cstheme="majorHAnsi"/>
          <w:lang w:eastAsia="en-US"/>
        </w:rPr>
        <w:t>women in agricultural activities (</w:t>
      </w:r>
      <w:r w:rsidR="002D465F" w:rsidRPr="00C64064">
        <w:rPr>
          <w:rFonts w:asciiTheme="majorHAnsi" w:eastAsia="Arial" w:hAnsiTheme="majorHAnsi" w:cstheme="majorHAnsi"/>
          <w:lang w:eastAsia="en-US"/>
        </w:rPr>
        <w:t>for example</w:t>
      </w:r>
      <w:r w:rsidRPr="00C64064">
        <w:rPr>
          <w:rFonts w:asciiTheme="majorHAnsi" w:eastAsia="Arial" w:hAnsiTheme="majorHAnsi" w:cstheme="majorHAnsi"/>
          <w:lang w:eastAsia="en-US"/>
        </w:rPr>
        <w:t xml:space="preserve">, beef and dairy feed and combine harvester services) targeted by PRISMA’s partners. Considering the relatively </w:t>
      </w:r>
      <w:r w:rsidR="00194FD0" w:rsidRPr="00C64064">
        <w:rPr>
          <w:rFonts w:asciiTheme="majorHAnsi" w:eastAsia="Arial" w:hAnsiTheme="majorHAnsi" w:cstheme="majorHAnsi"/>
          <w:lang w:eastAsia="en-US"/>
        </w:rPr>
        <w:t>low number of</w:t>
      </w:r>
      <w:r w:rsidRPr="00C64064">
        <w:rPr>
          <w:rFonts w:asciiTheme="majorHAnsi" w:eastAsia="Arial" w:hAnsiTheme="majorHAnsi" w:cstheme="majorHAnsi"/>
          <w:lang w:eastAsia="en-US"/>
        </w:rPr>
        <w:t xml:space="preserve"> respondents</w:t>
      </w:r>
      <w:r w:rsidR="00194FD0" w:rsidRPr="00C64064">
        <w:rPr>
          <w:rFonts w:asciiTheme="majorHAnsi" w:eastAsia="Arial" w:hAnsiTheme="majorHAnsi" w:cstheme="majorHAnsi"/>
          <w:lang w:eastAsia="en-US"/>
        </w:rPr>
        <w:t xml:space="preserve"> in these assessments</w:t>
      </w:r>
      <w:r w:rsidRPr="00C64064">
        <w:rPr>
          <w:rFonts w:asciiTheme="majorHAnsi" w:eastAsia="Arial" w:hAnsiTheme="majorHAnsi" w:cstheme="majorHAnsi"/>
          <w:lang w:eastAsia="en-US"/>
        </w:rPr>
        <w:t xml:space="preserve">, there </w:t>
      </w:r>
      <w:r w:rsidR="00194FD0" w:rsidRPr="00C64064">
        <w:rPr>
          <w:rFonts w:asciiTheme="majorHAnsi" w:eastAsia="Arial" w:hAnsiTheme="majorHAnsi" w:cstheme="majorHAnsi"/>
          <w:lang w:eastAsia="en-US"/>
        </w:rPr>
        <w:t>w</w:t>
      </w:r>
      <w:r w:rsidRPr="00C64064">
        <w:rPr>
          <w:rFonts w:asciiTheme="majorHAnsi" w:eastAsia="Arial" w:hAnsiTheme="majorHAnsi" w:cstheme="majorHAnsi"/>
          <w:lang w:eastAsia="en-US"/>
        </w:rPr>
        <w:t xml:space="preserve">as no significant change </w:t>
      </w:r>
      <w:r w:rsidR="00194FD0" w:rsidRPr="00C64064">
        <w:rPr>
          <w:rFonts w:asciiTheme="majorHAnsi" w:eastAsia="Arial" w:hAnsiTheme="majorHAnsi" w:cstheme="majorHAnsi"/>
          <w:lang w:eastAsia="en-US"/>
        </w:rPr>
        <w:t>to</w:t>
      </w:r>
      <w:r w:rsidRPr="00C64064">
        <w:rPr>
          <w:rFonts w:asciiTheme="majorHAnsi" w:eastAsia="Arial" w:hAnsiTheme="majorHAnsi" w:cstheme="majorHAnsi"/>
          <w:lang w:eastAsia="en-US"/>
        </w:rPr>
        <w:t xml:space="preserve"> the WEE score from the last reporting period. </w:t>
      </w:r>
    </w:p>
    <w:p w14:paraId="6AF891D7" w14:textId="097E2043" w:rsidR="00FC7DB8" w:rsidRPr="00C64064" w:rsidRDefault="00FC7DB8" w:rsidP="00FC7DB8">
      <w:pPr>
        <w:suppressAutoHyphens/>
        <w:spacing w:before="200" w:after="200" w:line="264" w:lineRule="auto"/>
        <w:jc w:val="both"/>
        <w:rPr>
          <w:rFonts w:asciiTheme="majorHAnsi" w:eastAsia="Arial" w:hAnsiTheme="majorHAnsi" w:cstheme="majorHAnsi"/>
          <w:lang w:eastAsia="en-US"/>
        </w:rPr>
      </w:pPr>
      <w:r w:rsidRPr="00C64064">
        <w:rPr>
          <w:rFonts w:asciiTheme="majorHAnsi" w:eastAsia="Arial" w:hAnsiTheme="majorHAnsi" w:cstheme="majorHAnsi"/>
          <w:lang w:eastAsia="en-US"/>
        </w:rPr>
        <w:t xml:space="preserve">PRISMA measures impact on women across </w:t>
      </w:r>
      <w:r w:rsidR="00194FD0" w:rsidRPr="00C64064">
        <w:rPr>
          <w:rFonts w:asciiTheme="majorHAnsi" w:eastAsia="Arial" w:hAnsiTheme="majorHAnsi" w:cstheme="majorHAnsi"/>
          <w:lang w:eastAsia="en-US"/>
        </w:rPr>
        <w:t>6</w:t>
      </w:r>
      <w:r w:rsidRPr="00C64064">
        <w:rPr>
          <w:rFonts w:asciiTheme="majorHAnsi" w:eastAsia="Arial" w:hAnsiTheme="majorHAnsi" w:cstheme="majorHAnsi"/>
          <w:lang w:eastAsia="en-US"/>
        </w:rPr>
        <w:t xml:space="preserve"> WEE dimensions: (1) access to products and services, (2) access to knowledge and skills, (3) economic advancement, (4) manageable workload, (5) decision-making, and (6) greater agency in leadership and social networks. The section below provides the cumulative score from the WEE assessments conducted since the beginning of the reporting period (second semester of 2020).</w:t>
      </w:r>
    </w:p>
    <w:p w14:paraId="5CFFE322" w14:textId="7FCB5347" w:rsidR="00FC7DB8" w:rsidRPr="00C64064" w:rsidRDefault="00A85E28" w:rsidP="00FC7DB8">
      <w:pPr>
        <w:suppressAutoHyphens/>
        <w:spacing w:before="200" w:after="200" w:line="264" w:lineRule="auto"/>
        <w:jc w:val="both"/>
        <w:rPr>
          <w:rFonts w:asciiTheme="majorHAnsi" w:eastAsia="Arial" w:hAnsiTheme="majorHAnsi" w:cstheme="majorHAnsi"/>
          <w:lang w:eastAsia="en-US"/>
        </w:rPr>
      </w:pPr>
      <w:r w:rsidRPr="00C64064">
        <w:rPr>
          <w:rFonts w:asciiTheme="majorHAnsi" w:eastAsia="Arial" w:hAnsiTheme="majorHAnsi" w:cstheme="majorHAnsi"/>
          <w:lang w:eastAsia="en-US"/>
        </w:rPr>
        <w:t xml:space="preserve">As such, </w:t>
      </w:r>
      <w:r w:rsidR="00BA4AB0" w:rsidRPr="00C64064">
        <w:rPr>
          <w:rFonts w:asciiTheme="majorHAnsi" w:eastAsia="Arial" w:hAnsiTheme="majorHAnsi" w:cstheme="majorHAnsi"/>
          <w:lang w:eastAsia="en-US"/>
        </w:rPr>
        <w:t>43%</w:t>
      </w:r>
      <w:r w:rsidR="00FC7DB8" w:rsidRPr="00C64064">
        <w:rPr>
          <w:rFonts w:asciiTheme="majorHAnsi" w:eastAsia="Arial" w:hAnsiTheme="majorHAnsi" w:cstheme="majorHAnsi"/>
          <w:lang w:eastAsia="en-US"/>
        </w:rPr>
        <w:t xml:space="preserve"> of the women respondents experienced better access to agricultural inputs and services offered by PRISMA’s partners. </w:t>
      </w:r>
    </w:p>
    <w:tbl>
      <w:tblPr>
        <w:tblStyle w:val="TableGridLight1"/>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9376"/>
      </w:tblGrid>
      <w:tr w:rsidR="00026758" w:rsidRPr="00C64064" w14:paraId="511D0C7A" w14:textId="77777777" w:rsidTr="00026758">
        <w:tc>
          <w:tcPr>
            <w:tcW w:w="9376" w:type="dxa"/>
            <w:tcBorders>
              <w:top w:val="single" w:sz="4" w:space="0" w:color="auto"/>
              <w:bottom w:val="single" w:sz="4" w:space="0" w:color="auto"/>
            </w:tcBorders>
          </w:tcPr>
          <w:p w14:paraId="407E8765" w14:textId="08654EA5" w:rsidR="00026758" w:rsidRPr="00C64064" w:rsidRDefault="00026758" w:rsidP="00FC7DB8">
            <w:pPr>
              <w:suppressAutoHyphens/>
              <w:spacing w:before="200" w:after="200" w:line="264" w:lineRule="auto"/>
              <w:jc w:val="both"/>
              <w:rPr>
                <w:rFonts w:asciiTheme="majorHAnsi" w:eastAsia="Arial" w:hAnsiTheme="majorHAnsi" w:cstheme="majorHAnsi"/>
                <w:sz w:val="22"/>
                <w:szCs w:val="22"/>
              </w:rPr>
            </w:pPr>
            <w:r w:rsidRPr="00C64064">
              <w:rPr>
                <w:rFonts w:asciiTheme="majorHAnsi" w:eastAsia="Arial" w:hAnsiTheme="majorHAnsi" w:cstheme="majorHAnsi"/>
                <w:i/>
                <w:iCs/>
                <w:color w:val="002060"/>
                <w:sz w:val="22"/>
                <w:szCs w:val="22"/>
              </w:rPr>
              <w:t>‘</w:t>
            </w:r>
            <w:r w:rsidRPr="00C64064">
              <w:rPr>
                <w:rFonts w:asciiTheme="majorHAnsi" w:eastAsia="Arial" w:hAnsiTheme="majorHAnsi" w:cstheme="majorHAnsi"/>
                <w:b/>
                <w:bCs/>
                <w:color w:val="002060"/>
                <w:sz w:val="22"/>
                <w:szCs w:val="22"/>
              </w:rPr>
              <w:t>Now it's getting easier to use the combine harvester service, which is really helpful, especially with the current labour shortage</w:t>
            </w:r>
            <w:r w:rsidRPr="00C64064">
              <w:rPr>
                <w:rFonts w:asciiTheme="majorHAnsi" w:eastAsia="Arial" w:hAnsiTheme="majorHAnsi" w:cstheme="majorHAnsi"/>
                <w:b/>
                <w:bCs/>
                <w:i/>
                <w:iCs/>
                <w:color w:val="002060"/>
                <w:sz w:val="22"/>
                <w:szCs w:val="22"/>
              </w:rPr>
              <w:t>.’</w:t>
            </w:r>
            <w:r w:rsidRPr="00C64064">
              <w:rPr>
                <w:rFonts w:asciiTheme="majorHAnsi" w:eastAsia="Arial" w:hAnsiTheme="majorHAnsi" w:cstheme="majorHAnsi"/>
                <w:color w:val="002060"/>
                <w:sz w:val="22"/>
                <w:szCs w:val="22"/>
              </w:rPr>
              <w:t xml:space="preserve"> - A woman rice farmer who uses a combine harvester service in Lamongan, East Java.</w:t>
            </w:r>
          </w:p>
        </w:tc>
      </w:tr>
    </w:tbl>
    <w:p w14:paraId="6A07ABD0" w14:textId="3C6FADE6" w:rsidR="00FC7DB8" w:rsidRPr="00C64064" w:rsidRDefault="00FC7DB8" w:rsidP="00FC7DB8">
      <w:pPr>
        <w:suppressAutoHyphens/>
        <w:spacing w:before="200" w:after="200" w:line="264" w:lineRule="auto"/>
        <w:jc w:val="both"/>
        <w:rPr>
          <w:rFonts w:asciiTheme="majorHAnsi" w:eastAsia="Arial" w:hAnsiTheme="majorHAnsi" w:cstheme="majorHAnsi"/>
          <w:lang w:eastAsia="en-US"/>
        </w:rPr>
      </w:pPr>
      <w:r w:rsidRPr="00C64064">
        <w:rPr>
          <w:rFonts w:asciiTheme="majorHAnsi" w:eastAsia="Arial" w:hAnsiTheme="majorHAnsi" w:cstheme="majorHAnsi"/>
          <w:lang w:eastAsia="en-US"/>
        </w:rPr>
        <w:t>Meanwhile, 31</w:t>
      </w:r>
      <w:r w:rsidR="00BA4AB0" w:rsidRPr="00C64064">
        <w:rPr>
          <w:rFonts w:asciiTheme="majorHAnsi" w:eastAsia="Arial" w:hAnsiTheme="majorHAnsi" w:cstheme="majorHAnsi"/>
          <w:lang w:eastAsia="en-US"/>
        </w:rPr>
        <w:t>%</w:t>
      </w:r>
      <w:r w:rsidRPr="00C64064">
        <w:rPr>
          <w:rFonts w:asciiTheme="majorHAnsi" w:eastAsia="Arial" w:hAnsiTheme="majorHAnsi" w:cstheme="majorHAnsi"/>
          <w:lang w:eastAsia="en-US"/>
        </w:rPr>
        <w:t xml:space="preserve"> of </w:t>
      </w:r>
      <w:r w:rsidR="00BA4AB0" w:rsidRPr="00C64064">
        <w:rPr>
          <w:rFonts w:asciiTheme="majorHAnsi" w:eastAsia="Arial" w:hAnsiTheme="majorHAnsi" w:cstheme="majorHAnsi"/>
          <w:lang w:eastAsia="en-US"/>
        </w:rPr>
        <w:t xml:space="preserve">the </w:t>
      </w:r>
      <w:r w:rsidRPr="00C64064">
        <w:rPr>
          <w:rFonts w:asciiTheme="majorHAnsi" w:eastAsia="Arial" w:hAnsiTheme="majorHAnsi" w:cstheme="majorHAnsi"/>
          <w:lang w:eastAsia="en-US"/>
        </w:rPr>
        <w:t xml:space="preserve">women respondents </w:t>
      </w:r>
      <w:r w:rsidR="00BA4AB0" w:rsidRPr="00C64064">
        <w:rPr>
          <w:rFonts w:asciiTheme="majorHAnsi" w:eastAsia="Arial" w:hAnsiTheme="majorHAnsi" w:cstheme="majorHAnsi"/>
          <w:lang w:eastAsia="en-US"/>
        </w:rPr>
        <w:t>confirm</w:t>
      </w:r>
      <w:r w:rsidRPr="00C64064">
        <w:rPr>
          <w:rFonts w:asciiTheme="majorHAnsi" w:eastAsia="Arial" w:hAnsiTheme="majorHAnsi" w:cstheme="majorHAnsi"/>
          <w:lang w:eastAsia="en-US"/>
        </w:rPr>
        <w:t xml:space="preserve">ed </w:t>
      </w:r>
      <w:r w:rsidR="00BA4AB0" w:rsidRPr="00C64064">
        <w:rPr>
          <w:rFonts w:asciiTheme="majorHAnsi" w:eastAsia="Arial" w:hAnsiTheme="majorHAnsi" w:cstheme="majorHAnsi"/>
          <w:lang w:eastAsia="en-US"/>
        </w:rPr>
        <w:t xml:space="preserve">their </w:t>
      </w:r>
      <w:r w:rsidRPr="00C64064">
        <w:rPr>
          <w:rFonts w:asciiTheme="majorHAnsi" w:eastAsia="Arial" w:hAnsiTheme="majorHAnsi" w:cstheme="majorHAnsi"/>
          <w:lang w:eastAsia="en-US"/>
        </w:rPr>
        <w:t>improved knowledge and skills in farming practices after participating in promotional and educational activities conducted by PRISMA’s partners.</w:t>
      </w:r>
    </w:p>
    <w:tbl>
      <w:tblPr>
        <w:tblStyle w:val="PlainTable21"/>
        <w:tblW w:w="0" w:type="auto"/>
        <w:tblLook w:val="04A0" w:firstRow="1" w:lastRow="0" w:firstColumn="1" w:lastColumn="0" w:noHBand="0" w:noVBand="1"/>
      </w:tblPr>
      <w:tblGrid>
        <w:gridCol w:w="9376"/>
      </w:tblGrid>
      <w:tr w:rsidR="00026758" w:rsidRPr="00C64064" w14:paraId="54BEF354" w14:textId="77777777" w:rsidTr="000267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76" w:type="dxa"/>
          </w:tcPr>
          <w:p w14:paraId="5CA22DAB" w14:textId="52AFC4FE" w:rsidR="00026758" w:rsidRPr="00C64064" w:rsidRDefault="00026758" w:rsidP="00FC7DB8">
            <w:pPr>
              <w:suppressAutoHyphens/>
              <w:spacing w:before="200" w:after="200" w:line="264" w:lineRule="auto"/>
              <w:jc w:val="both"/>
              <w:rPr>
                <w:rFonts w:asciiTheme="majorHAnsi" w:eastAsia="Arial" w:hAnsiTheme="majorHAnsi" w:cstheme="majorHAnsi"/>
                <w:b w:val="0"/>
                <w:bCs w:val="0"/>
              </w:rPr>
            </w:pPr>
            <w:r w:rsidRPr="00C64064">
              <w:rPr>
                <w:rFonts w:asciiTheme="majorHAnsi" w:eastAsia="Arial" w:hAnsiTheme="majorHAnsi" w:cstheme="majorHAnsi"/>
                <w:i/>
                <w:iCs/>
                <w:color w:val="002060"/>
                <w:sz w:val="22"/>
                <w:szCs w:val="22"/>
                <w:lang w:val="en-ID"/>
              </w:rPr>
              <w:t>‘</w:t>
            </w:r>
            <w:r w:rsidRPr="00C64064">
              <w:rPr>
                <w:rFonts w:asciiTheme="majorHAnsi" w:eastAsia="Arial" w:hAnsiTheme="majorHAnsi" w:cstheme="majorHAnsi"/>
                <w:color w:val="002060"/>
                <w:sz w:val="22"/>
                <w:szCs w:val="22"/>
                <w:lang w:val="en-ID"/>
              </w:rPr>
              <w:t>I learned about correct feeding practices and proper feeding measurements and experimented on my own to find the most suitable measurements</w:t>
            </w:r>
            <w:r w:rsidRPr="00C64064">
              <w:rPr>
                <w:rFonts w:asciiTheme="majorHAnsi" w:eastAsia="Arial" w:hAnsiTheme="majorHAnsi" w:cstheme="majorHAnsi"/>
                <w:i/>
                <w:iCs/>
                <w:color w:val="002060"/>
                <w:sz w:val="22"/>
                <w:szCs w:val="22"/>
                <w:lang w:val="en-ID"/>
              </w:rPr>
              <w:t>.’</w:t>
            </w:r>
            <w:r w:rsidRPr="00C64064">
              <w:rPr>
                <w:rFonts w:asciiTheme="majorHAnsi" w:eastAsia="Arial" w:hAnsiTheme="majorHAnsi" w:cstheme="majorHAnsi"/>
                <w:b w:val="0"/>
                <w:bCs w:val="0"/>
                <w:color w:val="002060"/>
                <w:sz w:val="22"/>
                <w:szCs w:val="22"/>
                <w:lang w:val="en-ID"/>
              </w:rPr>
              <w:t xml:space="preserve"> - A woman dairy farmer in Kediri, East Java.</w:t>
            </w:r>
          </w:p>
        </w:tc>
      </w:tr>
    </w:tbl>
    <w:p w14:paraId="024187E7" w14:textId="7D55225C" w:rsidR="00FC7DB8" w:rsidRPr="00C64064" w:rsidRDefault="007F5680" w:rsidP="00FC7DB8">
      <w:pPr>
        <w:suppressAutoHyphens/>
        <w:spacing w:before="200" w:after="200" w:line="264" w:lineRule="auto"/>
        <w:jc w:val="both"/>
        <w:rPr>
          <w:rFonts w:asciiTheme="majorHAnsi" w:eastAsia="Arial" w:hAnsiTheme="majorHAnsi" w:cstheme="majorHAnsi"/>
          <w:i/>
          <w:iCs/>
          <w:lang w:eastAsia="en-US"/>
        </w:rPr>
      </w:pPr>
      <w:r w:rsidRPr="00C64064">
        <w:rPr>
          <w:rFonts w:asciiTheme="majorHAnsi" w:eastAsia="Arial" w:hAnsiTheme="majorHAnsi" w:cstheme="majorHAnsi"/>
          <w:lang w:eastAsia="en-US"/>
        </w:rPr>
        <w:t xml:space="preserve">Additionally, </w:t>
      </w:r>
      <w:r w:rsidR="00A85E28" w:rsidRPr="00C64064">
        <w:rPr>
          <w:rFonts w:asciiTheme="majorHAnsi" w:eastAsia="Arial" w:hAnsiTheme="majorHAnsi" w:cstheme="majorHAnsi"/>
          <w:lang w:eastAsia="en-US"/>
        </w:rPr>
        <w:t>59%</w:t>
      </w:r>
      <w:r w:rsidR="00FC7DB8" w:rsidRPr="00C64064">
        <w:rPr>
          <w:rFonts w:asciiTheme="majorHAnsi" w:eastAsia="Arial" w:hAnsiTheme="majorHAnsi" w:cstheme="majorHAnsi"/>
          <w:lang w:eastAsia="en-US"/>
        </w:rPr>
        <w:t xml:space="preserve"> of the women enjoyed economic advancement either as farmers or as members of farming households that adopted innovations promoted by PRISMA's partners.</w:t>
      </w:r>
      <w:r w:rsidR="00FC7DB8" w:rsidRPr="00C64064">
        <w:rPr>
          <w:rFonts w:asciiTheme="majorHAnsi" w:eastAsia="Arial" w:hAnsiTheme="majorHAnsi" w:cstheme="majorHAnsi"/>
          <w:i/>
          <w:iCs/>
          <w:lang w:eastAsia="en-US"/>
        </w:rPr>
        <w:t xml:space="preserve"> </w:t>
      </w:r>
    </w:p>
    <w:tbl>
      <w:tblPr>
        <w:tblStyle w:val="PlainTable21"/>
        <w:tblW w:w="0" w:type="auto"/>
        <w:tblLook w:val="04A0" w:firstRow="1" w:lastRow="0" w:firstColumn="1" w:lastColumn="0" w:noHBand="0" w:noVBand="1"/>
      </w:tblPr>
      <w:tblGrid>
        <w:gridCol w:w="9376"/>
      </w:tblGrid>
      <w:tr w:rsidR="00026758" w:rsidRPr="00C64064" w14:paraId="351FEFE0" w14:textId="77777777" w:rsidTr="000267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76" w:type="dxa"/>
          </w:tcPr>
          <w:p w14:paraId="006B72CE" w14:textId="7118E3A6" w:rsidR="00026758" w:rsidRPr="00C64064" w:rsidRDefault="00026758" w:rsidP="00FC7DB8">
            <w:pPr>
              <w:suppressAutoHyphens/>
              <w:spacing w:before="200" w:after="200" w:line="264" w:lineRule="auto"/>
              <w:jc w:val="both"/>
              <w:rPr>
                <w:rFonts w:asciiTheme="majorHAnsi" w:eastAsia="Arial" w:hAnsiTheme="majorHAnsi" w:cstheme="majorHAnsi"/>
              </w:rPr>
            </w:pPr>
            <w:r w:rsidRPr="00C64064">
              <w:rPr>
                <w:rFonts w:asciiTheme="majorHAnsi" w:eastAsia="Arial" w:hAnsiTheme="majorHAnsi" w:cstheme="majorHAnsi"/>
                <w:color w:val="002060"/>
                <w:sz w:val="22"/>
                <w:szCs w:val="22"/>
              </w:rPr>
              <w:t>By cutting down on harvesting expenses, we have boosted our income. And our income increases further if selling prices are high. We use this extra money for farming investments and household needs</w:t>
            </w:r>
            <w:r w:rsidRPr="00C64064">
              <w:rPr>
                <w:rFonts w:asciiTheme="majorHAnsi" w:eastAsia="Arial" w:hAnsiTheme="majorHAnsi" w:cstheme="majorHAnsi"/>
                <w:i/>
                <w:iCs/>
                <w:color w:val="002060"/>
                <w:sz w:val="22"/>
                <w:szCs w:val="22"/>
              </w:rPr>
              <w:t>.’</w:t>
            </w:r>
            <w:r w:rsidRPr="00C64064">
              <w:rPr>
                <w:rFonts w:asciiTheme="majorHAnsi" w:eastAsia="Arial" w:hAnsiTheme="majorHAnsi" w:cstheme="majorHAnsi"/>
                <w:color w:val="002060"/>
                <w:sz w:val="22"/>
                <w:szCs w:val="22"/>
              </w:rPr>
              <w:t xml:space="preserve"> </w:t>
            </w:r>
            <w:r w:rsidRPr="00C64064">
              <w:rPr>
                <w:rFonts w:asciiTheme="majorHAnsi" w:eastAsia="Arial" w:hAnsiTheme="majorHAnsi" w:cstheme="majorHAnsi"/>
                <w:b w:val="0"/>
                <w:bCs w:val="0"/>
                <w:color w:val="002060"/>
                <w:sz w:val="22"/>
                <w:szCs w:val="22"/>
              </w:rPr>
              <w:t>– A woman rice farmer in Blora, Central Java.</w:t>
            </w:r>
          </w:p>
        </w:tc>
      </w:tr>
    </w:tbl>
    <w:p w14:paraId="609E5E4B" w14:textId="48FD37DC" w:rsidR="00FC7DB8" w:rsidRPr="00C64064" w:rsidRDefault="00FC7DB8" w:rsidP="00FC7DB8">
      <w:pPr>
        <w:suppressAutoHyphens/>
        <w:spacing w:before="200" w:after="200" w:line="264" w:lineRule="auto"/>
        <w:jc w:val="both"/>
        <w:rPr>
          <w:rFonts w:asciiTheme="majorHAnsi" w:eastAsia="Arial" w:hAnsiTheme="majorHAnsi" w:cstheme="majorHAnsi"/>
          <w:lang w:eastAsia="en-US"/>
        </w:rPr>
      </w:pPr>
      <w:r w:rsidRPr="00C64064">
        <w:rPr>
          <w:rFonts w:asciiTheme="majorHAnsi" w:eastAsia="Arial" w:hAnsiTheme="majorHAnsi" w:cstheme="majorHAnsi"/>
          <w:lang w:eastAsia="en-US"/>
        </w:rPr>
        <w:t>Around 28</w:t>
      </w:r>
      <w:r w:rsidR="007F5680" w:rsidRPr="00C64064">
        <w:rPr>
          <w:rFonts w:asciiTheme="majorHAnsi" w:eastAsia="Arial" w:hAnsiTheme="majorHAnsi" w:cstheme="majorHAnsi"/>
          <w:lang w:eastAsia="en-US"/>
        </w:rPr>
        <w:t>%</w:t>
      </w:r>
      <w:r w:rsidRPr="00C64064">
        <w:rPr>
          <w:rFonts w:asciiTheme="majorHAnsi" w:eastAsia="Arial" w:hAnsiTheme="majorHAnsi" w:cstheme="majorHAnsi"/>
          <w:lang w:eastAsia="en-US"/>
        </w:rPr>
        <w:t xml:space="preserve"> of women experienced increased decision-making in agriculture after gaining knowledge through farmers' meetings and other engagements from the agribusinesses. </w:t>
      </w:r>
    </w:p>
    <w:tbl>
      <w:tblPr>
        <w:tblStyle w:val="TableGrid"/>
        <w:tblW w:w="0" w:type="auto"/>
        <w:tblLook w:val="04A0" w:firstRow="1" w:lastRow="0" w:firstColumn="1" w:lastColumn="0" w:noHBand="0" w:noVBand="1"/>
      </w:tblPr>
      <w:tblGrid>
        <w:gridCol w:w="9376"/>
      </w:tblGrid>
      <w:tr w:rsidR="00026758" w:rsidRPr="00C64064" w14:paraId="521577DE" w14:textId="77777777" w:rsidTr="00026758">
        <w:trPr>
          <w:cnfStyle w:val="100000000000" w:firstRow="1" w:lastRow="0" w:firstColumn="0" w:lastColumn="0" w:oddVBand="0" w:evenVBand="0" w:oddHBand="0" w:evenHBand="0" w:firstRowFirstColumn="0" w:firstRowLastColumn="0" w:lastRowFirstColumn="0" w:lastRowLastColumn="0"/>
          <w:trHeight w:val="865"/>
        </w:trPr>
        <w:tc>
          <w:tcPr>
            <w:tcW w:w="9376" w:type="dxa"/>
          </w:tcPr>
          <w:p w14:paraId="5F1F6293" w14:textId="1302D136" w:rsidR="00026758" w:rsidRPr="00C64064" w:rsidRDefault="00026758" w:rsidP="00C64064">
            <w:pPr>
              <w:pStyle w:val="NoSpacing"/>
              <w:jc w:val="both"/>
              <w:rPr>
                <w:rFonts w:asciiTheme="majorHAnsi" w:hAnsiTheme="majorHAnsi" w:cstheme="majorHAnsi"/>
              </w:rPr>
            </w:pPr>
            <w:r w:rsidRPr="00C64064">
              <w:rPr>
                <w:rFonts w:asciiTheme="majorHAnsi" w:hAnsiTheme="majorHAnsi" w:cstheme="majorHAnsi"/>
                <w:b/>
                <w:bCs/>
                <w:color w:val="002060"/>
                <w:lang w:eastAsia="en-US"/>
              </w:rPr>
              <w:t>I actively participate in the decision-making process for feed selection because I manage the finances and want to increase milk production, even if it means using slightly more expensive feed products.’</w:t>
            </w:r>
            <w:r w:rsidRPr="00C64064">
              <w:rPr>
                <w:rFonts w:asciiTheme="majorHAnsi" w:hAnsiTheme="majorHAnsi" w:cstheme="majorHAnsi"/>
                <w:color w:val="002060"/>
                <w:lang w:eastAsia="en-US"/>
              </w:rPr>
              <w:t xml:space="preserve"> - A woman dairy farmer in Kediri, East Java</w:t>
            </w:r>
          </w:p>
        </w:tc>
      </w:tr>
    </w:tbl>
    <w:p w14:paraId="35850740" w14:textId="77777777" w:rsidR="00026758" w:rsidRPr="00C64064" w:rsidRDefault="00026758" w:rsidP="00FC7DB8">
      <w:pPr>
        <w:suppressAutoHyphens/>
        <w:spacing w:before="200" w:after="200" w:line="264" w:lineRule="auto"/>
        <w:jc w:val="both"/>
        <w:rPr>
          <w:rFonts w:asciiTheme="majorHAnsi" w:eastAsia="Arial" w:hAnsiTheme="majorHAnsi" w:cstheme="majorHAnsi"/>
          <w:lang w:eastAsia="en-US"/>
        </w:rPr>
      </w:pPr>
    </w:p>
    <w:p w14:paraId="39C924FB" w14:textId="77777777" w:rsidR="00026758" w:rsidRPr="00C64064" w:rsidRDefault="00026758" w:rsidP="00FC7DB8">
      <w:pPr>
        <w:suppressAutoHyphens/>
        <w:spacing w:before="200" w:after="200" w:line="264" w:lineRule="auto"/>
        <w:jc w:val="both"/>
        <w:rPr>
          <w:rFonts w:asciiTheme="majorHAnsi" w:eastAsia="Arial" w:hAnsiTheme="majorHAnsi" w:cstheme="majorHAnsi"/>
          <w:lang w:eastAsia="en-US"/>
        </w:rPr>
      </w:pPr>
    </w:p>
    <w:p w14:paraId="74F76D1C" w14:textId="7CA2702E" w:rsidR="00FC7DB8" w:rsidRPr="00C64064" w:rsidRDefault="00FC7DB8" w:rsidP="00FC7DB8">
      <w:pPr>
        <w:suppressAutoHyphens/>
        <w:spacing w:before="200" w:after="200" w:line="264" w:lineRule="auto"/>
        <w:jc w:val="both"/>
        <w:rPr>
          <w:rFonts w:asciiTheme="majorHAnsi" w:eastAsia="Arial" w:hAnsiTheme="majorHAnsi" w:cstheme="majorHAnsi"/>
          <w:lang w:eastAsia="en-US"/>
        </w:rPr>
      </w:pPr>
      <w:r w:rsidRPr="00C64064">
        <w:rPr>
          <w:rFonts w:asciiTheme="majorHAnsi" w:eastAsia="Arial" w:hAnsiTheme="majorHAnsi" w:cstheme="majorHAnsi"/>
          <w:lang w:eastAsia="en-US"/>
        </w:rPr>
        <w:t>Women respondents (32</w:t>
      </w:r>
      <w:r w:rsidR="00AE5B7E" w:rsidRPr="00C64064">
        <w:rPr>
          <w:rFonts w:asciiTheme="majorHAnsi" w:eastAsia="Arial" w:hAnsiTheme="majorHAnsi" w:cstheme="majorHAnsi"/>
          <w:lang w:eastAsia="en-US"/>
        </w:rPr>
        <w:t>%</w:t>
      </w:r>
      <w:r w:rsidRPr="00C64064">
        <w:rPr>
          <w:rFonts w:asciiTheme="majorHAnsi" w:eastAsia="Arial" w:hAnsiTheme="majorHAnsi" w:cstheme="majorHAnsi"/>
          <w:lang w:eastAsia="en-US"/>
        </w:rPr>
        <w:t>) also experienced a more manageable workload as a result of adopting innovations induced by PRISMA. While 11</w:t>
      </w:r>
      <w:r w:rsidR="00AE5B7E" w:rsidRPr="00C64064">
        <w:rPr>
          <w:rFonts w:asciiTheme="majorHAnsi" w:eastAsia="Arial" w:hAnsiTheme="majorHAnsi" w:cstheme="majorHAnsi"/>
          <w:lang w:eastAsia="en-US"/>
        </w:rPr>
        <w:t>%</w:t>
      </w:r>
      <w:r w:rsidRPr="00C64064">
        <w:rPr>
          <w:rFonts w:asciiTheme="majorHAnsi" w:eastAsia="Arial" w:hAnsiTheme="majorHAnsi" w:cstheme="majorHAnsi"/>
          <w:lang w:eastAsia="en-US"/>
        </w:rPr>
        <w:t xml:space="preserve"> reported increased workload because of increased farm productivity, they found it manageable as </w:t>
      </w:r>
      <w:r w:rsidR="00ED54E9" w:rsidRPr="00C64064">
        <w:rPr>
          <w:rFonts w:asciiTheme="majorHAnsi" w:eastAsia="Arial" w:hAnsiTheme="majorHAnsi" w:cstheme="majorHAnsi"/>
          <w:lang w:eastAsia="en-US"/>
        </w:rPr>
        <w:t>it only</w:t>
      </w:r>
      <w:r w:rsidRPr="00C64064">
        <w:rPr>
          <w:rFonts w:asciiTheme="majorHAnsi" w:eastAsia="Arial" w:hAnsiTheme="majorHAnsi" w:cstheme="majorHAnsi"/>
          <w:lang w:eastAsia="en-US"/>
        </w:rPr>
        <w:t xml:space="preserve"> occurred during specific periods, such as the harvesting season.</w:t>
      </w:r>
    </w:p>
    <w:tbl>
      <w:tblPr>
        <w:tblStyle w:val="TableGrid"/>
        <w:tblW w:w="0" w:type="auto"/>
        <w:tblLook w:val="04A0" w:firstRow="1" w:lastRow="0" w:firstColumn="1" w:lastColumn="0" w:noHBand="0" w:noVBand="1"/>
      </w:tblPr>
      <w:tblGrid>
        <w:gridCol w:w="9376"/>
      </w:tblGrid>
      <w:tr w:rsidR="00C64064" w:rsidRPr="00C64064" w14:paraId="5B11C967" w14:textId="77777777" w:rsidTr="00C64064">
        <w:trPr>
          <w:cnfStyle w:val="100000000000" w:firstRow="1" w:lastRow="0" w:firstColumn="0" w:lastColumn="0" w:oddVBand="0" w:evenVBand="0" w:oddHBand="0" w:evenHBand="0" w:firstRowFirstColumn="0" w:firstRowLastColumn="0" w:lastRowFirstColumn="0" w:lastRowLastColumn="0"/>
        </w:trPr>
        <w:tc>
          <w:tcPr>
            <w:tcW w:w="9376" w:type="dxa"/>
          </w:tcPr>
          <w:p w14:paraId="011D45F7" w14:textId="0D9C2E9C" w:rsidR="00C64064" w:rsidRPr="00C64064" w:rsidRDefault="00C64064" w:rsidP="00C64064">
            <w:pPr>
              <w:pStyle w:val="NoSpacing"/>
              <w:jc w:val="both"/>
              <w:rPr>
                <w:rFonts w:asciiTheme="majorHAnsi" w:hAnsiTheme="majorHAnsi" w:cstheme="majorHAnsi"/>
                <w:b/>
                <w:bCs/>
              </w:rPr>
            </w:pPr>
            <w:r w:rsidRPr="00C64064">
              <w:rPr>
                <w:rFonts w:asciiTheme="majorHAnsi" w:hAnsiTheme="majorHAnsi" w:cstheme="majorHAnsi"/>
                <w:b/>
                <w:bCs/>
                <w:color w:val="002060"/>
              </w:rPr>
              <w:t xml:space="preserve">‘[Since using concentrated feed], I now have more time to focus on other tasks, including household chores, as I spend less time searching for feed [foraging].’ </w:t>
            </w:r>
            <w:r w:rsidRPr="00C64064">
              <w:rPr>
                <w:rFonts w:asciiTheme="majorHAnsi" w:hAnsiTheme="majorHAnsi" w:cstheme="majorHAnsi"/>
                <w:color w:val="002060"/>
              </w:rPr>
              <w:t>- A woman beef cattle farmer in Central Lombok, NTB.</w:t>
            </w:r>
          </w:p>
        </w:tc>
      </w:tr>
    </w:tbl>
    <w:p w14:paraId="53950769" w14:textId="76C0F2FB" w:rsidR="00FC7DB8" w:rsidRPr="00C64064" w:rsidRDefault="00FC7DB8" w:rsidP="00FC7DB8">
      <w:pPr>
        <w:suppressAutoHyphens/>
        <w:spacing w:before="200" w:after="200" w:line="264" w:lineRule="auto"/>
        <w:jc w:val="both"/>
        <w:rPr>
          <w:rFonts w:asciiTheme="majorHAnsi" w:eastAsia="Arial" w:hAnsiTheme="majorHAnsi" w:cstheme="majorHAnsi"/>
          <w:lang w:eastAsia="en-US"/>
        </w:rPr>
      </w:pPr>
      <w:r w:rsidRPr="00C64064">
        <w:rPr>
          <w:rFonts w:asciiTheme="majorHAnsi" w:eastAsia="Arial" w:hAnsiTheme="majorHAnsi" w:cstheme="majorHAnsi"/>
          <w:lang w:eastAsia="en-US"/>
        </w:rPr>
        <w:t>Finally, 2</w:t>
      </w:r>
      <w:r w:rsidR="00464915" w:rsidRPr="00C64064">
        <w:rPr>
          <w:rFonts w:asciiTheme="majorHAnsi" w:eastAsia="Arial" w:hAnsiTheme="majorHAnsi" w:cstheme="majorHAnsi"/>
          <w:lang w:eastAsia="en-US"/>
        </w:rPr>
        <w:t>4% of</w:t>
      </w:r>
      <w:r w:rsidRPr="00C64064">
        <w:rPr>
          <w:rFonts w:asciiTheme="majorHAnsi" w:eastAsia="Arial" w:hAnsiTheme="majorHAnsi" w:cstheme="majorHAnsi"/>
          <w:lang w:eastAsia="en-US"/>
        </w:rPr>
        <w:t xml:space="preserve"> women respondents experienced better social connection and network</w:t>
      </w:r>
      <w:r w:rsidR="00464915" w:rsidRPr="00C64064">
        <w:rPr>
          <w:rFonts w:asciiTheme="majorHAnsi" w:eastAsia="Arial" w:hAnsiTheme="majorHAnsi" w:cstheme="majorHAnsi"/>
          <w:lang w:eastAsia="en-US"/>
        </w:rPr>
        <w:t>ing</w:t>
      </w:r>
      <w:r w:rsidRPr="00C64064">
        <w:rPr>
          <w:rFonts w:asciiTheme="majorHAnsi" w:eastAsia="Arial" w:hAnsiTheme="majorHAnsi" w:cstheme="majorHAnsi"/>
          <w:lang w:eastAsia="en-US"/>
        </w:rPr>
        <w:t xml:space="preserve"> within the</w:t>
      </w:r>
      <w:r w:rsidR="00464915" w:rsidRPr="00C64064">
        <w:rPr>
          <w:rFonts w:asciiTheme="majorHAnsi" w:eastAsia="Arial" w:hAnsiTheme="majorHAnsi" w:cstheme="majorHAnsi"/>
          <w:lang w:eastAsia="en-US"/>
        </w:rPr>
        <w:t>ir</w:t>
      </w:r>
      <w:r w:rsidRPr="00C64064">
        <w:rPr>
          <w:rFonts w:asciiTheme="majorHAnsi" w:eastAsia="Arial" w:hAnsiTheme="majorHAnsi" w:cstheme="majorHAnsi"/>
          <w:lang w:eastAsia="en-US"/>
        </w:rPr>
        <w:t xml:space="preserve"> communit</w:t>
      </w:r>
      <w:r w:rsidR="00464915" w:rsidRPr="00C64064">
        <w:rPr>
          <w:rFonts w:asciiTheme="majorHAnsi" w:eastAsia="Arial" w:hAnsiTheme="majorHAnsi" w:cstheme="majorHAnsi"/>
          <w:lang w:eastAsia="en-US"/>
        </w:rPr>
        <w:t>ies</w:t>
      </w:r>
      <w:r w:rsidRPr="00C64064">
        <w:rPr>
          <w:rFonts w:asciiTheme="majorHAnsi" w:eastAsia="Arial" w:hAnsiTheme="majorHAnsi" w:cstheme="majorHAnsi"/>
          <w:lang w:eastAsia="en-US"/>
        </w:rPr>
        <w:t xml:space="preserve"> </w:t>
      </w:r>
      <w:r w:rsidR="00464915" w:rsidRPr="00C64064">
        <w:rPr>
          <w:rFonts w:asciiTheme="majorHAnsi" w:eastAsia="Arial" w:hAnsiTheme="majorHAnsi" w:cstheme="majorHAnsi"/>
          <w:lang w:eastAsia="en-US"/>
        </w:rPr>
        <w:t>through</w:t>
      </w:r>
      <w:r w:rsidRPr="00C64064">
        <w:rPr>
          <w:rFonts w:asciiTheme="majorHAnsi" w:eastAsia="Arial" w:hAnsiTheme="majorHAnsi" w:cstheme="majorHAnsi"/>
          <w:lang w:eastAsia="en-US"/>
        </w:rPr>
        <w:t xml:space="preserve"> participating in knowledge</w:t>
      </w:r>
      <w:r w:rsidR="00464915" w:rsidRPr="00C64064">
        <w:rPr>
          <w:rFonts w:asciiTheme="majorHAnsi" w:eastAsia="Arial" w:hAnsiTheme="majorHAnsi" w:cstheme="majorHAnsi"/>
          <w:lang w:eastAsia="en-US"/>
        </w:rPr>
        <w:t>-</w:t>
      </w:r>
      <w:r w:rsidRPr="00C64064">
        <w:rPr>
          <w:rFonts w:asciiTheme="majorHAnsi" w:eastAsia="Arial" w:hAnsiTheme="majorHAnsi" w:cstheme="majorHAnsi"/>
          <w:lang w:eastAsia="en-US"/>
        </w:rPr>
        <w:t xml:space="preserve">enhancing activities offered by PRISMA’s partners </w:t>
      </w:r>
      <w:r w:rsidR="00464915" w:rsidRPr="00C64064">
        <w:rPr>
          <w:rFonts w:asciiTheme="majorHAnsi" w:eastAsia="Arial" w:hAnsiTheme="majorHAnsi" w:cstheme="majorHAnsi"/>
          <w:lang w:eastAsia="en-US"/>
        </w:rPr>
        <w:t>and</w:t>
      </w:r>
      <w:r w:rsidRPr="00C64064">
        <w:rPr>
          <w:rFonts w:asciiTheme="majorHAnsi" w:eastAsia="Arial" w:hAnsiTheme="majorHAnsi" w:cstheme="majorHAnsi"/>
          <w:lang w:eastAsia="en-US"/>
        </w:rPr>
        <w:t xml:space="preserve"> sharing their own experience</w:t>
      </w:r>
      <w:r w:rsidR="00464915" w:rsidRPr="00C64064">
        <w:rPr>
          <w:rFonts w:asciiTheme="majorHAnsi" w:eastAsia="Arial" w:hAnsiTheme="majorHAnsi" w:cstheme="majorHAnsi"/>
          <w:lang w:eastAsia="en-US"/>
        </w:rPr>
        <w:t>s</w:t>
      </w:r>
      <w:r w:rsidRPr="00C64064">
        <w:rPr>
          <w:rFonts w:asciiTheme="majorHAnsi" w:eastAsia="Arial" w:hAnsiTheme="majorHAnsi" w:cstheme="majorHAnsi"/>
          <w:lang w:eastAsia="en-US"/>
        </w:rPr>
        <w:t xml:space="preserve"> with other </w:t>
      </w:r>
      <w:r w:rsidR="00464915" w:rsidRPr="00C64064">
        <w:rPr>
          <w:rFonts w:asciiTheme="majorHAnsi" w:eastAsia="Arial" w:hAnsiTheme="majorHAnsi" w:cstheme="majorHAnsi"/>
          <w:lang w:eastAsia="en-US"/>
        </w:rPr>
        <w:t xml:space="preserve">community </w:t>
      </w:r>
      <w:r w:rsidRPr="00C64064">
        <w:rPr>
          <w:rFonts w:asciiTheme="majorHAnsi" w:eastAsia="Arial" w:hAnsiTheme="majorHAnsi" w:cstheme="majorHAnsi"/>
          <w:lang w:eastAsia="en-US"/>
        </w:rPr>
        <w:t>members.</w:t>
      </w:r>
    </w:p>
    <w:tbl>
      <w:tblPr>
        <w:tblStyle w:val="TableGrid"/>
        <w:tblW w:w="0" w:type="auto"/>
        <w:tblLook w:val="04A0" w:firstRow="1" w:lastRow="0" w:firstColumn="1" w:lastColumn="0" w:noHBand="0" w:noVBand="1"/>
      </w:tblPr>
      <w:tblGrid>
        <w:gridCol w:w="9376"/>
      </w:tblGrid>
      <w:tr w:rsidR="00C64064" w:rsidRPr="00C64064" w14:paraId="35CA2ABA" w14:textId="77777777" w:rsidTr="00C64064">
        <w:trPr>
          <w:cnfStyle w:val="100000000000" w:firstRow="1" w:lastRow="0" w:firstColumn="0" w:lastColumn="0" w:oddVBand="0" w:evenVBand="0" w:oddHBand="0" w:evenHBand="0" w:firstRowFirstColumn="0" w:firstRowLastColumn="0" w:lastRowFirstColumn="0" w:lastRowLastColumn="0"/>
        </w:trPr>
        <w:tc>
          <w:tcPr>
            <w:tcW w:w="9376" w:type="dxa"/>
          </w:tcPr>
          <w:p w14:paraId="1D0722AE" w14:textId="76CF06AC" w:rsidR="00C64064" w:rsidRPr="00C64064" w:rsidRDefault="00C64064" w:rsidP="00C64064">
            <w:pPr>
              <w:pStyle w:val="NoSpacing"/>
              <w:jc w:val="both"/>
              <w:rPr>
                <w:rFonts w:asciiTheme="majorHAnsi" w:hAnsiTheme="majorHAnsi" w:cstheme="majorHAnsi"/>
                <w:strike/>
              </w:rPr>
            </w:pPr>
            <w:r w:rsidRPr="00C64064">
              <w:rPr>
                <w:rFonts w:asciiTheme="majorHAnsi" w:hAnsiTheme="majorHAnsi" w:cstheme="majorHAnsi"/>
                <w:b/>
                <w:bCs/>
                <w:i/>
                <w:iCs/>
                <w:color w:val="002060"/>
              </w:rPr>
              <w:t>‘</w:t>
            </w:r>
            <w:r w:rsidRPr="00C64064">
              <w:rPr>
                <w:rFonts w:asciiTheme="majorHAnsi" w:hAnsiTheme="majorHAnsi" w:cstheme="majorHAnsi"/>
                <w:b/>
                <w:bCs/>
                <w:color w:val="002060"/>
              </w:rPr>
              <w:t>I share my experience using this feed [promoted by a PRISMA partner] with my neighbours who haven't tried it yet, hoping that it will also help improve their cattle milk production</w:t>
            </w:r>
            <w:r w:rsidRPr="00C64064">
              <w:rPr>
                <w:rFonts w:asciiTheme="majorHAnsi" w:hAnsiTheme="majorHAnsi" w:cstheme="majorHAnsi"/>
                <w:b/>
                <w:bCs/>
                <w:i/>
                <w:iCs/>
                <w:color w:val="002060"/>
              </w:rPr>
              <w:t>.</w:t>
            </w:r>
            <w:r w:rsidRPr="00C64064">
              <w:rPr>
                <w:rFonts w:asciiTheme="majorHAnsi" w:hAnsiTheme="majorHAnsi" w:cstheme="majorHAnsi"/>
                <w:i/>
                <w:iCs/>
                <w:color w:val="002060"/>
              </w:rPr>
              <w:t>’</w:t>
            </w:r>
            <w:r w:rsidRPr="00C64064">
              <w:rPr>
                <w:rFonts w:asciiTheme="majorHAnsi" w:hAnsiTheme="majorHAnsi" w:cstheme="majorHAnsi"/>
                <w:color w:val="002060"/>
              </w:rPr>
              <w:t xml:space="preserve"> - A woman dairy farmer in Kediri, East Java.</w:t>
            </w:r>
          </w:p>
        </w:tc>
      </w:tr>
    </w:tbl>
    <w:p w14:paraId="512831E0" w14:textId="77777777" w:rsidR="00C64064" w:rsidRPr="00C64064" w:rsidRDefault="00C64064" w:rsidP="007C2A6E">
      <w:pPr>
        <w:suppressAutoHyphens/>
        <w:spacing w:before="200" w:after="200" w:line="264" w:lineRule="auto"/>
        <w:jc w:val="both"/>
        <w:rPr>
          <w:rFonts w:asciiTheme="majorHAnsi" w:eastAsia="Arial" w:hAnsiTheme="majorHAnsi" w:cstheme="majorHAnsi"/>
          <w:lang w:eastAsia="en-US"/>
        </w:rPr>
      </w:pPr>
    </w:p>
    <w:p w14:paraId="6BDA7FFD" w14:textId="7F3FE459" w:rsidR="007C2A6E" w:rsidRPr="00C64064" w:rsidRDefault="00FC7DB8" w:rsidP="007C2A6E">
      <w:pPr>
        <w:suppressAutoHyphens/>
        <w:spacing w:before="200" w:after="200" w:line="264" w:lineRule="auto"/>
        <w:jc w:val="both"/>
        <w:rPr>
          <w:rFonts w:asciiTheme="majorHAnsi" w:eastAsia="Arial" w:hAnsiTheme="majorHAnsi" w:cstheme="majorHAnsi"/>
          <w:lang w:eastAsia="en-US"/>
        </w:rPr>
      </w:pPr>
      <w:r w:rsidRPr="00C64064">
        <w:rPr>
          <w:rFonts w:asciiTheme="majorHAnsi" w:eastAsia="Arial" w:hAnsiTheme="majorHAnsi" w:cstheme="majorHAnsi"/>
          <w:lang w:eastAsia="en-US"/>
        </w:rPr>
        <w:t>The table below shows the cumulative findings.</w:t>
      </w:r>
    </w:p>
    <w:p w14:paraId="2CF24E97" w14:textId="7F723ABF" w:rsidR="007C2A6E" w:rsidRPr="00C64064" w:rsidRDefault="007C2A6E" w:rsidP="007C2A6E">
      <w:pPr>
        <w:spacing w:before="120" w:after="120" w:line="264" w:lineRule="auto"/>
        <w:contextualSpacing/>
        <w:jc w:val="both"/>
        <w:rPr>
          <w:rFonts w:asciiTheme="majorHAnsi" w:eastAsia="Times New Roman" w:hAnsiTheme="majorHAnsi" w:cstheme="majorHAnsi"/>
          <w:i/>
          <w:iCs/>
          <w:lang w:eastAsia="en-US"/>
        </w:rPr>
      </w:pPr>
      <w:r w:rsidRPr="00C64064">
        <w:rPr>
          <w:rFonts w:asciiTheme="majorHAnsi" w:eastAsia="Times New Roman" w:hAnsiTheme="majorHAnsi" w:cstheme="majorHAnsi"/>
          <w:i/>
          <w:iCs/>
          <w:lang w:eastAsia="en-US"/>
        </w:rPr>
        <w:t xml:space="preserve">Table: Cumulative WEE impact assessment findings </w:t>
      </w:r>
    </w:p>
    <w:p w14:paraId="5C44BB2E" w14:textId="77777777" w:rsidR="007C2A6E" w:rsidRPr="00C64064" w:rsidRDefault="007C2A6E" w:rsidP="007C2A6E">
      <w:pPr>
        <w:spacing w:before="120" w:after="120" w:line="264" w:lineRule="auto"/>
        <w:contextualSpacing/>
        <w:jc w:val="both"/>
        <w:rPr>
          <w:rFonts w:asciiTheme="majorHAnsi" w:eastAsia="Times New Roman" w:hAnsiTheme="majorHAnsi" w:cstheme="majorHAnsi"/>
          <w:i/>
          <w:sz w:val="20"/>
          <w:lang w:eastAsia="en-US"/>
        </w:rPr>
      </w:pPr>
    </w:p>
    <w:tbl>
      <w:tblPr>
        <w:tblStyle w:val="PlainTable21"/>
        <w:tblW w:w="0" w:type="auto"/>
        <w:tblCellMar>
          <w:top w:w="108" w:type="dxa"/>
          <w:bottom w:w="108" w:type="dxa"/>
        </w:tblCellMar>
        <w:tblLook w:val="04A0" w:firstRow="1" w:lastRow="0" w:firstColumn="1" w:lastColumn="0" w:noHBand="0" w:noVBand="1"/>
      </w:tblPr>
      <w:tblGrid>
        <w:gridCol w:w="2263"/>
        <w:gridCol w:w="7103"/>
      </w:tblGrid>
      <w:tr w:rsidR="007C2A6E" w:rsidRPr="00C64064" w14:paraId="20F04E40" w14:textId="77777777" w:rsidTr="007C2A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252D65"/>
          </w:tcPr>
          <w:p w14:paraId="2806F5DC" w14:textId="44CF8746" w:rsidR="007C2A6E" w:rsidRPr="00C64064" w:rsidRDefault="007C2A6E" w:rsidP="007C2A6E">
            <w:pPr>
              <w:spacing w:before="120" w:after="120" w:line="264" w:lineRule="auto"/>
              <w:contextualSpacing/>
              <w:jc w:val="center"/>
              <w:rPr>
                <w:rFonts w:asciiTheme="majorHAnsi" w:eastAsia="Times New Roman" w:hAnsiTheme="majorHAnsi" w:cstheme="majorHAnsi"/>
                <w:i/>
                <w:sz w:val="20"/>
              </w:rPr>
            </w:pPr>
            <w:r w:rsidRPr="00C64064">
              <w:rPr>
                <w:rFonts w:asciiTheme="majorHAnsi" w:hAnsiTheme="majorHAnsi" w:cstheme="majorHAnsi"/>
                <w:sz w:val="22"/>
                <w:szCs w:val="22"/>
              </w:rPr>
              <w:t>WEE dimension</w:t>
            </w:r>
          </w:p>
        </w:tc>
        <w:tc>
          <w:tcPr>
            <w:tcW w:w="7103" w:type="dxa"/>
            <w:shd w:val="clear" w:color="auto" w:fill="252D65"/>
          </w:tcPr>
          <w:p w14:paraId="2E12C3DA" w14:textId="68855D79" w:rsidR="007C2A6E" w:rsidRPr="00C64064" w:rsidRDefault="007C2A6E" w:rsidP="007C2A6E">
            <w:pPr>
              <w:spacing w:before="120" w:after="120" w:line="264" w:lineRule="auto"/>
              <w:contextualSpacing/>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i/>
                <w:sz w:val="20"/>
              </w:rPr>
            </w:pPr>
            <w:r w:rsidRPr="00C64064">
              <w:rPr>
                <w:rFonts w:asciiTheme="majorHAnsi" w:hAnsiTheme="majorHAnsi" w:cstheme="majorHAnsi"/>
                <w:sz w:val="22"/>
                <w:szCs w:val="22"/>
              </w:rPr>
              <w:t>Remarks</w:t>
            </w:r>
          </w:p>
        </w:tc>
      </w:tr>
      <w:tr w:rsidR="007C2A6E" w:rsidRPr="00C64064" w14:paraId="2B576A78" w14:textId="77777777" w:rsidTr="007C2A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F5FCB03" w14:textId="77777777" w:rsidR="007C2A6E" w:rsidRPr="00C64064" w:rsidRDefault="007C2A6E" w:rsidP="007C2A6E">
            <w:pPr>
              <w:rPr>
                <w:rFonts w:asciiTheme="majorHAnsi" w:hAnsiTheme="majorHAnsi" w:cstheme="majorHAnsi"/>
                <w:color w:val="252D65"/>
                <w:sz w:val="22"/>
                <w:szCs w:val="22"/>
              </w:rPr>
            </w:pPr>
            <w:r w:rsidRPr="00C64064">
              <w:rPr>
                <w:rFonts w:asciiTheme="majorHAnsi" w:hAnsiTheme="majorHAnsi" w:cstheme="majorHAnsi"/>
                <w:color w:val="252D65"/>
                <w:sz w:val="22"/>
                <w:szCs w:val="22"/>
              </w:rPr>
              <w:t xml:space="preserve">Access to products and services </w:t>
            </w:r>
          </w:p>
          <w:p w14:paraId="3DF6AEBD" w14:textId="77777777" w:rsidR="007C2A6E" w:rsidRPr="00C64064" w:rsidRDefault="007C2A6E" w:rsidP="007C2A6E">
            <w:pPr>
              <w:spacing w:before="120" w:after="120" w:line="264" w:lineRule="auto"/>
              <w:contextualSpacing/>
              <w:rPr>
                <w:rFonts w:asciiTheme="majorHAnsi" w:eastAsia="Times New Roman" w:hAnsiTheme="majorHAnsi" w:cstheme="majorHAnsi"/>
                <w:i/>
                <w:color w:val="252D65"/>
                <w:sz w:val="20"/>
              </w:rPr>
            </w:pPr>
          </w:p>
        </w:tc>
        <w:tc>
          <w:tcPr>
            <w:tcW w:w="7103" w:type="dxa"/>
          </w:tcPr>
          <w:p w14:paraId="78FC2D0B" w14:textId="77777777" w:rsidR="007C2A6E" w:rsidRPr="00C64064" w:rsidRDefault="007C2A6E" w:rsidP="007C2A6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2"/>
                <w:szCs w:val="22"/>
              </w:rPr>
            </w:pPr>
            <w:r w:rsidRPr="00C64064">
              <w:rPr>
                <w:rFonts w:asciiTheme="majorHAnsi" w:hAnsiTheme="majorHAnsi" w:cstheme="majorHAnsi"/>
                <w:b/>
                <w:bCs/>
                <w:sz w:val="22"/>
                <w:szCs w:val="22"/>
              </w:rPr>
              <w:t>43%</w:t>
            </w:r>
          </w:p>
          <w:p w14:paraId="3B9A590F" w14:textId="7D5901F8" w:rsidR="007C2A6E" w:rsidRPr="00C64064" w:rsidRDefault="007C2A6E" w:rsidP="007C2A6E">
            <w:pPr>
              <w:spacing w:before="120" w:after="120" w:line="264" w:lineRule="auto"/>
              <w:contextualSpacing/>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i/>
                <w:sz w:val="20"/>
              </w:rPr>
            </w:pPr>
            <w:r w:rsidRPr="00C64064">
              <w:rPr>
                <w:rFonts w:asciiTheme="majorHAnsi" w:hAnsiTheme="majorHAnsi" w:cstheme="majorHAnsi"/>
                <w:sz w:val="22"/>
                <w:szCs w:val="22"/>
              </w:rPr>
              <w:t>Women respondents adopted the innovation more easily due to the increased availability and accessibility of products or services in the neighbourhood.</w:t>
            </w:r>
          </w:p>
        </w:tc>
      </w:tr>
      <w:tr w:rsidR="007C2A6E" w:rsidRPr="00C64064" w14:paraId="33D638B5" w14:textId="77777777" w:rsidTr="007C2A6E">
        <w:tc>
          <w:tcPr>
            <w:cnfStyle w:val="001000000000" w:firstRow="0" w:lastRow="0" w:firstColumn="1" w:lastColumn="0" w:oddVBand="0" w:evenVBand="0" w:oddHBand="0" w:evenHBand="0" w:firstRowFirstColumn="0" w:firstRowLastColumn="0" w:lastRowFirstColumn="0" w:lastRowLastColumn="0"/>
            <w:tcW w:w="2263" w:type="dxa"/>
          </w:tcPr>
          <w:p w14:paraId="5AAD746A" w14:textId="77777777" w:rsidR="007C2A6E" w:rsidRPr="00C64064" w:rsidRDefault="007C2A6E" w:rsidP="007C2A6E">
            <w:pPr>
              <w:rPr>
                <w:rFonts w:asciiTheme="majorHAnsi" w:hAnsiTheme="majorHAnsi" w:cstheme="majorHAnsi"/>
                <w:color w:val="252D65"/>
                <w:sz w:val="22"/>
                <w:szCs w:val="22"/>
              </w:rPr>
            </w:pPr>
            <w:r w:rsidRPr="00C64064">
              <w:rPr>
                <w:rFonts w:asciiTheme="majorHAnsi" w:hAnsiTheme="majorHAnsi" w:cstheme="majorHAnsi"/>
                <w:color w:val="252D65"/>
                <w:sz w:val="22"/>
                <w:szCs w:val="22"/>
              </w:rPr>
              <w:t>Access to skills and knowledge</w:t>
            </w:r>
          </w:p>
          <w:p w14:paraId="539C4526" w14:textId="77777777" w:rsidR="007C2A6E" w:rsidRPr="00C64064" w:rsidRDefault="007C2A6E" w:rsidP="007C2A6E">
            <w:pPr>
              <w:spacing w:before="120" w:after="120" w:line="264" w:lineRule="auto"/>
              <w:contextualSpacing/>
              <w:rPr>
                <w:rFonts w:asciiTheme="majorHAnsi" w:eastAsia="Times New Roman" w:hAnsiTheme="majorHAnsi" w:cstheme="majorHAnsi"/>
                <w:i/>
                <w:color w:val="252D65"/>
                <w:sz w:val="20"/>
              </w:rPr>
            </w:pPr>
          </w:p>
        </w:tc>
        <w:tc>
          <w:tcPr>
            <w:tcW w:w="7103" w:type="dxa"/>
          </w:tcPr>
          <w:p w14:paraId="4B57E0F2" w14:textId="77777777" w:rsidR="007C2A6E" w:rsidRPr="00C64064" w:rsidRDefault="007C2A6E" w:rsidP="007C2A6E">
            <w:pPr>
              <w:tabs>
                <w:tab w:val="left" w:pos="2310"/>
              </w:tab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2"/>
                <w:szCs w:val="22"/>
              </w:rPr>
            </w:pPr>
            <w:r w:rsidRPr="00C64064">
              <w:rPr>
                <w:rFonts w:asciiTheme="majorHAnsi" w:hAnsiTheme="majorHAnsi" w:cstheme="majorHAnsi"/>
                <w:b/>
                <w:bCs/>
                <w:sz w:val="22"/>
                <w:szCs w:val="22"/>
              </w:rPr>
              <w:t>31%</w:t>
            </w:r>
            <w:r w:rsidRPr="00C64064">
              <w:rPr>
                <w:rFonts w:asciiTheme="majorHAnsi" w:hAnsiTheme="majorHAnsi" w:cstheme="majorHAnsi"/>
                <w:b/>
                <w:bCs/>
                <w:sz w:val="22"/>
                <w:szCs w:val="22"/>
              </w:rPr>
              <w:tab/>
            </w:r>
          </w:p>
          <w:p w14:paraId="2D15AE8E" w14:textId="055D86F9" w:rsidR="007C2A6E" w:rsidRPr="00C64064" w:rsidRDefault="007C2A6E" w:rsidP="007C2A6E">
            <w:pPr>
              <w:spacing w:before="120" w:after="120" w:line="264" w:lineRule="auto"/>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i/>
                <w:sz w:val="20"/>
              </w:rPr>
            </w:pPr>
            <w:r w:rsidRPr="00C64064">
              <w:rPr>
                <w:rFonts w:asciiTheme="majorHAnsi" w:hAnsiTheme="majorHAnsi" w:cstheme="majorHAnsi"/>
                <w:sz w:val="22"/>
                <w:szCs w:val="22"/>
              </w:rPr>
              <w:t>Women respondents found the knowledge gained from participating in gender-inclusive and women-targeted activities was beneficial for improving their agricultural skills.</w:t>
            </w:r>
          </w:p>
        </w:tc>
      </w:tr>
      <w:tr w:rsidR="007C2A6E" w:rsidRPr="00C64064" w14:paraId="3048A599" w14:textId="77777777" w:rsidTr="007C2A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C4A374B" w14:textId="700FB6E0" w:rsidR="007C2A6E" w:rsidRPr="00C64064" w:rsidRDefault="007C2A6E" w:rsidP="007C2A6E">
            <w:pPr>
              <w:spacing w:before="120" w:after="120" w:line="264" w:lineRule="auto"/>
              <w:contextualSpacing/>
              <w:rPr>
                <w:rFonts w:asciiTheme="majorHAnsi" w:eastAsia="Times New Roman" w:hAnsiTheme="majorHAnsi" w:cstheme="majorHAnsi"/>
                <w:i/>
                <w:color w:val="252D65"/>
                <w:sz w:val="20"/>
              </w:rPr>
            </w:pPr>
            <w:r w:rsidRPr="00C64064">
              <w:rPr>
                <w:rFonts w:asciiTheme="majorHAnsi" w:hAnsiTheme="majorHAnsi" w:cstheme="majorHAnsi"/>
                <w:color w:val="252D65"/>
                <w:sz w:val="22"/>
                <w:szCs w:val="22"/>
              </w:rPr>
              <w:t>Economic advancement</w:t>
            </w:r>
          </w:p>
        </w:tc>
        <w:tc>
          <w:tcPr>
            <w:tcW w:w="7103" w:type="dxa"/>
          </w:tcPr>
          <w:p w14:paraId="25E7A6F6" w14:textId="77777777" w:rsidR="007C2A6E" w:rsidRPr="00C64064" w:rsidRDefault="007C2A6E" w:rsidP="007C2A6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2"/>
                <w:szCs w:val="22"/>
              </w:rPr>
            </w:pPr>
            <w:r w:rsidRPr="00C64064">
              <w:rPr>
                <w:rFonts w:asciiTheme="majorHAnsi" w:hAnsiTheme="majorHAnsi" w:cstheme="majorHAnsi"/>
                <w:b/>
                <w:bCs/>
                <w:sz w:val="22"/>
                <w:szCs w:val="22"/>
              </w:rPr>
              <w:t>59%</w:t>
            </w:r>
          </w:p>
          <w:p w14:paraId="0638134A" w14:textId="42FD014F" w:rsidR="007C2A6E" w:rsidRPr="00C64064" w:rsidRDefault="007C2A6E" w:rsidP="007C2A6E">
            <w:pPr>
              <w:spacing w:before="120" w:after="120" w:line="264" w:lineRule="auto"/>
              <w:contextualSpacing/>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i/>
                <w:sz w:val="20"/>
              </w:rPr>
            </w:pPr>
            <w:r w:rsidRPr="00C64064">
              <w:rPr>
                <w:rFonts w:asciiTheme="majorHAnsi" w:hAnsiTheme="majorHAnsi" w:cstheme="majorHAnsi"/>
                <w:sz w:val="22"/>
                <w:szCs w:val="22"/>
              </w:rPr>
              <w:t>Due to higher yields and better-quality crops, women respondents had more opportunities to increase their savings and investments or fulfil family needs.</w:t>
            </w:r>
          </w:p>
        </w:tc>
      </w:tr>
      <w:tr w:rsidR="007C2A6E" w:rsidRPr="00C64064" w14:paraId="0B2F6291" w14:textId="77777777" w:rsidTr="007C2A6E">
        <w:tc>
          <w:tcPr>
            <w:cnfStyle w:val="001000000000" w:firstRow="0" w:lastRow="0" w:firstColumn="1" w:lastColumn="0" w:oddVBand="0" w:evenVBand="0" w:oddHBand="0" w:evenHBand="0" w:firstRowFirstColumn="0" w:firstRowLastColumn="0" w:lastRowFirstColumn="0" w:lastRowLastColumn="0"/>
            <w:tcW w:w="2263" w:type="dxa"/>
          </w:tcPr>
          <w:p w14:paraId="6E059C65" w14:textId="7F281AA6" w:rsidR="007C2A6E" w:rsidRPr="00C64064" w:rsidRDefault="007C2A6E" w:rsidP="007C2A6E">
            <w:pPr>
              <w:spacing w:before="120" w:after="120" w:line="264" w:lineRule="auto"/>
              <w:contextualSpacing/>
              <w:rPr>
                <w:rFonts w:asciiTheme="majorHAnsi" w:eastAsia="Times New Roman" w:hAnsiTheme="majorHAnsi" w:cstheme="majorHAnsi"/>
                <w:i/>
                <w:color w:val="252D65"/>
                <w:sz w:val="20"/>
              </w:rPr>
            </w:pPr>
            <w:r w:rsidRPr="00C64064">
              <w:rPr>
                <w:rFonts w:asciiTheme="majorHAnsi" w:hAnsiTheme="majorHAnsi" w:cstheme="majorHAnsi"/>
                <w:color w:val="252D65"/>
                <w:sz w:val="22"/>
                <w:szCs w:val="22"/>
              </w:rPr>
              <w:t>Manageable workload</w:t>
            </w:r>
          </w:p>
        </w:tc>
        <w:tc>
          <w:tcPr>
            <w:tcW w:w="7103" w:type="dxa"/>
          </w:tcPr>
          <w:p w14:paraId="4093422C" w14:textId="77777777" w:rsidR="007C2A6E" w:rsidRPr="00C64064" w:rsidRDefault="007C2A6E" w:rsidP="007C2A6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2"/>
                <w:szCs w:val="22"/>
              </w:rPr>
            </w:pPr>
            <w:r w:rsidRPr="00C64064">
              <w:rPr>
                <w:rFonts w:asciiTheme="majorHAnsi" w:hAnsiTheme="majorHAnsi" w:cstheme="majorHAnsi"/>
                <w:b/>
                <w:bCs/>
                <w:sz w:val="22"/>
                <w:szCs w:val="22"/>
              </w:rPr>
              <w:t>32%</w:t>
            </w:r>
          </w:p>
          <w:p w14:paraId="684DC946" w14:textId="6C5E732A" w:rsidR="007C2A6E" w:rsidRPr="00C64064" w:rsidRDefault="007C2A6E" w:rsidP="007C2A6E">
            <w:pPr>
              <w:spacing w:before="120" w:after="120" w:line="264" w:lineRule="auto"/>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i/>
                <w:sz w:val="20"/>
              </w:rPr>
            </w:pPr>
            <w:r w:rsidRPr="00C64064">
              <w:rPr>
                <w:rFonts w:asciiTheme="majorHAnsi" w:hAnsiTheme="majorHAnsi" w:cstheme="majorHAnsi"/>
                <w:sz w:val="22"/>
                <w:szCs w:val="22"/>
              </w:rPr>
              <w:t>Women respondents experienced a more manageable workload as a result of adopting innovations induced by PRISMA.</w:t>
            </w:r>
          </w:p>
        </w:tc>
      </w:tr>
      <w:tr w:rsidR="007C2A6E" w:rsidRPr="00C64064" w14:paraId="6C1941FA" w14:textId="77777777" w:rsidTr="007C2A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3E509E0" w14:textId="7E7502A6" w:rsidR="007C2A6E" w:rsidRPr="00C64064" w:rsidRDefault="007C2A6E" w:rsidP="007C2A6E">
            <w:pPr>
              <w:spacing w:before="120" w:after="120" w:line="264" w:lineRule="auto"/>
              <w:contextualSpacing/>
              <w:rPr>
                <w:rFonts w:asciiTheme="majorHAnsi" w:eastAsia="Times New Roman" w:hAnsiTheme="majorHAnsi" w:cstheme="majorHAnsi"/>
                <w:i/>
                <w:color w:val="252D65"/>
                <w:sz w:val="20"/>
              </w:rPr>
            </w:pPr>
            <w:r w:rsidRPr="00C64064">
              <w:rPr>
                <w:rFonts w:asciiTheme="majorHAnsi" w:hAnsiTheme="majorHAnsi" w:cstheme="majorHAnsi"/>
                <w:color w:val="252D65"/>
                <w:sz w:val="22"/>
                <w:szCs w:val="22"/>
              </w:rPr>
              <w:t>Decision making</w:t>
            </w:r>
          </w:p>
        </w:tc>
        <w:tc>
          <w:tcPr>
            <w:tcW w:w="7103" w:type="dxa"/>
          </w:tcPr>
          <w:p w14:paraId="69F385D3" w14:textId="77777777" w:rsidR="007C2A6E" w:rsidRPr="00C64064" w:rsidRDefault="007C2A6E" w:rsidP="007C2A6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2"/>
                <w:szCs w:val="22"/>
              </w:rPr>
            </w:pPr>
            <w:r w:rsidRPr="00C64064">
              <w:rPr>
                <w:rFonts w:asciiTheme="majorHAnsi" w:hAnsiTheme="majorHAnsi" w:cstheme="majorHAnsi"/>
                <w:b/>
                <w:bCs/>
                <w:sz w:val="22"/>
                <w:szCs w:val="22"/>
              </w:rPr>
              <w:t>28%</w:t>
            </w:r>
          </w:p>
          <w:p w14:paraId="74B8AEDD" w14:textId="3E61E2AB" w:rsidR="007C2A6E" w:rsidRPr="00C64064" w:rsidRDefault="007C2A6E" w:rsidP="007C2A6E">
            <w:pPr>
              <w:spacing w:before="120" w:after="120" w:line="264" w:lineRule="auto"/>
              <w:contextualSpacing/>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i/>
                <w:sz w:val="20"/>
              </w:rPr>
            </w:pPr>
            <w:r w:rsidRPr="00C64064">
              <w:rPr>
                <w:rFonts w:asciiTheme="majorHAnsi" w:hAnsiTheme="majorHAnsi" w:cstheme="majorHAnsi"/>
                <w:sz w:val="22"/>
                <w:szCs w:val="22"/>
              </w:rPr>
              <w:t>Women respondents were more involved in agriculture decision-making as they gained better access to information on better-quality inputs, services, and good agricultural practices.</w:t>
            </w:r>
          </w:p>
        </w:tc>
      </w:tr>
      <w:tr w:rsidR="007C2A6E" w:rsidRPr="00C64064" w14:paraId="0D1607D5" w14:textId="77777777" w:rsidTr="007C2A6E">
        <w:tc>
          <w:tcPr>
            <w:cnfStyle w:val="001000000000" w:firstRow="0" w:lastRow="0" w:firstColumn="1" w:lastColumn="0" w:oddVBand="0" w:evenVBand="0" w:oddHBand="0" w:evenHBand="0" w:firstRowFirstColumn="0" w:firstRowLastColumn="0" w:lastRowFirstColumn="0" w:lastRowLastColumn="0"/>
            <w:tcW w:w="2263" w:type="dxa"/>
          </w:tcPr>
          <w:p w14:paraId="20051107" w14:textId="4C418CFE" w:rsidR="007C2A6E" w:rsidRPr="00C64064" w:rsidRDefault="007C2A6E" w:rsidP="007C2A6E">
            <w:pPr>
              <w:spacing w:before="120" w:after="120" w:line="264" w:lineRule="auto"/>
              <w:contextualSpacing/>
              <w:rPr>
                <w:rFonts w:asciiTheme="majorHAnsi" w:eastAsia="Times New Roman" w:hAnsiTheme="majorHAnsi" w:cstheme="majorHAnsi"/>
                <w:i/>
                <w:color w:val="252D65"/>
                <w:sz w:val="20"/>
              </w:rPr>
            </w:pPr>
            <w:r w:rsidRPr="00C64064">
              <w:rPr>
                <w:rFonts w:asciiTheme="majorHAnsi" w:hAnsiTheme="majorHAnsi" w:cstheme="majorHAnsi"/>
                <w:color w:val="252D65"/>
                <w:sz w:val="22"/>
                <w:szCs w:val="22"/>
              </w:rPr>
              <w:lastRenderedPageBreak/>
              <w:t>Leadership and social networks</w:t>
            </w:r>
          </w:p>
        </w:tc>
        <w:tc>
          <w:tcPr>
            <w:tcW w:w="7103" w:type="dxa"/>
          </w:tcPr>
          <w:p w14:paraId="09CAC212" w14:textId="77777777" w:rsidR="007C2A6E" w:rsidRPr="00C64064" w:rsidRDefault="007C2A6E" w:rsidP="007C2A6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2"/>
                <w:szCs w:val="22"/>
              </w:rPr>
            </w:pPr>
            <w:r w:rsidRPr="00C64064">
              <w:rPr>
                <w:rFonts w:asciiTheme="majorHAnsi" w:hAnsiTheme="majorHAnsi" w:cstheme="majorHAnsi"/>
                <w:b/>
                <w:bCs/>
                <w:sz w:val="22"/>
                <w:szCs w:val="22"/>
              </w:rPr>
              <w:t>24%</w:t>
            </w:r>
          </w:p>
          <w:p w14:paraId="7D6B0119" w14:textId="4283DF31" w:rsidR="007C2A6E" w:rsidRPr="00C64064" w:rsidRDefault="007C2A6E" w:rsidP="007C2A6E">
            <w:pPr>
              <w:spacing w:before="120" w:after="120" w:line="264" w:lineRule="auto"/>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i/>
                <w:sz w:val="20"/>
              </w:rPr>
            </w:pPr>
            <w:r w:rsidRPr="00C64064">
              <w:rPr>
                <w:rFonts w:asciiTheme="majorHAnsi" w:hAnsiTheme="majorHAnsi" w:cstheme="majorHAnsi"/>
                <w:sz w:val="22"/>
                <w:szCs w:val="22"/>
              </w:rPr>
              <w:t>Women respondents were able to expand their social network within their communities.</w:t>
            </w:r>
          </w:p>
        </w:tc>
      </w:tr>
    </w:tbl>
    <w:p w14:paraId="577B451F" w14:textId="77777777" w:rsidR="007C2A6E" w:rsidRPr="00C64064" w:rsidRDefault="007C2A6E" w:rsidP="007C2A6E">
      <w:pPr>
        <w:spacing w:before="120" w:after="120" w:line="264" w:lineRule="auto"/>
        <w:contextualSpacing/>
        <w:jc w:val="both"/>
        <w:rPr>
          <w:rFonts w:asciiTheme="majorHAnsi" w:eastAsia="Times New Roman" w:hAnsiTheme="majorHAnsi" w:cstheme="majorHAnsi"/>
          <w:i/>
          <w:sz w:val="20"/>
          <w:lang w:eastAsia="en-US"/>
        </w:rPr>
      </w:pPr>
    </w:p>
    <w:p w14:paraId="371A60AE" w14:textId="77777777" w:rsidR="00FC7DB8" w:rsidRPr="00C64064" w:rsidRDefault="00FC7DB8" w:rsidP="00FC7DB8">
      <w:pPr>
        <w:spacing w:before="120" w:after="120" w:line="264" w:lineRule="auto"/>
        <w:contextualSpacing/>
        <w:jc w:val="both"/>
        <w:rPr>
          <w:rFonts w:asciiTheme="majorHAnsi" w:eastAsiaTheme="majorEastAsia" w:hAnsiTheme="majorHAnsi" w:cstheme="majorHAnsi"/>
          <w:lang w:eastAsia="en-US"/>
        </w:rPr>
      </w:pPr>
      <w:r w:rsidRPr="00C64064">
        <w:rPr>
          <w:rFonts w:asciiTheme="majorHAnsi" w:eastAsiaTheme="majorEastAsia" w:hAnsiTheme="majorHAnsi" w:cstheme="majorHAnsi"/>
          <w:lang w:eastAsia="en-US"/>
        </w:rPr>
        <w:t>Knowledge harvesting and dissemination</w:t>
      </w:r>
    </w:p>
    <w:p w14:paraId="09FBB753" w14:textId="5C214143" w:rsidR="00FC7DB8" w:rsidRPr="00C64064" w:rsidRDefault="00FC7DB8" w:rsidP="00FC7DB8">
      <w:pPr>
        <w:keepNext/>
        <w:keepLines/>
        <w:suppressAutoHyphens/>
        <w:spacing w:before="220" w:after="220" w:line="264" w:lineRule="auto"/>
        <w:ind w:left="851" w:hanging="851"/>
        <w:jc w:val="both"/>
        <w:outlineLvl w:val="3"/>
        <w:rPr>
          <w:rFonts w:asciiTheme="majorHAnsi" w:eastAsia="Arial" w:hAnsiTheme="majorHAnsi" w:cstheme="majorHAnsi"/>
          <w:b/>
          <w:i/>
          <w:lang w:eastAsia="en-US"/>
        </w:rPr>
      </w:pPr>
      <w:r w:rsidRPr="00C64064">
        <w:rPr>
          <w:rFonts w:asciiTheme="majorHAnsi" w:eastAsia="Arial" w:hAnsiTheme="majorHAnsi" w:cstheme="majorHAnsi"/>
          <w:b/>
          <w:i/>
          <w:lang w:eastAsia="en-US"/>
        </w:rPr>
        <w:t>Guideline for understanding</w:t>
      </w:r>
      <w:r w:rsidRPr="00C64064">
        <w:rPr>
          <w:rFonts w:asciiTheme="majorHAnsi" w:eastAsia="Arial" w:hAnsiTheme="majorHAnsi" w:cstheme="majorHAnsi"/>
          <w:b/>
          <w:bCs/>
          <w:i/>
          <w:lang w:eastAsia="en-US"/>
        </w:rPr>
        <w:t xml:space="preserve"> and mitigating </w:t>
      </w:r>
      <w:r w:rsidR="0075739D" w:rsidRPr="00C64064">
        <w:rPr>
          <w:rFonts w:asciiTheme="majorHAnsi" w:eastAsia="Arial" w:hAnsiTheme="majorHAnsi" w:cstheme="majorHAnsi"/>
          <w:b/>
          <w:bCs/>
          <w:i/>
          <w:lang w:eastAsia="en-US"/>
        </w:rPr>
        <w:t>g</w:t>
      </w:r>
      <w:r w:rsidRPr="00C64064">
        <w:rPr>
          <w:rFonts w:asciiTheme="majorHAnsi" w:eastAsia="Arial" w:hAnsiTheme="majorHAnsi" w:cstheme="majorHAnsi"/>
          <w:b/>
          <w:bCs/>
          <w:i/>
          <w:lang w:eastAsia="en-US"/>
        </w:rPr>
        <w:t>ender</w:t>
      </w:r>
      <w:r w:rsidR="0075739D" w:rsidRPr="00C64064">
        <w:rPr>
          <w:rFonts w:asciiTheme="majorHAnsi" w:eastAsia="Arial" w:hAnsiTheme="majorHAnsi" w:cstheme="majorHAnsi"/>
          <w:b/>
          <w:bCs/>
          <w:i/>
          <w:lang w:eastAsia="en-US"/>
        </w:rPr>
        <w:t>-b</w:t>
      </w:r>
      <w:r w:rsidRPr="00C64064">
        <w:rPr>
          <w:rFonts w:asciiTheme="majorHAnsi" w:eastAsia="Arial" w:hAnsiTheme="majorHAnsi" w:cstheme="majorHAnsi"/>
          <w:b/>
          <w:bCs/>
          <w:i/>
          <w:lang w:eastAsia="en-US"/>
        </w:rPr>
        <w:t xml:space="preserve">ased </w:t>
      </w:r>
      <w:r w:rsidR="0075739D" w:rsidRPr="00C64064">
        <w:rPr>
          <w:rFonts w:asciiTheme="majorHAnsi" w:eastAsia="Arial" w:hAnsiTheme="majorHAnsi" w:cstheme="majorHAnsi"/>
          <w:b/>
          <w:bCs/>
          <w:i/>
          <w:lang w:eastAsia="en-US"/>
        </w:rPr>
        <w:t>v</w:t>
      </w:r>
      <w:r w:rsidRPr="00C64064">
        <w:rPr>
          <w:rFonts w:asciiTheme="majorHAnsi" w:eastAsia="Arial" w:hAnsiTheme="majorHAnsi" w:cstheme="majorHAnsi"/>
          <w:b/>
          <w:bCs/>
          <w:i/>
          <w:lang w:eastAsia="en-US"/>
        </w:rPr>
        <w:t xml:space="preserve">iolence (GBV) risks </w:t>
      </w:r>
    </w:p>
    <w:p w14:paraId="18B4A2E7" w14:textId="4FE5656E" w:rsidR="00FC7DB8" w:rsidRDefault="00FC7DB8" w:rsidP="5583D54B">
      <w:pPr>
        <w:spacing w:before="60" w:after="120" w:line="264" w:lineRule="auto"/>
        <w:jc w:val="both"/>
        <w:rPr>
          <w:rFonts w:asciiTheme="majorHAnsi" w:eastAsia="Times New Roman" w:hAnsiTheme="majorHAnsi" w:cstheme="majorBidi"/>
          <w:lang w:eastAsia="en-US"/>
        </w:rPr>
      </w:pPr>
      <w:bookmarkStart w:id="120" w:name="_Hlk168321563"/>
      <w:r w:rsidRPr="5583D54B">
        <w:rPr>
          <w:rFonts w:asciiTheme="majorHAnsi" w:eastAsia="Times New Roman" w:hAnsiTheme="majorHAnsi" w:cstheme="majorBidi"/>
          <w:lang w:eastAsia="en-US"/>
        </w:rPr>
        <w:t xml:space="preserve">PRISMA </w:t>
      </w:r>
      <w:bookmarkEnd w:id="120"/>
      <w:r w:rsidRPr="5583D54B">
        <w:rPr>
          <w:rFonts w:asciiTheme="majorHAnsi" w:eastAsia="Times New Roman" w:hAnsiTheme="majorHAnsi" w:cstheme="majorBidi"/>
          <w:lang w:eastAsia="en-US"/>
        </w:rPr>
        <w:t xml:space="preserve">has revised the GBV guidelines </w:t>
      </w:r>
      <w:r w:rsidR="0075739D" w:rsidRPr="5583D54B">
        <w:rPr>
          <w:rFonts w:asciiTheme="majorHAnsi" w:eastAsia="Times New Roman" w:hAnsiTheme="majorHAnsi" w:cstheme="majorBidi"/>
          <w:lang w:eastAsia="en-US"/>
        </w:rPr>
        <w:t xml:space="preserve">draft </w:t>
      </w:r>
      <w:r w:rsidRPr="5583D54B">
        <w:rPr>
          <w:rFonts w:asciiTheme="majorHAnsi" w:eastAsia="Times New Roman" w:hAnsiTheme="majorHAnsi" w:cstheme="majorBidi"/>
          <w:lang w:eastAsia="en-US"/>
        </w:rPr>
        <w:t>by incorporating feedback from DFAT. A GBV expert developed the guideline following a field assessment and in-depth discussions with women and men farmers, kiosk</w:t>
      </w:r>
      <w:r w:rsidR="000942E9" w:rsidRPr="5583D54B">
        <w:rPr>
          <w:rFonts w:asciiTheme="majorHAnsi" w:eastAsia="Times New Roman" w:hAnsiTheme="majorHAnsi" w:cstheme="majorBidi"/>
          <w:lang w:eastAsia="en-US"/>
        </w:rPr>
        <w:t xml:space="preserve"> owner</w:t>
      </w:r>
      <w:r w:rsidRPr="5583D54B">
        <w:rPr>
          <w:rFonts w:asciiTheme="majorHAnsi" w:eastAsia="Times New Roman" w:hAnsiTheme="majorHAnsi" w:cstheme="majorBidi"/>
          <w:lang w:eastAsia="en-US"/>
        </w:rPr>
        <w:t>s, field staff and management of 2 partner companies in 4 districts in Central and East Java during the last semester. After discussi</w:t>
      </w:r>
      <w:r w:rsidR="00DA0F50" w:rsidRPr="5583D54B">
        <w:rPr>
          <w:rFonts w:asciiTheme="majorHAnsi" w:eastAsia="Times New Roman" w:hAnsiTheme="majorHAnsi" w:cstheme="majorBidi"/>
          <w:lang w:eastAsia="en-US"/>
        </w:rPr>
        <w:t>ons</w:t>
      </w:r>
      <w:r w:rsidRPr="5583D54B">
        <w:rPr>
          <w:rFonts w:asciiTheme="majorHAnsi" w:eastAsia="Times New Roman" w:hAnsiTheme="majorHAnsi" w:cstheme="majorBidi"/>
          <w:lang w:eastAsia="en-US"/>
        </w:rPr>
        <w:t xml:space="preserve"> with DFAT, PRISMA will conduct a workshop for interested private sector partners to orient them on the basics of gender</w:t>
      </w:r>
      <w:r w:rsidR="00DA0F50" w:rsidRPr="5583D54B">
        <w:rPr>
          <w:rFonts w:asciiTheme="majorHAnsi" w:eastAsia="Times New Roman" w:hAnsiTheme="majorHAnsi" w:cstheme="majorBidi"/>
          <w:lang w:eastAsia="en-US"/>
        </w:rPr>
        <w:t>-</w:t>
      </w:r>
      <w:r w:rsidRPr="5583D54B">
        <w:rPr>
          <w:rFonts w:asciiTheme="majorHAnsi" w:eastAsia="Times New Roman" w:hAnsiTheme="majorHAnsi" w:cstheme="majorBidi"/>
          <w:lang w:eastAsia="en-US"/>
        </w:rPr>
        <w:t xml:space="preserve">based violence in agriculture, mitigation and response strategies. </w:t>
      </w:r>
    </w:p>
    <w:p w14:paraId="59A08146" w14:textId="77777777" w:rsidR="008C05F3" w:rsidRDefault="008C05F3" w:rsidP="00FC7DB8">
      <w:pPr>
        <w:spacing w:before="60" w:after="120" w:line="264" w:lineRule="auto"/>
        <w:jc w:val="both"/>
        <w:rPr>
          <w:rFonts w:asciiTheme="majorHAnsi" w:eastAsia="Times New Roman" w:hAnsiTheme="majorHAnsi" w:cstheme="majorHAnsi"/>
          <w:lang w:eastAsia="en-US"/>
        </w:rPr>
      </w:pPr>
    </w:p>
    <w:p w14:paraId="64DA30C9" w14:textId="77777777" w:rsidR="00FC7DB8" w:rsidRPr="00C64064" w:rsidRDefault="00FC7DB8" w:rsidP="00872CA6">
      <w:pPr>
        <w:keepNext/>
        <w:keepLines/>
        <w:suppressAutoHyphens/>
        <w:spacing w:before="220" w:after="220" w:line="264" w:lineRule="auto"/>
        <w:jc w:val="both"/>
        <w:outlineLvl w:val="3"/>
        <w:rPr>
          <w:rFonts w:asciiTheme="majorHAnsi" w:eastAsia="Arial" w:hAnsiTheme="majorHAnsi" w:cstheme="majorHAnsi"/>
          <w:b/>
          <w:i/>
          <w:lang w:eastAsia="en-US"/>
        </w:rPr>
      </w:pPr>
      <w:r w:rsidRPr="00C64064">
        <w:rPr>
          <w:rFonts w:asciiTheme="majorHAnsi" w:eastAsia="Arial" w:hAnsiTheme="majorHAnsi" w:cstheme="majorHAnsi"/>
          <w:b/>
          <w:i/>
          <w:lang w:eastAsia="en-US"/>
        </w:rPr>
        <w:lastRenderedPageBreak/>
        <w:t>Report on understanding</w:t>
      </w:r>
      <w:r w:rsidRPr="00C64064">
        <w:rPr>
          <w:rFonts w:asciiTheme="majorHAnsi" w:eastAsia="Arial" w:hAnsiTheme="majorHAnsi" w:cstheme="majorHAnsi"/>
          <w:b/>
          <w:bCs/>
          <w:i/>
          <w:lang w:eastAsia="en-US"/>
        </w:rPr>
        <w:t xml:space="preserve"> gender </w:t>
      </w:r>
      <w:r w:rsidRPr="00C64064">
        <w:rPr>
          <w:rFonts w:asciiTheme="majorHAnsi" w:eastAsia="Arial" w:hAnsiTheme="majorHAnsi" w:cstheme="majorHAnsi"/>
          <w:b/>
          <w:i/>
          <w:lang w:eastAsia="en-US"/>
        </w:rPr>
        <w:t>dynamics in kiosk management</w:t>
      </w:r>
    </w:p>
    <w:p w14:paraId="218E8A0E" w14:textId="52F94186" w:rsidR="00FC7DB8" w:rsidRPr="00C64064" w:rsidRDefault="00FC7DB8" w:rsidP="5583D54B">
      <w:pPr>
        <w:keepNext/>
        <w:keepLines/>
        <w:suppressAutoHyphens/>
        <w:spacing w:after="0" w:line="240" w:lineRule="auto"/>
        <w:jc w:val="both"/>
        <w:outlineLvl w:val="3"/>
        <w:rPr>
          <w:rFonts w:asciiTheme="majorHAnsi" w:eastAsia="Times New Roman" w:hAnsiTheme="majorHAnsi" w:cstheme="majorBidi"/>
          <w:lang w:eastAsia="en-US"/>
        </w:rPr>
      </w:pPr>
      <w:r w:rsidRPr="5583D54B">
        <w:rPr>
          <w:rFonts w:asciiTheme="majorHAnsi" w:eastAsia="Times New Roman" w:hAnsiTheme="majorHAnsi" w:cstheme="majorBidi"/>
          <w:lang w:eastAsia="en-US"/>
        </w:rPr>
        <w:t xml:space="preserve">PRISMA has </w:t>
      </w:r>
      <w:r w:rsidRPr="00AA099E">
        <w:rPr>
          <w:rFonts w:asciiTheme="majorHAnsi" w:eastAsia="Times New Roman" w:hAnsiTheme="majorHAnsi" w:cstheme="majorBidi"/>
          <w:lang w:eastAsia="en-US"/>
        </w:rPr>
        <w:t xml:space="preserve">finalised the report on understanding gender dynamics within kiosks and the potential commercial implications. </w:t>
      </w:r>
      <w:r w:rsidR="002B757F" w:rsidRPr="00AA099E">
        <w:rPr>
          <w:rFonts w:asciiTheme="majorHAnsi" w:eastAsia="Times New Roman" w:hAnsiTheme="majorHAnsi" w:cstheme="majorBidi"/>
          <w:lang w:eastAsia="en-US"/>
        </w:rPr>
        <w:t xml:space="preserve">Through a gender lens, this research demystified the roles and responsibilities of the agricultural kiosk as indispensable parts in farming communities. The research also identified overlooked business opportunities to help agri-businesses design cost-effective outreach, marketing, and extension activities. </w:t>
      </w:r>
      <w:r w:rsidRPr="00AA099E">
        <w:rPr>
          <w:rFonts w:asciiTheme="majorHAnsi" w:eastAsia="Times New Roman" w:hAnsiTheme="majorHAnsi" w:cstheme="majorBidi"/>
          <w:lang w:eastAsia="en-US"/>
        </w:rPr>
        <w:t>PRISMA will share the Indonesia</w:t>
      </w:r>
      <w:r w:rsidR="00DA0F50" w:rsidRPr="00AA099E">
        <w:rPr>
          <w:rFonts w:asciiTheme="majorHAnsi" w:eastAsia="Times New Roman" w:hAnsiTheme="majorHAnsi" w:cstheme="majorBidi"/>
          <w:lang w:eastAsia="en-US"/>
        </w:rPr>
        <w:t>n</w:t>
      </w:r>
      <w:r w:rsidRPr="00AA099E">
        <w:rPr>
          <w:rFonts w:asciiTheme="majorHAnsi" w:eastAsia="Times New Roman" w:hAnsiTheme="majorHAnsi" w:cstheme="majorBidi"/>
          <w:lang w:eastAsia="en-US"/>
        </w:rPr>
        <w:t xml:space="preserve"> version of the document with its private sector partners via email and during relevant</w:t>
      </w:r>
      <w:r w:rsidRPr="5583D54B">
        <w:rPr>
          <w:rFonts w:asciiTheme="majorHAnsi" w:eastAsia="Times New Roman" w:hAnsiTheme="majorHAnsi" w:cstheme="majorBidi"/>
          <w:lang w:eastAsia="en-US"/>
        </w:rPr>
        <w:t xml:space="preserve"> workshops organised by different sector teams.  </w:t>
      </w:r>
    </w:p>
    <w:p w14:paraId="7452F84D" w14:textId="256AD076" w:rsidR="00FC7DB8" w:rsidRPr="00C64064" w:rsidRDefault="00FC7DB8" w:rsidP="5583D54B">
      <w:pPr>
        <w:keepNext/>
        <w:keepLines/>
        <w:suppressAutoHyphens/>
        <w:spacing w:before="220" w:after="220" w:line="264" w:lineRule="auto"/>
        <w:ind w:left="851" w:hanging="851"/>
        <w:jc w:val="both"/>
        <w:outlineLvl w:val="3"/>
        <w:rPr>
          <w:rFonts w:asciiTheme="majorHAnsi" w:eastAsia="Arial" w:hAnsiTheme="majorHAnsi" w:cstheme="majorBidi"/>
          <w:b/>
          <w:bCs/>
          <w:i/>
          <w:iCs/>
          <w:lang w:eastAsia="en-US"/>
        </w:rPr>
      </w:pPr>
      <w:r w:rsidRPr="5583D54B">
        <w:rPr>
          <w:rFonts w:asciiTheme="majorHAnsi" w:eastAsia="Arial" w:hAnsiTheme="majorHAnsi" w:cstheme="majorBidi"/>
          <w:b/>
          <w:bCs/>
          <w:i/>
          <w:iCs/>
          <w:lang w:eastAsia="en-US"/>
        </w:rPr>
        <w:t xml:space="preserve">Research on </w:t>
      </w:r>
      <w:r w:rsidR="00DA0F50" w:rsidRPr="5583D54B">
        <w:rPr>
          <w:rFonts w:asciiTheme="majorHAnsi" w:eastAsia="Arial" w:hAnsiTheme="majorHAnsi" w:cstheme="majorBidi"/>
          <w:b/>
          <w:bCs/>
          <w:i/>
          <w:iCs/>
          <w:lang w:eastAsia="en-US"/>
        </w:rPr>
        <w:t>r</w:t>
      </w:r>
      <w:r w:rsidRPr="5583D54B">
        <w:rPr>
          <w:rFonts w:asciiTheme="majorHAnsi" w:eastAsia="Arial" w:hAnsiTheme="majorHAnsi" w:cstheme="majorBidi"/>
          <w:b/>
          <w:bCs/>
          <w:i/>
          <w:iCs/>
          <w:lang w:eastAsia="en-US"/>
        </w:rPr>
        <w:t xml:space="preserve">eturn on </w:t>
      </w:r>
      <w:r w:rsidR="00DA0F50" w:rsidRPr="5583D54B">
        <w:rPr>
          <w:rFonts w:asciiTheme="majorHAnsi" w:eastAsia="Arial" w:hAnsiTheme="majorHAnsi" w:cstheme="majorBidi"/>
          <w:b/>
          <w:bCs/>
          <w:i/>
          <w:iCs/>
          <w:lang w:eastAsia="en-US"/>
        </w:rPr>
        <w:t>i</w:t>
      </w:r>
      <w:r w:rsidRPr="5583D54B">
        <w:rPr>
          <w:rFonts w:asciiTheme="majorHAnsi" w:eastAsia="Arial" w:hAnsiTheme="majorHAnsi" w:cstheme="majorBidi"/>
          <w:b/>
          <w:bCs/>
          <w:i/>
          <w:iCs/>
          <w:lang w:eastAsia="en-US"/>
        </w:rPr>
        <w:t xml:space="preserve">nvestment </w:t>
      </w:r>
      <w:r w:rsidR="00DA0F50" w:rsidRPr="5583D54B">
        <w:rPr>
          <w:rFonts w:asciiTheme="majorHAnsi" w:eastAsia="Arial" w:hAnsiTheme="majorHAnsi" w:cstheme="majorBidi"/>
          <w:b/>
          <w:bCs/>
          <w:i/>
          <w:iCs/>
          <w:lang w:eastAsia="en-US"/>
        </w:rPr>
        <w:t>i</w:t>
      </w:r>
      <w:r w:rsidRPr="5583D54B">
        <w:rPr>
          <w:rFonts w:asciiTheme="majorHAnsi" w:eastAsia="Arial" w:hAnsiTheme="majorHAnsi" w:cstheme="majorBidi"/>
          <w:b/>
          <w:bCs/>
          <w:i/>
          <w:iCs/>
          <w:lang w:eastAsia="en-US"/>
        </w:rPr>
        <w:t>n women-inclusive business practices</w:t>
      </w:r>
    </w:p>
    <w:p w14:paraId="2E0C8B2C" w14:textId="4F4B8468" w:rsidR="00FC7DB8" w:rsidRPr="00C64064" w:rsidRDefault="00FC7DB8" w:rsidP="00FC7DB8">
      <w:pPr>
        <w:keepNext/>
        <w:keepLines/>
        <w:suppressAutoHyphens/>
        <w:spacing w:before="220" w:after="220" w:line="264" w:lineRule="auto"/>
        <w:jc w:val="both"/>
        <w:outlineLvl w:val="3"/>
        <w:rPr>
          <w:rFonts w:asciiTheme="majorHAnsi" w:eastAsiaTheme="majorEastAsia" w:hAnsiTheme="majorHAnsi" w:cstheme="majorHAnsi"/>
          <w:bCs/>
          <w:lang w:eastAsia="en-US"/>
        </w:rPr>
      </w:pPr>
      <w:r w:rsidRPr="00C64064">
        <w:rPr>
          <w:rFonts w:asciiTheme="majorHAnsi" w:eastAsia="Times New Roman" w:hAnsiTheme="majorHAnsi" w:cstheme="majorHAnsi"/>
          <w:bCs/>
          <w:lang w:eastAsia="en-US"/>
        </w:rPr>
        <w:t xml:space="preserve">PRISMA has commissioned Daya Makara - University of Indonesia (DM-UI) to conduct research on </w:t>
      </w:r>
      <w:r w:rsidR="00434B38" w:rsidRPr="00C64064">
        <w:rPr>
          <w:rFonts w:asciiTheme="majorHAnsi" w:eastAsia="Times New Roman" w:hAnsiTheme="majorHAnsi" w:cstheme="majorHAnsi"/>
          <w:bCs/>
          <w:lang w:eastAsia="en-US"/>
        </w:rPr>
        <w:t>w</w:t>
      </w:r>
      <w:r w:rsidRPr="00C64064">
        <w:rPr>
          <w:rFonts w:asciiTheme="majorHAnsi" w:eastAsia="Times New Roman" w:hAnsiTheme="majorHAnsi" w:cstheme="majorHAnsi"/>
          <w:bCs/>
          <w:lang w:eastAsia="en-US"/>
        </w:rPr>
        <w:t>omen</w:t>
      </w:r>
      <w:r w:rsidR="00434B38" w:rsidRPr="00C64064">
        <w:rPr>
          <w:rFonts w:asciiTheme="majorHAnsi" w:eastAsia="Times New Roman" w:hAnsiTheme="majorHAnsi" w:cstheme="majorHAnsi"/>
          <w:bCs/>
          <w:lang w:eastAsia="en-US"/>
        </w:rPr>
        <w:t>-i</w:t>
      </w:r>
      <w:r w:rsidRPr="00C64064">
        <w:rPr>
          <w:rFonts w:asciiTheme="majorHAnsi" w:eastAsia="Times New Roman" w:hAnsiTheme="majorHAnsi" w:cstheme="majorHAnsi"/>
          <w:bCs/>
          <w:lang w:eastAsia="en-US"/>
        </w:rPr>
        <w:t xml:space="preserve">nclusive </w:t>
      </w:r>
      <w:r w:rsidR="00434B38" w:rsidRPr="00C64064">
        <w:rPr>
          <w:rFonts w:asciiTheme="majorHAnsi" w:eastAsia="Times New Roman" w:hAnsiTheme="majorHAnsi" w:cstheme="majorHAnsi"/>
          <w:bCs/>
          <w:lang w:eastAsia="en-US"/>
        </w:rPr>
        <w:t>r</w:t>
      </w:r>
      <w:r w:rsidRPr="00C64064">
        <w:rPr>
          <w:rFonts w:asciiTheme="majorHAnsi" w:eastAsia="Times New Roman" w:hAnsiTheme="majorHAnsi" w:cstheme="majorHAnsi"/>
          <w:bCs/>
          <w:lang w:eastAsia="en-US"/>
        </w:rPr>
        <w:t xml:space="preserve">eturn on </w:t>
      </w:r>
      <w:r w:rsidR="00434B38" w:rsidRPr="00C64064">
        <w:rPr>
          <w:rFonts w:asciiTheme="majorHAnsi" w:eastAsia="Times New Roman" w:hAnsiTheme="majorHAnsi" w:cstheme="majorHAnsi"/>
          <w:bCs/>
          <w:lang w:eastAsia="en-US"/>
        </w:rPr>
        <w:t>i</w:t>
      </w:r>
      <w:r w:rsidRPr="00C64064">
        <w:rPr>
          <w:rFonts w:asciiTheme="majorHAnsi" w:eastAsia="Times New Roman" w:hAnsiTheme="majorHAnsi" w:cstheme="majorHAnsi"/>
          <w:bCs/>
          <w:lang w:eastAsia="en-US"/>
        </w:rPr>
        <w:t>nvestment (WI</w:t>
      </w:r>
      <w:r w:rsidR="00434B38" w:rsidRPr="00C64064">
        <w:rPr>
          <w:rFonts w:asciiTheme="majorHAnsi" w:eastAsia="Times New Roman" w:hAnsiTheme="majorHAnsi" w:cstheme="majorHAnsi"/>
          <w:bCs/>
          <w:lang w:eastAsia="en-US"/>
        </w:rPr>
        <w:t>-</w:t>
      </w:r>
      <w:r w:rsidRPr="00C64064">
        <w:rPr>
          <w:rFonts w:asciiTheme="majorHAnsi" w:eastAsia="Times New Roman" w:hAnsiTheme="majorHAnsi" w:cstheme="majorHAnsi"/>
          <w:bCs/>
          <w:lang w:eastAsia="en-US"/>
        </w:rPr>
        <w:t xml:space="preserve">ROI). The research </w:t>
      </w:r>
      <w:r w:rsidR="00AD1C24" w:rsidRPr="00C64064">
        <w:rPr>
          <w:rFonts w:asciiTheme="majorHAnsi" w:eastAsia="Times New Roman" w:hAnsiTheme="majorHAnsi" w:cstheme="majorHAnsi"/>
          <w:bCs/>
          <w:lang w:eastAsia="en-US"/>
        </w:rPr>
        <w:t>aim</w:t>
      </w:r>
      <w:r w:rsidRPr="00C64064">
        <w:rPr>
          <w:rFonts w:asciiTheme="majorHAnsi" w:eastAsia="Times New Roman" w:hAnsiTheme="majorHAnsi" w:cstheme="majorHAnsi"/>
          <w:bCs/>
          <w:lang w:eastAsia="en-US"/>
        </w:rPr>
        <w:t xml:space="preserve">s to determine if private sector partners experience </w:t>
      </w:r>
      <w:r w:rsidR="00434B38" w:rsidRPr="00C64064">
        <w:rPr>
          <w:rFonts w:asciiTheme="majorHAnsi" w:eastAsia="Times New Roman" w:hAnsiTheme="majorHAnsi" w:cstheme="majorHAnsi"/>
          <w:bCs/>
          <w:lang w:eastAsia="en-US"/>
        </w:rPr>
        <w:t xml:space="preserve">a </w:t>
      </w:r>
      <w:r w:rsidRPr="00C64064">
        <w:rPr>
          <w:rFonts w:asciiTheme="majorHAnsi" w:eastAsia="Times New Roman" w:hAnsiTheme="majorHAnsi" w:cstheme="majorHAnsi"/>
          <w:bCs/>
          <w:lang w:eastAsia="en-US"/>
        </w:rPr>
        <w:t xml:space="preserve">positive return on their investment </w:t>
      </w:r>
      <w:r w:rsidR="00434B38" w:rsidRPr="00C64064">
        <w:rPr>
          <w:rFonts w:asciiTheme="majorHAnsi" w:eastAsia="Times New Roman" w:hAnsiTheme="majorHAnsi" w:cstheme="majorHAnsi"/>
          <w:bCs/>
          <w:lang w:eastAsia="en-US"/>
        </w:rPr>
        <w:t>by</w:t>
      </w:r>
      <w:r w:rsidRPr="00C64064">
        <w:rPr>
          <w:rFonts w:asciiTheme="majorHAnsi" w:eastAsia="Times New Roman" w:hAnsiTheme="majorHAnsi" w:cstheme="majorHAnsi"/>
          <w:bCs/>
          <w:lang w:eastAsia="en-US"/>
        </w:rPr>
        <w:t xml:space="preserve"> trialling or adopting women</w:t>
      </w:r>
      <w:r w:rsidR="00434B38" w:rsidRPr="00C64064">
        <w:rPr>
          <w:rFonts w:asciiTheme="majorHAnsi" w:eastAsia="Times New Roman" w:hAnsiTheme="majorHAnsi" w:cstheme="majorHAnsi"/>
          <w:bCs/>
          <w:lang w:eastAsia="en-US"/>
        </w:rPr>
        <w:t>-i</w:t>
      </w:r>
      <w:r w:rsidRPr="00C64064">
        <w:rPr>
          <w:rFonts w:asciiTheme="majorHAnsi" w:eastAsia="Times New Roman" w:hAnsiTheme="majorHAnsi" w:cstheme="majorHAnsi"/>
          <w:bCs/>
          <w:lang w:eastAsia="en-US"/>
        </w:rPr>
        <w:t xml:space="preserve">nclusive business practices, such as </w:t>
      </w:r>
      <w:r w:rsidR="0062337E" w:rsidRPr="00C64064">
        <w:rPr>
          <w:rFonts w:asciiTheme="majorHAnsi" w:eastAsia="Times New Roman" w:hAnsiTheme="majorHAnsi" w:cstheme="majorHAnsi"/>
          <w:bCs/>
          <w:lang w:eastAsia="en-US"/>
        </w:rPr>
        <w:t xml:space="preserve">holding </w:t>
      </w:r>
      <w:r w:rsidRPr="00C64064">
        <w:rPr>
          <w:rFonts w:asciiTheme="majorHAnsi" w:eastAsia="Times New Roman" w:hAnsiTheme="majorHAnsi" w:cstheme="majorHAnsi"/>
          <w:bCs/>
          <w:lang w:eastAsia="en-US"/>
        </w:rPr>
        <w:t>women</w:t>
      </w:r>
      <w:r w:rsidR="00434B38" w:rsidRPr="00C64064">
        <w:rPr>
          <w:rFonts w:asciiTheme="majorHAnsi" w:eastAsia="Times New Roman" w:hAnsiTheme="majorHAnsi" w:cstheme="majorHAnsi"/>
          <w:bCs/>
          <w:lang w:eastAsia="en-US"/>
        </w:rPr>
        <w:t xml:space="preserve"> </w:t>
      </w:r>
      <w:r w:rsidRPr="00C64064">
        <w:rPr>
          <w:rFonts w:asciiTheme="majorHAnsi" w:eastAsia="Times New Roman" w:hAnsiTheme="majorHAnsi" w:cstheme="majorHAnsi"/>
          <w:bCs/>
          <w:lang w:eastAsia="en-US"/>
        </w:rPr>
        <w:t xml:space="preserve">farmers’ meetings. The research will survey 2 companies from </w:t>
      </w:r>
      <w:r w:rsidR="0062337E" w:rsidRPr="00C64064">
        <w:rPr>
          <w:rFonts w:asciiTheme="majorHAnsi" w:eastAsia="Times New Roman" w:hAnsiTheme="majorHAnsi" w:cstheme="majorHAnsi"/>
          <w:bCs/>
          <w:lang w:eastAsia="en-US"/>
        </w:rPr>
        <w:t xml:space="preserve">the </w:t>
      </w:r>
      <w:r w:rsidRPr="00C64064">
        <w:rPr>
          <w:rFonts w:asciiTheme="majorHAnsi" w:eastAsia="Times New Roman" w:hAnsiTheme="majorHAnsi" w:cstheme="majorHAnsi"/>
          <w:lang w:eastAsia="en-US"/>
        </w:rPr>
        <w:t>maize and dairy</w:t>
      </w:r>
      <w:r w:rsidRPr="00C64064">
        <w:rPr>
          <w:rFonts w:asciiTheme="majorHAnsi" w:eastAsia="Times New Roman" w:hAnsiTheme="majorHAnsi" w:cstheme="majorHAnsi"/>
          <w:bCs/>
          <w:lang w:eastAsia="en-US"/>
        </w:rPr>
        <w:t xml:space="preserve"> sectors and cover in-depth interviews</w:t>
      </w:r>
      <w:r w:rsidRPr="00C64064">
        <w:rPr>
          <w:rFonts w:asciiTheme="majorHAnsi" w:eastAsia="Times New Roman" w:hAnsiTheme="majorHAnsi" w:cstheme="majorHAnsi"/>
          <w:lang w:eastAsia="en-US"/>
        </w:rPr>
        <w:t>,</w:t>
      </w:r>
      <w:r w:rsidRPr="00C64064">
        <w:rPr>
          <w:rFonts w:asciiTheme="majorHAnsi" w:eastAsia="Times New Roman" w:hAnsiTheme="majorHAnsi" w:cstheme="majorHAnsi"/>
          <w:bCs/>
          <w:lang w:eastAsia="en-US"/>
        </w:rPr>
        <w:t xml:space="preserve"> FGDs, and surveys with representative</w:t>
      </w:r>
      <w:r w:rsidR="0062337E" w:rsidRPr="00C64064">
        <w:rPr>
          <w:rFonts w:asciiTheme="majorHAnsi" w:eastAsia="Times New Roman" w:hAnsiTheme="majorHAnsi" w:cstheme="majorHAnsi"/>
          <w:bCs/>
          <w:lang w:eastAsia="en-US"/>
        </w:rPr>
        <w:t>s</w:t>
      </w:r>
      <w:r w:rsidRPr="00C64064">
        <w:rPr>
          <w:rFonts w:asciiTheme="majorHAnsi" w:eastAsia="Times New Roman" w:hAnsiTheme="majorHAnsi" w:cstheme="majorHAnsi"/>
          <w:bCs/>
          <w:lang w:eastAsia="en-US"/>
        </w:rPr>
        <w:t xml:space="preserve"> </w:t>
      </w:r>
      <w:r w:rsidR="0062337E" w:rsidRPr="00C64064">
        <w:rPr>
          <w:rFonts w:asciiTheme="majorHAnsi" w:eastAsia="Times New Roman" w:hAnsiTheme="majorHAnsi" w:cstheme="majorHAnsi"/>
          <w:bCs/>
          <w:lang w:eastAsia="en-US"/>
        </w:rPr>
        <w:t>from</w:t>
      </w:r>
      <w:r w:rsidRPr="00C64064">
        <w:rPr>
          <w:rFonts w:asciiTheme="majorHAnsi" w:eastAsia="Times New Roman" w:hAnsiTheme="majorHAnsi" w:cstheme="majorHAnsi"/>
          <w:bCs/>
          <w:lang w:eastAsia="en-US"/>
        </w:rPr>
        <w:t xml:space="preserve"> the companies, farmers, and </w:t>
      </w:r>
      <w:r w:rsidRPr="00C64064">
        <w:rPr>
          <w:rFonts w:asciiTheme="majorHAnsi" w:eastAsia="Times New Roman" w:hAnsiTheme="majorHAnsi" w:cstheme="majorHAnsi"/>
          <w:lang w:eastAsia="en-US"/>
        </w:rPr>
        <w:t>company field</w:t>
      </w:r>
      <w:r w:rsidRPr="00C64064">
        <w:rPr>
          <w:rFonts w:asciiTheme="majorHAnsi" w:eastAsia="Times New Roman" w:hAnsiTheme="majorHAnsi" w:cstheme="majorHAnsi"/>
          <w:bCs/>
          <w:lang w:eastAsia="en-US"/>
        </w:rPr>
        <w:t xml:space="preserve"> agents. </w:t>
      </w:r>
      <w:r w:rsidR="00C37A8F" w:rsidRPr="00C37A8F">
        <w:rPr>
          <w:rFonts w:asciiTheme="majorHAnsi" w:eastAsia="Times New Roman" w:hAnsiTheme="majorHAnsi" w:cstheme="majorHAnsi"/>
          <w:bCs/>
          <w:lang w:eastAsia="en-US"/>
        </w:rPr>
        <w:t xml:space="preserve">The research findings will be finalised in August and published </w:t>
      </w:r>
      <w:r w:rsidR="00B20D40">
        <w:rPr>
          <w:rFonts w:asciiTheme="majorHAnsi" w:eastAsia="Times New Roman" w:hAnsiTheme="majorHAnsi" w:cstheme="majorHAnsi"/>
          <w:bCs/>
          <w:lang w:eastAsia="en-US"/>
        </w:rPr>
        <w:t>o</w:t>
      </w:r>
      <w:r w:rsidR="00C37A8F" w:rsidRPr="00C37A8F">
        <w:rPr>
          <w:rFonts w:asciiTheme="majorHAnsi" w:eastAsia="Times New Roman" w:hAnsiTheme="majorHAnsi" w:cstheme="majorHAnsi"/>
          <w:bCs/>
          <w:lang w:eastAsia="en-US"/>
        </w:rPr>
        <w:t xml:space="preserve">n the website upon DFAT's approval. </w:t>
      </w:r>
    </w:p>
    <w:p w14:paraId="3243F1B9" w14:textId="755A44A7" w:rsidR="00FC7DB8" w:rsidRPr="00C64064" w:rsidRDefault="00FC7DB8" w:rsidP="00FC7DB8">
      <w:pPr>
        <w:keepNext/>
        <w:keepLines/>
        <w:suppressAutoHyphens/>
        <w:spacing w:before="220" w:after="220" w:line="264" w:lineRule="auto"/>
        <w:ind w:left="851" w:hanging="851"/>
        <w:jc w:val="both"/>
        <w:outlineLvl w:val="3"/>
        <w:rPr>
          <w:rFonts w:asciiTheme="majorHAnsi" w:eastAsia="Arial" w:hAnsiTheme="majorHAnsi" w:cstheme="majorHAnsi"/>
          <w:i/>
          <w:lang w:eastAsia="en-US"/>
        </w:rPr>
      </w:pPr>
      <w:r w:rsidRPr="00C64064">
        <w:rPr>
          <w:rFonts w:asciiTheme="majorHAnsi" w:eastAsia="Arial" w:hAnsiTheme="majorHAnsi" w:cstheme="majorHAnsi"/>
          <w:b/>
          <w:bCs/>
          <w:i/>
          <w:lang w:eastAsia="en-US"/>
        </w:rPr>
        <w:t xml:space="preserve">National seminar on </w:t>
      </w:r>
      <w:r w:rsidRPr="00C64064">
        <w:rPr>
          <w:rFonts w:asciiTheme="majorHAnsi" w:eastAsia="Arial" w:hAnsiTheme="majorHAnsi" w:cstheme="majorHAnsi"/>
          <w:b/>
          <w:i/>
          <w:lang w:eastAsia="en-US"/>
        </w:rPr>
        <w:t>w</w:t>
      </w:r>
      <w:r w:rsidRPr="00C64064">
        <w:rPr>
          <w:rFonts w:asciiTheme="majorHAnsi" w:eastAsia="Arial" w:hAnsiTheme="majorHAnsi" w:cstheme="majorHAnsi"/>
          <w:b/>
          <w:bCs/>
          <w:i/>
          <w:lang w:eastAsia="en-US"/>
        </w:rPr>
        <w:t>omen</w:t>
      </w:r>
      <w:r w:rsidR="0062337E" w:rsidRPr="00C64064">
        <w:rPr>
          <w:rFonts w:asciiTheme="majorHAnsi" w:eastAsia="Arial" w:hAnsiTheme="majorHAnsi" w:cstheme="majorHAnsi"/>
          <w:b/>
          <w:bCs/>
          <w:i/>
          <w:lang w:eastAsia="en-US"/>
        </w:rPr>
        <w:t>-</w:t>
      </w:r>
      <w:r w:rsidRPr="00C64064">
        <w:rPr>
          <w:rFonts w:asciiTheme="majorHAnsi" w:eastAsia="Arial" w:hAnsiTheme="majorHAnsi" w:cstheme="majorHAnsi"/>
          <w:b/>
          <w:i/>
          <w:lang w:eastAsia="en-US"/>
        </w:rPr>
        <w:t>inclusive business practices in agriculture</w:t>
      </w:r>
    </w:p>
    <w:p w14:paraId="16197E34" w14:textId="1D835664" w:rsidR="00F855C2" w:rsidRPr="00C64064" w:rsidRDefault="00FC7DB8" w:rsidP="00FC7DB8">
      <w:pPr>
        <w:keepNext/>
        <w:keepLines/>
        <w:suppressAutoHyphens/>
        <w:spacing w:before="220" w:after="220" w:line="264" w:lineRule="auto"/>
        <w:jc w:val="both"/>
        <w:outlineLvl w:val="3"/>
        <w:rPr>
          <w:rFonts w:asciiTheme="majorHAnsi" w:eastAsia="Times New Roman" w:hAnsiTheme="majorHAnsi" w:cstheme="majorHAnsi"/>
          <w:bCs/>
          <w:lang w:val="en-AU" w:eastAsia="en-US"/>
        </w:rPr>
      </w:pPr>
      <w:r w:rsidRPr="00C64064">
        <w:rPr>
          <w:rFonts w:asciiTheme="majorHAnsi" w:eastAsia="Arial" w:hAnsiTheme="majorHAnsi" w:cstheme="majorHAnsi"/>
          <w:bCs/>
          <w:lang w:eastAsia="en-US"/>
        </w:rPr>
        <w:t>Commemorating International Women’s Day, PRISMA conducted a business seminar, “Empowering</w:t>
      </w:r>
      <w:r w:rsidRPr="00C64064">
        <w:rPr>
          <w:rFonts w:asciiTheme="majorHAnsi" w:eastAsia="Times New Roman" w:hAnsiTheme="majorHAnsi" w:cstheme="majorHAnsi"/>
          <w:bCs/>
          <w:lang w:val="en-AU" w:eastAsia="en-US"/>
        </w:rPr>
        <w:t xml:space="preserve"> women in agriculture – opportunities for business”, in Jakarta on 7 March. Eighty</w:t>
      </w:r>
      <w:r w:rsidR="00E27701" w:rsidRPr="00C64064">
        <w:rPr>
          <w:rFonts w:asciiTheme="majorHAnsi" w:eastAsia="Times New Roman" w:hAnsiTheme="majorHAnsi" w:cstheme="majorHAnsi"/>
          <w:bCs/>
          <w:lang w:val="en-AU" w:eastAsia="en-US"/>
        </w:rPr>
        <w:t>-</w:t>
      </w:r>
      <w:r w:rsidRPr="00C64064">
        <w:rPr>
          <w:rFonts w:asciiTheme="majorHAnsi" w:eastAsia="Times New Roman" w:hAnsiTheme="majorHAnsi" w:cstheme="majorHAnsi"/>
          <w:bCs/>
          <w:lang w:val="en-AU" w:eastAsia="en-US"/>
        </w:rPr>
        <w:t xml:space="preserve">seven participants from the private sector, development organisations, and women farmers attended the event. In collaboration with Partnership for Indonesia’s Sustainable Agriculture (PISAgro), the seminar focused on addressing the pivotal role of women in agriculture, both as customers and </w:t>
      </w:r>
      <w:r w:rsidR="00150733" w:rsidRPr="00C64064">
        <w:rPr>
          <w:rFonts w:asciiTheme="majorHAnsi" w:eastAsia="Times New Roman" w:hAnsiTheme="majorHAnsi" w:cstheme="majorHAnsi"/>
          <w:bCs/>
          <w:lang w:val="en-AU" w:eastAsia="en-US"/>
        </w:rPr>
        <w:t>as staff.</w:t>
      </w:r>
    </w:p>
    <w:p w14:paraId="739D1EC5" w14:textId="2E9CFACF" w:rsidR="00FC7DB8" w:rsidRPr="00C64064" w:rsidRDefault="00FC7DB8" w:rsidP="00FC7DB8">
      <w:pPr>
        <w:keepNext/>
        <w:keepLines/>
        <w:suppressAutoHyphens/>
        <w:spacing w:before="220" w:after="220" w:line="264" w:lineRule="auto"/>
        <w:jc w:val="both"/>
        <w:outlineLvl w:val="3"/>
        <w:rPr>
          <w:rFonts w:asciiTheme="majorHAnsi" w:eastAsia="Times New Roman" w:hAnsiTheme="majorHAnsi" w:cstheme="majorHAnsi"/>
          <w:bCs/>
          <w:lang w:val="en-AU" w:eastAsia="en-US"/>
        </w:rPr>
      </w:pPr>
      <w:r w:rsidRPr="00C64064">
        <w:rPr>
          <w:rFonts w:asciiTheme="majorHAnsi" w:eastAsia="Times New Roman" w:hAnsiTheme="majorHAnsi" w:cstheme="majorHAnsi"/>
          <w:bCs/>
          <w:lang w:val="en-AU" w:eastAsia="en-US"/>
        </w:rPr>
        <w:t>Keynote presentations from the National Research and Innovation Agency (BRIN) and PRISMA highlighted the critical role of women in agriculture and business growth through adopting women-inclusive business practices. The event was also enriched with a panel discussion</w:t>
      </w:r>
      <w:r w:rsidRPr="00C64064">
        <w:rPr>
          <w:rFonts w:asciiTheme="majorHAnsi" w:eastAsia="Times New Roman" w:hAnsiTheme="majorHAnsi" w:cstheme="majorHAnsi"/>
          <w:bCs/>
          <w:iCs/>
          <w:lang w:val="en-AU" w:eastAsia="en-US"/>
        </w:rPr>
        <w:t xml:space="preserve"> with</w:t>
      </w:r>
      <w:r w:rsidRPr="00C64064">
        <w:rPr>
          <w:rFonts w:asciiTheme="majorHAnsi" w:eastAsia="Times New Roman" w:hAnsiTheme="majorHAnsi" w:cstheme="majorHAnsi"/>
          <w:bCs/>
          <w:lang w:val="en-AU" w:eastAsia="en-US"/>
        </w:rPr>
        <w:t xml:space="preserve"> 5 panellists from PRISMA’s partners </w:t>
      </w:r>
      <w:r w:rsidR="004A78A2" w:rsidRPr="00C64064">
        <w:rPr>
          <w:rFonts w:asciiTheme="majorHAnsi" w:eastAsia="Times New Roman" w:hAnsiTheme="majorHAnsi" w:cstheme="majorHAnsi"/>
          <w:bCs/>
          <w:lang w:val="en-AU" w:eastAsia="en-US"/>
        </w:rPr>
        <w:t>and a farmer,</w:t>
      </w:r>
      <w:r w:rsidR="001A35D2">
        <w:rPr>
          <w:rFonts w:asciiTheme="majorHAnsi" w:eastAsia="Times New Roman" w:hAnsiTheme="majorHAnsi" w:cstheme="majorHAnsi"/>
          <w:bCs/>
          <w:lang w:val="en-AU" w:eastAsia="en-US"/>
        </w:rPr>
        <w:t xml:space="preserve"> </w:t>
      </w:r>
      <w:r w:rsidR="004A78A2" w:rsidRPr="00C64064">
        <w:rPr>
          <w:rFonts w:asciiTheme="majorHAnsi" w:eastAsia="Times New Roman" w:hAnsiTheme="majorHAnsi" w:cstheme="majorHAnsi"/>
          <w:bCs/>
          <w:lang w:val="en-AU" w:eastAsia="en-US"/>
        </w:rPr>
        <w:t xml:space="preserve">Ibu Lasmi, representing her </w:t>
      </w:r>
      <w:r w:rsidR="00805916" w:rsidRPr="00C64064">
        <w:rPr>
          <w:rFonts w:asciiTheme="majorHAnsi" w:eastAsia="Times New Roman" w:hAnsiTheme="majorHAnsi" w:cstheme="majorHAnsi"/>
          <w:bCs/>
          <w:lang w:val="en-AU" w:eastAsia="en-US"/>
        </w:rPr>
        <w:t>farmer's group, which had benefited</w:t>
      </w:r>
      <w:r w:rsidR="00983FA0" w:rsidRPr="00C64064">
        <w:rPr>
          <w:rFonts w:asciiTheme="majorHAnsi" w:eastAsia="Times New Roman" w:hAnsiTheme="majorHAnsi" w:cstheme="majorHAnsi"/>
          <w:bCs/>
          <w:lang w:val="en-AU" w:eastAsia="en-US"/>
        </w:rPr>
        <w:t xml:space="preserve"> from a loan from PRISMA partner and finance institution, </w:t>
      </w:r>
      <w:r w:rsidR="00CE4BBC" w:rsidRPr="00C64064">
        <w:rPr>
          <w:rFonts w:asciiTheme="majorHAnsi" w:eastAsia="Times New Roman" w:hAnsiTheme="majorHAnsi" w:cstheme="majorHAnsi"/>
          <w:bCs/>
          <w:lang w:val="en-AU" w:eastAsia="en-US"/>
        </w:rPr>
        <w:t>Pemodalan Nasional Madani (</w:t>
      </w:r>
      <w:r w:rsidR="00983FA0" w:rsidRPr="00C64064">
        <w:rPr>
          <w:rFonts w:asciiTheme="majorHAnsi" w:eastAsia="Times New Roman" w:hAnsiTheme="majorHAnsi" w:cstheme="majorHAnsi"/>
          <w:bCs/>
          <w:lang w:val="en-AU" w:eastAsia="en-US"/>
        </w:rPr>
        <w:t>PNM</w:t>
      </w:r>
      <w:r w:rsidR="00CE4BBC" w:rsidRPr="00C64064">
        <w:rPr>
          <w:rFonts w:asciiTheme="majorHAnsi" w:eastAsia="Times New Roman" w:hAnsiTheme="majorHAnsi" w:cstheme="majorHAnsi"/>
          <w:bCs/>
          <w:lang w:val="en-AU" w:eastAsia="en-US"/>
        </w:rPr>
        <w:t>)</w:t>
      </w:r>
      <w:r w:rsidR="00983FA0" w:rsidRPr="00C64064">
        <w:rPr>
          <w:rFonts w:asciiTheme="majorHAnsi" w:eastAsia="Times New Roman" w:hAnsiTheme="majorHAnsi" w:cstheme="majorHAnsi"/>
          <w:bCs/>
          <w:lang w:val="en-AU" w:eastAsia="en-US"/>
        </w:rPr>
        <w:t xml:space="preserve">. </w:t>
      </w:r>
      <w:r w:rsidRPr="00C64064">
        <w:rPr>
          <w:rFonts w:asciiTheme="majorHAnsi" w:eastAsia="Times New Roman" w:hAnsiTheme="majorHAnsi" w:cstheme="majorHAnsi"/>
          <w:bCs/>
          <w:lang w:val="en-AU" w:eastAsia="en-US"/>
        </w:rPr>
        <w:t xml:space="preserve">PISAgro’s members </w:t>
      </w:r>
      <w:r w:rsidR="00983FA0" w:rsidRPr="00C64064">
        <w:rPr>
          <w:rFonts w:asciiTheme="majorHAnsi" w:eastAsia="Times New Roman" w:hAnsiTheme="majorHAnsi" w:cstheme="majorHAnsi"/>
          <w:bCs/>
          <w:lang w:val="en-AU" w:eastAsia="en-US"/>
        </w:rPr>
        <w:t xml:space="preserve">and farmer representatives also </w:t>
      </w:r>
      <w:r w:rsidRPr="00C64064">
        <w:rPr>
          <w:rFonts w:asciiTheme="majorHAnsi" w:eastAsia="Times New Roman" w:hAnsiTheme="majorHAnsi" w:cstheme="majorHAnsi"/>
          <w:bCs/>
          <w:lang w:val="en-AU" w:eastAsia="en-US"/>
        </w:rPr>
        <w:t>share</w:t>
      </w:r>
      <w:r w:rsidR="00805916" w:rsidRPr="00C64064">
        <w:rPr>
          <w:rFonts w:asciiTheme="majorHAnsi" w:eastAsia="Times New Roman" w:hAnsiTheme="majorHAnsi" w:cstheme="majorHAnsi"/>
          <w:bCs/>
          <w:lang w:val="en-AU" w:eastAsia="en-US"/>
        </w:rPr>
        <w:t>d</w:t>
      </w:r>
      <w:r w:rsidRPr="00C64064">
        <w:rPr>
          <w:rFonts w:asciiTheme="majorHAnsi" w:eastAsia="Times New Roman" w:hAnsiTheme="majorHAnsi" w:cstheme="majorHAnsi"/>
          <w:bCs/>
          <w:lang w:val="en-AU" w:eastAsia="en-US"/>
        </w:rPr>
        <w:t xml:space="preserve"> their experiences </w:t>
      </w:r>
      <w:r w:rsidR="00AD1C24" w:rsidRPr="00C64064">
        <w:rPr>
          <w:rFonts w:asciiTheme="majorHAnsi" w:eastAsia="Times New Roman" w:hAnsiTheme="majorHAnsi" w:cstheme="majorHAnsi"/>
          <w:bCs/>
          <w:lang w:val="en-AU" w:eastAsia="en-US"/>
        </w:rPr>
        <w:t>in</w:t>
      </w:r>
      <w:r w:rsidRPr="00C64064">
        <w:rPr>
          <w:rFonts w:asciiTheme="majorHAnsi" w:eastAsia="Times New Roman" w:hAnsiTheme="majorHAnsi" w:cstheme="majorHAnsi"/>
          <w:bCs/>
          <w:lang w:val="en-AU" w:eastAsia="en-US"/>
        </w:rPr>
        <w:t xml:space="preserve"> implementing women-inclusive activities</w:t>
      </w:r>
      <w:r w:rsidRPr="00C64064">
        <w:rPr>
          <w:rFonts w:asciiTheme="majorHAnsi" w:eastAsia="Times New Roman" w:hAnsiTheme="majorHAnsi" w:cstheme="majorHAnsi"/>
          <w:bCs/>
          <w:iCs/>
          <w:lang w:val="en-AU" w:eastAsia="en-US"/>
        </w:rPr>
        <w:t>.</w:t>
      </w:r>
      <w:r w:rsidRPr="00C64064">
        <w:rPr>
          <w:rFonts w:asciiTheme="majorHAnsi" w:eastAsia="Times New Roman" w:hAnsiTheme="majorHAnsi" w:cstheme="majorHAnsi"/>
          <w:bCs/>
          <w:lang w:val="en-AU" w:eastAsia="en-US"/>
        </w:rPr>
        <w:t xml:space="preserve"> In addition, 2 women farmers shared their </w:t>
      </w:r>
      <w:r w:rsidRPr="00C64064">
        <w:rPr>
          <w:rFonts w:asciiTheme="majorHAnsi" w:eastAsia="Times New Roman" w:hAnsiTheme="majorHAnsi" w:cstheme="majorHAnsi"/>
          <w:bCs/>
          <w:iCs/>
          <w:lang w:val="en-AU" w:eastAsia="en-US"/>
        </w:rPr>
        <w:t xml:space="preserve">journey in agriculture and how they </w:t>
      </w:r>
      <w:r w:rsidR="00CE4BBC" w:rsidRPr="00C64064">
        <w:rPr>
          <w:rFonts w:asciiTheme="majorHAnsi" w:eastAsia="Times New Roman" w:hAnsiTheme="majorHAnsi" w:cstheme="majorHAnsi"/>
          <w:bCs/>
          <w:iCs/>
          <w:lang w:val="en-AU" w:eastAsia="en-US"/>
        </w:rPr>
        <w:t>have been</w:t>
      </w:r>
      <w:r w:rsidRPr="00C64064">
        <w:rPr>
          <w:rFonts w:asciiTheme="majorHAnsi" w:eastAsia="Times New Roman" w:hAnsiTheme="majorHAnsi" w:cstheme="majorHAnsi"/>
          <w:bCs/>
          <w:iCs/>
          <w:lang w:val="en-AU" w:eastAsia="en-US"/>
        </w:rPr>
        <w:t xml:space="preserve"> empower</w:t>
      </w:r>
      <w:r w:rsidR="00CE4BBC" w:rsidRPr="00C64064">
        <w:rPr>
          <w:rFonts w:asciiTheme="majorHAnsi" w:eastAsia="Times New Roman" w:hAnsiTheme="majorHAnsi" w:cstheme="majorHAnsi"/>
          <w:bCs/>
          <w:iCs/>
          <w:lang w:val="en-AU" w:eastAsia="en-US"/>
        </w:rPr>
        <w:t>ed</w:t>
      </w:r>
      <w:r w:rsidRPr="00C64064">
        <w:rPr>
          <w:rFonts w:asciiTheme="majorHAnsi" w:eastAsia="Times New Roman" w:hAnsiTheme="majorHAnsi" w:cstheme="majorHAnsi"/>
          <w:bCs/>
          <w:iCs/>
          <w:lang w:val="en-AU" w:eastAsia="en-US"/>
        </w:rPr>
        <w:t xml:space="preserve"> </w:t>
      </w:r>
      <w:r w:rsidRPr="00C64064">
        <w:rPr>
          <w:rFonts w:asciiTheme="majorHAnsi" w:eastAsia="Times New Roman" w:hAnsiTheme="majorHAnsi" w:cstheme="majorHAnsi"/>
          <w:bCs/>
          <w:lang w:val="en-AU" w:eastAsia="en-US"/>
        </w:rPr>
        <w:t xml:space="preserve">through women-inclusive activities implemented </w:t>
      </w:r>
      <w:r w:rsidRPr="00C64064">
        <w:rPr>
          <w:rFonts w:asciiTheme="majorHAnsi" w:eastAsia="Times New Roman" w:hAnsiTheme="majorHAnsi" w:cstheme="majorHAnsi"/>
          <w:bCs/>
          <w:iCs/>
          <w:lang w:val="en-AU" w:eastAsia="en-US"/>
        </w:rPr>
        <w:t>by the</w:t>
      </w:r>
      <w:r w:rsidRPr="00C64064">
        <w:rPr>
          <w:rFonts w:asciiTheme="majorHAnsi" w:eastAsia="Times New Roman" w:hAnsiTheme="majorHAnsi" w:cstheme="majorHAnsi"/>
          <w:bCs/>
          <w:lang w:val="en-AU" w:eastAsia="en-US"/>
        </w:rPr>
        <w:t xml:space="preserve"> private sector.</w:t>
      </w:r>
    </w:p>
    <w:p w14:paraId="02CC1C1E" w14:textId="5DAD7116" w:rsidR="00F84786" w:rsidRPr="00C64064" w:rsidRDefault="00805916" w:rsidP="00FC7DB8">
      <w:pPr>
        <w:keepNext/>
        <w:keepLines/>
        <w:suppressAutoHyphens/>
        <w:spacing w:before="220" w:after="220" w:line="264" w:lineRule="auto"/>
        <w:jc w:val="both"/>
        <w:outlineLvl w:val="3"/>
        <w:rPr>
          <w:rFonts w:asciiTheme="majorHAnsi" w:eastAsia="Times New Roman" w:hAnsiTheme="majorHAnsi" w:cstheme="majorHAnsi"/>
          <w:bCs/>
          <w:lang w:val="en-AU" w:eastAsia="en-US"/>
        </w:rPr>
      </w:pPr>
      <w:r w:rsidRPr="00C64064">
        <w:rPr>
          <w:rFonts w:asciiTheme="majorHAnsi" w:eastAsia="Times New Roman" w:hAnsiTheme="majorHAnsi" w:cstheme="majorHAnsi"/>
          <w:bCs/>
          <w:lang w:val="en-AU" w:eastAsia="en-US"/>
        </w:rPr>
        <w:t xml:space="preserve">PRISMA organised for agribusiness journalists to attend the event </w:t>
      </w:r>
      <w:r w:rsidR="009A4B47" w:rsidRPr="00C64064">
        <w:rPr>
          <w:rFonts w:asciiTheme="majorHAnsi" w:eastAsia="Times New Roman" w:hAnsiTheme="majorHAnsi" w:cstheme="majorHAnsi"/>
          <w:bCs/>
          <w:lang w:val="en-AU" w:eastAsia="en-US"/>
        </w:rPr>
        <w:t xml:space="preserve">to cover </w:t>
      </w:r>
      <w:r w:rsidRPr="00C64064">
        <w:rPr>
          <w:rFonts w:asciiTheme="majorHAnsi" w:eastAsia="Times New Roman" w:hAnsiTheme="majorHAnsi" w:cstheme="majorHAnsi"/>
          <w:bCs/>
          <w:lang w:val="en-AU" w:eastAsia="en-US"/>
        </w:rPr>
        <w:t xml:space="preserve">and promote inclusive business practices. </w:t>
      </w:r>
      <w:r w:rsidR="00F84786" w:rsidRPr="00C64064">
        <w:rPr>
          <w:rFonts w:asciiTheme="majorHAnsi" w:eastAsia="Times New Roman" w:hAnsiTheme="majorHAnsi" w:cstheme="majorHAnsi"/>
          <w:bCs/>
          <w:lang w:val="en-AU" w:eastAsia="en-US"/>
        </w:rPr>
        <w:t>The event was profile</w:t>
      </w:r>
      <w:r w:rsidR="00F855C2" w:rsidRPr="00C64064">
        <w:rPr>
          <w:rFonts w:asciiTheme="majorHAnsi" w:eastAsia="Times New Roman" w:hAnsiTheme="majorHAnsi" w:cstheme="majorHAnsi"/>
          <w:bCs/>
          <w:lang w:val="en-AU" w:eastAsia="en-US"/>
        </w:rPr>
        <w:t xml:space="preserve">d in </w:t>
      </w:r>
      <w:r w:rsidR="009A4B47" w:rsidRPr="00C64064">
        <w:rPr>
          <w:rFonts w:asciiTheme="majorHAnsi" w:eastAsia="Times New Roman" w:hAnsiTheme="majorHAnsi" w:cstheme="majorHAnsi"/>
          <w:bCs/>
          <w:lang w:val="en-AU" w:eastAsia="en-US"/>
        </w:rPr>
        <w:t>4</w:t>
      </w:r>
      <w:r w:rsidR="00F855C2" w:rsidRPr="00C64064">
        <w:rPr>
          <w:rFonts w:asciiTheme="majorHAnsi" w:eastAsia="Times New Roman" w:hAnsiTheme="majorHAnsi" w:cstheme="majorHAnsi"/>
          <w:bCs/>
          <w:lang w:val="en-AU" w:eastAsia="en-US"/>
        </w:rPr>
        <w:t xml:space="preserve"> media outlets. Palladium’s Co-CEOs also attended the event, </w:t>
      </w:r>
      <w:r w:rsidR="009A4B47" w:rsidRPr="00C64064">
        <w:rPr>
          <w:rFonts w:asciiTheme="majorHAnsi" w:eastAsia="Times New Roman" w:hAnsiTheme="majorHAnsi" w:cstheme="majorHAnsi"/>
          <w:bCs/>
          <w:lang w:val="en-AU" w:eastAsia="en-US"/>
        </w:rPr>
        <w:t xml:space="preserve">which </w:t>
      </w:r>
      <w:r w:rsidR="00C87FAD" w:rsidRPr="00C64064">
        <w:rPr>
          <w:rFonts w:asciiTheme="majorHAnsi" w:eastAsia="Times New Roman" w:hAnsiTheme="majorHAnsi" w:cstheme="majorHAnsi"/>
          <w:bCs/>
          <w:lang w:val="en-AU" w:eastAsia="en-US"/>
        </w:rPr>
        <w:t>was profiled on Palladium</w:t>
      </w:r>
      <w:r w:rsidR="00AD1C24" w:rsidRPr="00C64064">
        <w:rPr>
          <w:rFonts w:asciiTheme="majorHAnsi" w:eastAsia="Times New Roman" w:hAnsiTheme="majorHAnsi" w:cstheme="majorHAnsi"/>
          <w:bCs/>
          <w:lang w:val="en-AU" w:eastAsia="en-US"/>
        </w:rPr>
        <w:t>’s</w:t>
      </w:r>
      <w:r w:rsidR="00C87FAD" w:rsidRPr="00C64064">
        <w:rPr>
          <w:rFonts w:asciiTheme="majorHAnsi" w:eastAsia="Times New Roman" w:hAnsiTheme="majorHAnsi" w:cstheme="majorHAnsi"/>
          <w:bCs/>
          <w:lang w:val="en-AU" w:eastAsia="en-US"/>
        </w:rPr>
        <w:t xml:space="preserve"> social media channels, promoting PRISMA’s inclusive business practices to a global development audience.   </w:t>
      </w:r>
    </w:p>
    <w:p w14:paraId="484C7655" w14:textId="77777777" w:rsidR="00041B42" w:rsidRDefault="00041B42" w:rsidP="00FC7DB8">
      <w:pPr>
        <w:spacing w:before="60" w:after="120" w:line="264" w:lineRule="auto"/>
        <w:jc w:val="both"/>
        <w:rPr>
          <w:rFonts w:asciiTheme="majorHAnsi" w:eastAsia="Times New Roman" w:hAnsiTheme="majorHAnsi" w:cstheme="majorHAnsi"/>
          <w:b/>
          <w:i/>
          <w:lang w:val="en-AU" w:eastAsia="en-US"/>
        </w:rPr>
      </w:pPr>
    </w:p>
    <w:p w14:paraId="6DB2603A" w14:textId="5E85A65F" w:rsidR="00FC7DB8" w:rsidRPr="00C64064" w:rsidRDefault="00FC7DB8" w:rsidP="3055D253">
      <w:pPr>
        <w:spacing w:before="60" w:after="120" w:line="264" w:lineRule="auto"/>
        <w:jc w:val="both"/>
        <w:rPr>
          <w:rFonts w:asciiTheme="majorHAnsi" w:eastAsia="Times New Roman" w:hAnsiTheme="majorHAnsi" w:cstheme="majorBidi"/>
          <w:b/>
          <w:bCs/>
          <w:i/>
          <w:iCs/>
          <w:lang w:val="en-AU" w:eastAsia="en-US"/>
        </w:rPr>
      </w:pPr>
      <w:r w:rsidRPr="3055D253">
        <w:rPr>
          <w:rFonts w:asciiTheme="majorHAnsi" w:eastAsia="Times New Roman" w:hAnsiTheme="majorHAnsi" w:cstheme="majorBidi"/>
          <w:b/>
          <w:bCs/>
          <w:i/>
          <w:iCs/>
          <w:lang w:val="en-AU" w:eastAsia="en-US"/>
        </w:rPr>
        <w:t>Research for mungbean seed producers to increase their business performance by reaching more women farmers</w:t>
      </w:r>
    </w:p>
    <w:p w14:paraId="6F228A3A" w14:textId="148448AE" w:rsidR="00FC7DB8" w:rsidRPr="00C64064" w:rsidRDefault="00FC7DB8" w:rsidP="00FC7DB8">
      <w:pPr>
        <w:spacing w:before="60" w:after="120" w:line="264" w:lineRule="auto"/>
        <w:jc w:val="both"/>
        <w:rPr>
          <w:rFonts w:asciiTheme="majorHAnsi" w:eastAsia="Arial" w:hAnsiTheme="majorHAnsi" w:cstheme="majorHAnsi"/>
          <w:lang w:eastAsia="en-US"/>
        </w:rPr>
      </w:pPr>
      <w:r w:rsidRPr="00C64064">
        <w:rPr>
          <w:rFonts w:asciiTheme="majorHAnsi" w:eastAsia="Arial" w:hAnsiTheme="majorHAnsi" w:cstheme="majorHAnsi"/>
          <w:lang w:eastAsia="en-US"/>
        </w:rPr>
        <w:t>PRISMA conducted a survey to explore women's participation in mungbean cultivation</w:t>
      </w:r>
      <w:r w:rsidR="009A4B47" w:rsidRPr="00C64064">
        <w:rPr>
          <w:rFonts w:asciiTheme="majorHAnsi" w:eastAsia="Arial" w:hAnsiTheme="majorHAnsi" w:cstheme="majorHAnsi"/>
          <w:lang w:eastAsia="en-US"/>
        </w:rPr>
        <w:t>,</w:t>
      </w:r>
      <w:r w:rsidRPr="00C64064">
        <w:rPr>
          <w:rFonts w:asciiTheme="majorHAnsi" w:eastAsia="Arial" w:hAnsiTheme="majorHAnsi" w:cstheme="majorHAnsi"/>
          <w:lang w:eastAsia="en-US"/>
        </w:rPr>
        <w:t xml:space="preserve"> the barriers they face in accessing information on mungbean seed</w:t>
      </w:r>
      <w:r w:rsidR="00D966FF" w:rsidRPr="00C64064">
        <w:rPr>
          <w:rFonts w:asciiTheme="majorHAnsi" w:eastAsia="Arial" w:hAnsiTheme="majorHAnsi" w:cstheme="majorHAnsi"/>
          <w:lang w:eastAsia="en-US"/>
        </w:rPr>
        <w:t>,</w:t>
      </w:r>
      <w:r w:rsidRPr="00C64064">
        <w:rPr>
          <w:rFonts w:asciiTheme="majorHAnsi" w:eastAsia="Arial" w:hAnsiTheme="majorHAnsi" w:cstheme="majorHAnsi"/>
          <w:lang w:eastAsia="en-US"/>
        </w:rPr>
        <w:t xml:space="preserve"> and their preferences for attending educational or promotional activities. Based on the findings, PRISMA developed a market brief with recommendations f</w:t>
      </w:r>
      <w:r w:rsidR="00B91546" w:rsidRPr="00C64064">
        <w:rPr>
          <w:rFonts w:asciiTheme="majorHAnsi" w:eastAsia="Arial" w:hAnsiTheme="majorHAnsi" w:cstheme="majorHAnsi"/>
          <w:lang w:eastAsia="en-US"/>
        </w:rPr>
        <w:t>o</w:t>
      </w:r>
      <w:r w:rsidRPr="00C64064">
        <w:rPr>
          <w:rFonts w:asciiTheme="majorHAnsi" w:eastAsia="Arial" w:hAnsiTheme="majorHAnsi" w:cstheme="majorHAnsi"/>
          <w:lang w:eastAsia="en-US"/>
        </w:rPr>
        <w:t xml:space="preserve">r mungbean seed companies on how to effectively engage women </w:t>
      </w:r>
      <w:r w:rsidRPr="00C64064">
        <w:rPr>
          <w:rFonts w:asciiTheme="majorHAnsi" w:eastAsia="Arial" w:hAnsiTheme="majorHAnsi" w:cstheme="majorHAnsi"/>
          <w:lang w:eastAsia="en-US"/>
        </w:rPr>
        <w:lastRenderedPageBreak/>
        <w:t>farmers in marketing and educational activities. PRISMA presented the findings and shared the market brief during a discussion forum organised jointly by PRISMA’s mungbean team and the Directorate of Food Crop under the M</w:t>
      </w:r>
      <w:r w:rsidR="00B91546" w:rsidRPr="00C64064">
        <w:rPr>
          <w:rFonts w:asciiTheme="majorHAnsi" w:eastAsia="Arial" w:hAnsiTheme="majorHAnsi" w:cstheme="majorHAnsi"/>
          <w:lang w:eastAsia="en-US"/>
        </w:rPr>
        <w:t>oA</w:t>
      </w:r>
      <w:r w:rsidRPr="00C64064">
        <w:rPr>
          <w:rFonts w:asciiTheme="majorHAnsi" w:eastAsia="Arial" w:hAnsiTheme="majorHAnsi" w:cstheme="majorHAnsi"/>
          <w:lang w:eastAsia="en-US"/>
        </w:rPr>
        <w:t xml:space="preserve"> in Semarang, Central Java.</w:t>
      </w:r>
    </w:p>
    <w:p w14:paraId="1B1DC856" w14:textId="77C1D456" w:rsidR="00FC7DB8" w:rsidRPr="00C64064" w:rsidRDefault="00FC7DB8" w:rsidP="5583D54B">
      <w:pPr>
        <w:spacing w:before="60" w:after="120" w:line="264" w:lineRule="auto"/>
        <w:jc w:val="both"/>
        <w:rPr>
          <w:rFonts w:asciiTheme="majorHAnsi" w:eastAsia="Times New Roman" w:hAnsiTheme="majorHAnsi" w:cstheme="majorBidi"/>
          <w:b/>
          <w:bCs/>
          <w:i/>
          <w:iCs/>
          <w:lang w:val="en-AU" w:eastAsia="en-US"/>
        </w:rPr>
      </w:pPr>
      <w:r w:rsidRPr="5583D54B">
        <w:rPr>
          <w:rFonts w:asciiTheme="majorHAnsi" w:eastAsia="Times New Roman" w:hAnsiTheme="majorHAnsi" w:cstheme="majorBidi"/>
          <w:b/>
          <w:bCs/>
          <w:i/>
          <w:iCs/>
          <w:lang w:val="en-AU" w:eastAsia="en-US"/>
        </w:rPr>
        <w:t xml:space="preserve">Study on </w:t>
      </w:r>
      <w:r w:rsidR="00D966FF" w:rsidRPr="5583D54B">
        <w:rPr>
          <w:rFonts w:asciiTheme="majorHAnsi" w:eastAsia="Times New Roman" w:hAnsiTheme="majorHAnsi" w:cstheme="majorBidi"/>
          <w:b/>
          <w:bCs/>
          <w:i/>
          <w:iCs/>
          <w:lang w:val="en-AU" w:eastAsia="en-US"/>
        </w:rPr>
        <w:t xml:space="preserve">a </w:t>
      </w:r>
      <w:r w:rsidRPr="5583D54B">
        <w:rPr>
          <w:rFonts w:asciiTheme="majorHAnsi" w:eastAsia="Times New Roman" w:hAnsiTheme="majorHAnsi" w:cstheme="majorBidi"/>
          <w:b/>
          <w:bCs/>
          <w:i/>
          <w:iCs/>
          <w:lang w:val="en-AU" w:eastAsia="en-US"/>
        </w:rPr>
        <w:t xml:space="preserve">direct sales agent model using a gender lens in </w:t>
      </w:r>
      <w:r w:rsidR="00D966FF" w:rsidRPr="5583D54B">
        <w:rPr>
          <w:rFonts w:asciiTheme="majorHAnsi" w:eastAsia="Times New Roman" w:hAnsiTheme="majorHAnsi" w:cstheme="majorBidi"/>
          <w:b/>
          <w:bCs/>
          <w:i/>
          <w:iCs/>
          <w:lang w:val="en-AU" w:eastAsia="en-US"/>
        </w:rPr>
        <w:t xml:space="preserve">the </w:t>
      </w:r>
      <w:r w:rsidRPr="5583D54B">
        <w:rPr>
          <w:rFonts w:asciiTheme="majorHAnsi" w:eastAsia="Times New Roman" w:hAnsiTheme="majorHAnsi" w:cstheme="majorBidi"/>
          <w:b/>
          <w:bCs/>
          <w:i/>
          <w:iCs/>
          <w:lang w:val="en-AU" w:eastAsia="en-US"/>
        </w:rPr>
        <w:t>crop protection sector</w:t>
      </w:r>
    </w:p>
    <w:p w14:paraId="609B490E" w14:textId="4353361B" w:rsidR="00FC7DB8" w:rsidRPr="00C64064" w:rsidRDefault="00FC7DB8" w:rsidP="00FC7DB8">
      <w:pPr>
        <w:spacing w:before="60" w:after="120" w:line="264" w:lineRule="auto"/>
        <w:jc w:val="both"/>
        <w:rPr>
          <w:rFonts w:asciiTheme="majorHAnsi" w:eastAsia="Arial" w:hAnsiTheme="majorHAnsi" w:cstheme="majorHAnsi"/>
          <w:lang w:eastAsia="en-US"/>
        </w:rPr>
      </w:pPr>
      <w:r w:rsidRPr="00C64064">
        <w:rPr>
          <w:rFonts w:asciiTheme="majorHAnsi" w:eastAsia="Arial" w:hAnsiTheme="majorHAnsi" w:cstheme="majorHAnsi"/>
          <w:lang w:eastAsia="en-US"/>
        </w:rPr>
        <w:t>PRISMA conducted another study in the crop protection sector with the objective of improving the direct sales agent model using a gender-based approach. The initial findings suggest that the sales agent model c</w:t>
      </w:r>
      <w:r w:rsidR="00081122" w:rsidRPr="00C64064">
        <w:rPr>
          <w:rFonts w:asciiTheme="majorHAnsi" w:eastAsia="Arial" w:hAnsiTheme="majorHAnsi" w:cstheme="majorHAnsi"/>
          <w:lang w:eastAsia="en-US"/>
        </w:rPr>
        <w:t>ould</w:t>
      </w:r>
      <w:r w:rsidRPr="00C64064">
        <w:rPr>
          <w:rFonts w:asciiTheme="majorHAnsi" w:eastAsia="Arial" w:hAnsiTheme="majorHAnsi" w:cstheme="majorHAnsi"/>
          <w:lang w:eastAsia="en-US"/>
        </w:rPr>
        <w:t xml:space="preserve"> be more effective by considering the different needs and strengths of women and men field agents. Further insights and recommendations will be made, and the result</w:t>
      </w:r>
      <w:r w:rsidR="00E31042" w:rsidRPr="00C64064">
        <w:rPr>
          <w:rFonts w:asciiTheme="majorHAnsi" w:eastAsia="Arial" w:hAnsiTheme="majorHAnsi" w:cstheme="majorHAnsi"/>
          <w:lang w:eastAsia="en-US"/>
        </w:rPr>
        <w:t>s</w:t>
      </w:r>
      <w:r w:rsidRPr="00C64064">
        <w:rPr>
          <w:rFonts w:asciiTheme="majorHAnsi" w:eastAsia="Arial" w:hAnsiTheme="majorHAnsi" w:cstheme="majorHAnsi"/>
          <w:lang w:eastAsia="en-US"/>
        </w:rPr>
        <w:t xml:space="preserve"> will be disseminated to crop protection companies during a workshop in July.</w:t>
      </w:r>
    </w:p>
    <w:p w14:paraId="404E98AB" w14:textId="596FDBDA" w:rsidR="00FC7DB8" w:rsidRPr="00C64064" w:rsidRDefault="00FC7DB8" w:rsidP="00FC7DB8">
      <w:pPr>
        <w:keepNext/>
        <w:keepLines/>
        <w:suppressAutoHyphens/>
        <w:spacing w:before="280" w:after="240" w:line="264" w:lineRule="auto"/>
        <w:ind w:left="851" w:hanging="851"/>
        <w:jc w:val="both"/>
        <w:outlineLvl w:val="1"/>
        <w:rPr>
          <w:rFonts w:asciiTheme="majorHAnsi" w:eastAsiaTheme="majorEastAsia" w:hAnsiTheme="majorHAnsi" w:cstheme="majorHAnsi"/>
          <w:lang w:eastAsia="en-US"/>
        </w:rPr>
      </w:pPr>
      <w:bookmarkStart w:id="121" w:name="_Toc173318325"/>
      <w:r w:rsidRPr="00C64064">
        <w:rPr>
          <w:rFonts w:asciiTheme="majorHAnsi" w:eastAsiaTheme="majorEastAsia" w:hAnsiTheme="majorHAnsi" w:cstheme="majorHAnsi"/>
          <w:lang w:eastAsia="en-US"/>
        </w:rPr>
        <w:t>Progress towards WEE mainstreaming</w:t>
      </w:r>
      <w:bookmarkEnd w:id="121"/>
    </w:p>
    <w:p w14:paraId="2243B842" w14:textId="09E16D4E" w:rsidR="00FC7DB8" w:rsidRPr="00C64064" w:rsidRDefault="00FC7DB8" w:rsidP="5583D54B">
      <w:pPr>
        <w:keepNext/>
        <w:keepLines/>
        <w:suppressAutoHyphens/>
        <w:spacing w:before="320" w:after="240" w:line="264" w:lineRule="auto"/>
        <w:jc w:val="both"/>
        <w:outlineLvl w:val="0"/>
        <w:rPr>
          <w:rFonts w:asciiTheme="majorHAnsi" w:eastAsia="Times New Roman" w:hAnsiTheme="majorHAnsi" w:cstheme="majorBidi"/>
          <w:lang w:val="en-AU" w:eastAsia="en-US"/>
        </w:rPr>
      </w:pPr>
      <w:bookmarkStart w:id="122" w:name="_Toc173318326"/>
      <w:r w:rsidRPr="5583D54B">
        <w:rPr>
          <w:rFonts w:asciiTheme="majorHAnsi" w:eastAsia="Times New Roman" w:hAnsiTheme="majorHAnsi" w:cstheme="majorBidi"/>
          <w:lang w:val="en-AU" w:eastAsia="en-US"/>
        </w:rPr>
        <w:t>PRISMA measures progress towards WEE mainstreaming in 3 levels: (a) the pre-implementation stage, which demonstrates the willingness of the partners to embed and mainstream WEE within their business activities</w:t>
      </w:r>
      <w:r w:rsidR="00081122" w:rsidRPr="5583D54B">
        <w:rPr>
          <w:rFonts w:asciiTheme="majorHAnsi" w:eastAsia="Times New Roman" w:hAnsiTheme="majorHAnsi" w:cstheme="majorBidi"/>
          <w:lang w:val="en-AU" w:eastAsia="en-US"/>
        </w:rPr>
        <w:t>;</w:t>
      </w:r>
      <w:r w:rsidRPr="5583D54B">
        <w:rPr>
          <w:rFonts w:asciiTheme="majorHAnsi" w:eastAsia="Times New Roman" w:hAnsiTheme="majorHAnsi" w:cstheme="majorBidi"/>
          <w:lang w:val="en-AU" w:eastAsia="en-US"/>
        </w:rPr>
        <w:t xml:space="preserve"> (b) the implementation stage with PRISMA, which shows </w:t>
      </w:r>
      <w:r w:rsidR="00E31042" w:rsidRPr="5583D54B">
        <w:rPr>
          <w:rFonts w:asciiTheme="majorHAnsi" w:eastAsia="Times New Roman" w:hAnsiTheme="majorHAnsi" w:cstheme="majorBidi"/>
          <w:lang w:val="en-AU" w:eastAsia="en-US"/>
        </w:rPr>
        <w:t xml:space="preserve">the </w:t>
      </w:r>
      <w:r w:rsidRPr="5583D54B">
        <w:rPr>
          <w:rFonts w:asciiTheme="majorHAnsi" w:eastAsia="Times New Roman" w:hAnsiTheme="majorHAnsi" w:cstheme="majorBidi"/>
          <w:lang w:val="en-AU" w:eastAsia="en-US"/>
        </w:rPr>
        <w:t>commitment of the partners</w:t>
      </w:r>
      <w:r w:rsidR="00081122" w:rsidRPr="5583D54B">
        <w:rPr>
          <w:rFonts w:asciiTheme="majorHAnsi" w:eastAsia="Times New Roman" w:hAnsiTheme="majorHAnsi" w:cstheme="majorBidi"/>
          <w:lang w:val="en-AU" w:eastAsia="en-US"/>
        </w:rPr>
        <w:t>;</w:t>
      </w:r>
      <w:r w:rsidRPr="5583D54B">
        <w:rPr>
          <w:rFonts w:asciiTheme="majorHAnsi" w:eastAsia="Times New Roman" w:hAnsiTheme="majorHAnsi" w:cstheme="majorBidi"/>
          <w:lang w:val="en-AU" w:eastAsia="en-US"/>
        </w:rPr>
        <w:t xml:space="preserve"> and (c) the sustainability/continuity stage, where partners continue the WEE inclusive activities independent of PRISMA’s support. As PRISMA completed its ‘business as usual’ interventions with its partners by December 2023 and focused only on resilience activities, the previous process of measuring progress towards WEE mainstreaming was not applicable this semester.</w:t>
      </w:r>
      <w:bookmarkEnd w:id="122"/>
      <w:r w:rsidRPr="5583D54B">
        <w:rPr>
          <w:rFonts w:asciiTheme="majorHAnsi" w:eastAsia="Times New Roman" w:hAnsiTheme="majorHAnsi" w:cstheme="majorBidi"/>
          <w:lang w:val="en-AU" w:eastAsia="en-US"/>
        </w:rPr>
        <w:t xml:space="preserve"> </w:t>
      </w:r>
    </w:p>
    <w:p w14:paraId="1B00712E" w14:textId="6DE7266E" w:rsidR="00FC7DB8" w:rsidRPr="00C64064" w:rsidRDefault="00FC7DB8" w:rsidP="5583D54B">
      <w:pPr>
        <w:keepNext/>
        <w:keepLines/>
        <w:suppressAutoHyphens/>
        <w:spacing w:before="320" w:after="240" w:line="264" w:lineRule="auto"/>
        <w:jc w:val="both"/>
        <w:outlineLvl w:val="0"/>
        <w:rPr>
          <w:rFonts w:asciiTheme="majorHAnsi" w:eastAsia="Times New Roman" w:hAnsiTheme="majorHAnsi" w:cstheme="majorBidi"/>
          <w:lang w:val="en-AU" w:eastAsia="en-US"/>
        </w:rPr>
      </w:pPr>
      <w:bookmarkStart w:id="123" w:name="_Toc173318327"/>
      <w:r w:rsidRPr="5583D54B">
        <w:rPr>
          <w:rFonts w:asciiTheme="majorHAnsi" w:eastAsia="Times New Roman" w:hAnsiTheme="majorHAnsi" w:cstheme="majorBidi"/>
          <w:lang w:val="en-AU" w:eastAsia="en-US"/>
        </w:rPr>
        <w:t xml:space="preserve">However, PRISMA is conducting a lean survey with a number of previous partners to assess whether they continue WEE inclusive activities promoted by PRISMA and explore the reasons why they continue or not. The </w:t>
      </w:r>
      <w:r w:rsidRPr="00517103">
        <w:rPr>
          <w:rFonts w:asciiTheme="majorHAnsi" w:eastAsia="Times New Roman" w:hAnsiTheme="majorHAnsi" w:cstheme="majorBidi"/>
          <w:lang w:val="en-AU" w:eastAsia="en-US"/>
        </w:rPr>
        <w:t xml:space="preserve">study will give further insights </w:t>
      </w:r>
      <w:r w:rsidR="00E31042" w:rsidRPr="00517103">
        <w:rPr>
          <w:rFonts w:asciiTheme="majorHAnsi" w:eastAsia="Times New Roman" w:hAnsiTheme="majorHAnsi" w:cstheme="majorBidi"/>
          <w:lang w:val="en-AU" w:eastAsia="en-US"/>
        </w:rPr>
        <w:t>i</w:t>
      </w:r>
      <w:r w:rsidRPr="00517103">
        <w:rPr>
          <w:rFonts w:asciiTheme="majorHAnsi" w:eastAsia="Times New Roman" w:hAnsiTheme="majorHAnsi" w:cstheme="majorBidi"/>
          <w:lang w:val="en-AU" w:eastAsia="en-US"/>
        </w:rPr>
        <w:t>n</w:t>
      </w:r>
      <w:r w:rsidR="00E31042" w:rsidRPr="00517103">
        <w:rPr>
          <w:rFonts w:asciiTheme="majorHAnsi" w:eastAsia="Times New Roman" w:hAnsiTheme="majorHAnsi" w:cstheme="majorBidi"/>
          <w:lang w:val="en-AU" w:eastAsia="en-US"/>
        </w:rPr>
        <w:t>to</w:t>
      </w:r>
      <w:r w:rsidRPr="00517103">
        <w:rPr>
          <w:rFonts w:asciiTheme="majorHAnsi" w:eastAsia="Times New Roman" w:hAnsiTheme="majorHAnsi" w:cstheme="majorBidi"/>
          <w:lang w:val="en-AU" w:eastAsia="en-US"/>
        </w:rPr>
        <w:t xml:space="preserve"> the business viability and continuity of WEE inclusive practices. </w:t>
      </w:r>
      <w:r w:rsidR="00966DE4" w:rsidRPr="00517103">
        <w:rPr>
          <w:rFonts w:asciiTheme="majorHAnsi" w:eastAsia="Times New Roman" w:hAnsiTheme="majorHAnsi" w:cstheme="majorBidi"/>
          <w:lang w:val="en-AU" w:eastAsia="en-US"/>
        </w:rPr>
        <w:t xml:space="preserve">By the end of the first </w:t>
      </w:r>
      <w:r w:rsidR="00D14586" w:rsidRPr="00450972">
        <w:rPr>
          <w:rFonts w:asciiTheme="majorHAnsi" w:eastAsia="Times New Roman" w:hAnsiTheme="majorHAnsi" w:cstheme="majorBidi"/>
          <w:lang w:val="en-AU" w:eastAsia="en-US"/>
        </w:rPr>
        <w:t>s</w:t>
      </w:r>
      <w:r w:rsidR="00966DE4" w:rsidRPr="00517103">
        <w:rPr>
          <w:rFonts w:asciiTheme="majorHAnsi" w:eastAsia="Times New Roman" w:hAnsiTheme="majorHAnsi" w:cstheme="majorBidi"/>
          <w:lang w:val="en-AU" w:eastAsia="en-US"/>
        </w:rPr>
        <w:t xml:space="preserve">emester, among the 11 companies interviewed, PRISMA found that </w:t>
      </w:r>
      <w:r w:rsidR="00C3338E" w:rsidRPr="00517103">
        <w:rPr>
          <w:rFonts w:asciiTheme="majorHAnsi" w:eastAsia="Times New Roman" w:hAnsiTheme="majorHAnsi" w:cstheme="majorBidi"/>
          <w:lang w:val="en-AU" w:eastAsia="en-US"/>
        </w:rPr>
        <w:t>8 of them</w:t>
      </w:r>
      <w:r w:rsidR="00C3338E" w:rsidRPr="5583D54B">
        <w:rPr>
          <w:rFonts w:asciiTheme="majorHAnsi" w:eastAsia="Times New Roman" w:hAnsiTheme="majorHAnsi" w:cstheme="majorBidi"/>
          <w:lang w:val="en-AU" w:eastAsia="en-US"/>
        </w:rPr>
        <w:t xml:space="preserve"> continued the practices while 3 decided to discontinue</w:t>
      </w:r>
      <w:r w:rsidRPr="5583D54B">
        <w:rPr>
          <w:rFonts w:asciiTheme="majorHAnsi" w:eastAsia="Times New Roman" w:hAnsiTheme="majorHAnsi" w:cstheme="majorBidi"/>
          <w:lang w:val="en-AU" w:eastAsia="en-US"/>
        </w:rPr>
        <w:t>. The findings will be presented in the project completion report due in September.</w:t>
      </w:r>
      <w:bookmarkEnd w:id="123"/>
      <w:r w:rsidRPr="5583D54B">
        <w:rPr>
          <w:rFonts w:asciiTheme="majorHAnsi" w:eastAsia="Times New Roman" w:hAnsiTheme="majorHAnsi" w:cstheme="majorBidi"/>
          <w:lang w:val="en-AU" w:eastAsia="en-US"/>
        </w:rPr>
        <w:t xml:space="preserve"> </w:t>
      </w:r>
    </w:p>
    <w:p w14:paraId="7B02A3D6" w14:textId="7D01322A" w:rsidR="00FC7DB8" w:rsidRPr="00C64064" w:rsidRDefault="00775960" w:rsidP="00B03C3A">
      <w:pPr>
        <w:pStyle w:val="Head3"/>
        <w:rPr>
          <w:lang w:eastAsia="en-US"/>
        </w:rPr>
      </w:pPr>
      <w:bookmarkStart w:id="124" w:name="_Toc173318328"/>
      <w:bookmarkStart w:id="125" w:name="_Toc179192315"/>
      <w:bookmarkStart w:id="126" w:name="_Toc180155179"/>
      <w:r w:rsidRPr="00C64064">
        <w:rPr>
          <w:lang w:eastAsia="en-US"/>
        </w:rPr>
        <w:t>4</w:t>
      </w:r>
      <w:r w:rsidR="002146B2" w:rsidRPr="00C64064">
        <w:rPr>
          <w:lang w:eastAsia="en-US"/>
        </w:rPr>
        <w:t xml:space="preserve">.2.2 </w:t>
      </w:r>
      <w:r w:rsidR="00FC7DB8" w:rsidRPr="00C64064">
        <w:rPr>
          <w:lang w:eastAsia="en-US"/>
        </w:rPr>
        <w:t xml:space="preserve">Disability </w:t>
      </w:r>
      <w:r w:rsidR="008A5111" w:rsidRPr="00C64064">
        <w:rPr>
          <w:lang w:eastAsia="en-US"/>
        </w:rPr>
        <w:t>i</w:t>
      </w:r>
      <w:r w:rsidR="00FC7DB8" w:rsidRPr="00C64064">
        <w:rPr>
          <w:lang w:eastAsia="en-US"/>
        </w:rPr>
        <w:t>nclusion</w:t>
      </w:r>
      <w:bookmarkEnd w:id="124"/>
      <w:bookmarkEnd w:id="125"/>
      <w:bookmarkEnd w:id="126"/>
    </w:p>
    <w:p w14:paraId="2F543670" w14:textId="75A7F351" w:rsidR="00FC7DB8" w:rsidRPr="00C64064" w:rsidRDefault="00FC7DB8" w:rsidP="00FC7DB8">
      <w:pPr>
        <w:keepNext/>
        <w:keepLines/>
        <w:suppressAutoHyphens/>
        <w:spacing w:before="280" w:after="240" w:line="264" w:lineRule="auto"/>
        <w:ind w:left="851" w:hanging="851"/>
        <w:jc w:val="both"/>
        <w:outlineLvl w:val="1"/>
        <w:rPr>
          <w:rFonts w:asciiTheme="majorHAnsi" w:eastAsiaTheme="majorEastAsia" w:hAnsiTheme="majorHAnsi" w:cstheme="majorHAnsi"/>
          <w:sz w:val="26"/>
          <w:szCs w:val="24"/>
          <w:lang w:eastAsia="en-US"/>
        </w:rPr>
      </w:pPr>
      <w:bookmarkStart w:id="127" w:name="_Toc173318329"/>
      <w:r w:rsidRPr="00C64064">
        <w:rPr>
          <w:rFonts w:asciiTheme="majorHAnsi" w:eastAsiaTheme="majorEastAsia" w:hAnsiTheme="majorHAnsi" w:cstheme="majorHAnsi"/>
          <w:sz w:val="26"/>
          <w:szCs w:val="24"/>
          <w:lang w:eastAsia="en-US"/>
        </w:rPr>
        <w:t>Analysis of disability prevalence</w:t>
      </w:r>
      <w:bookmarkEnd w:id="127"/>
    </w:p>
    <w:p w14:paraId="4CB93D87" w14:textId="4C90A6AA" w:rsidR="00FC7DB8" w:rsidRPr="00C64064" w:rsidRDefault="00FC7DB8" w:rsidP="00FC7DB8">
      <w:pPr>
        <w:spacing w:before="120" w:after="120" w:line="264" w:lineRule="auto"/>
        <w:contextualSpacing/>
        <w:jc w:val="both"/>
        <w:rPr>
          <w:rFonts w:asciiTheme="majorHAnsi" w:eastAsia="Arial" w:hAnsiTheme="majorHAnsi" w:cstheme="majorHAnsi"/>
          <w:lang w:eastAsia="en-US"/>
        </w:rPr>
      </w:pPr>
      <w:r w:rsidRPr="00C64064">
        <w:rPr>
          <w:rFonts w:asciiTheme="majorHAnsi" w:eastAsia="Arial" w:hAnsiTheme="majorHAnsi" w:cstheme="majorHAnsi"/>
          <w:lang w:eastAsia="en-US"/>
        </w:rPr>
        <w:t xml:space="preserve">This semester, 17 farmers with disabilities were identified </w:t>
      </w:r>
      <w:r w:rsidR="00081122" w:rsidRPr="00C64064">
        <w:rPr>
          <w:rFonts w:asciiTheme="majorHAnsi" w:eastAsia="Arial" w:hAnsiTheme="majorHAnsi" w:cstheme="majorHAnsi"/>
          <w:lang w:eastAsia="en-US"/>
        </w:rPr>
        <w:t>as</w:t>
      </w:r>
      <w:r w:rsidRPr="00C64064">
        <w:rPr>
          <w:rFonts w:asciiTheme="majorHAnsi" w:eastAsia="Arial" w:hAnsiTheme="majorHAnsi" w:cstheme="majorHAnsi"/>
          <w:lang w:eastAsia="en-US"/>
        </w:rPr>
        <w:t xml:space="preserve"> hav</w:t>
      </w:r>
      <w:r w:rsidR="00081122" w:rsidRPr="00C64064">
        <w:rPr>
          <w:rFonts w:asciiTheme="majorHAnsi" w:eastAsia="Arial" w:hAnsiTheme="majorHAnsi" w:cstheme="majorHAnsi"/>
          <w:lang w:eastAsia="en-US"/>
        </w:rPr>
        <w:t>ing</w:t>
      </w:r>
      <w:r w:rsidRPr="00C64064">
        <w:rPr>
          <w:rFonts w:asciiTheme="majorHAnsi" w:eastAsia="Arial" w:hAnsiTheme="majorHAnsi" w:cstheme="majorHAnsi"/>
          <w:lang w:eastAsia="en-US"/>
        </w:rPr>
        <w:t xml:space="preserve"> benefitted through PRISMA’s interventions. Th</w:t>
      </w:r>
      <w:r w:rsidR="00E31042" w:rsidRPr="00C64064">
        <w:rPr>
          <w:rFonts w:asciiTheme="majorHAnsi" w:eastAsia="Arial" w:hAnsiTheme="majorHAnsi" w:cstheme="majorHAnsi"/>
          <w:lang w:eastAsia="en-US"/>
        </w:rPr>
        <w:t>is</w:t>
      </w:r>
      <w:r w:rsidRPr="00C64064">
        <w:rPr>
          <w:rFonts w:asciiTheme="majorHAnsi" w:eastAsia="Arial" w:hAnsiTheme="majorHAnsi" w:cstheme="majorHAnsi"/>
          <w:lang w:eastAsia="en-US"/>
        </w:rPr>
        <w:t xml:space="preserve"> comparatively low number is due to a low number of field impact assessments conducted during the semester (7 impact assessments and </w:t>
      </w:r>
      <w:r w:rsidR="00A62DA7">
        <w:rPr>
          <w:rFonts w:asciiTheme="majorHAnsi" w:eastAsia="Arial" w:hAnsiTheme="majorHAnsi" w:cstheme="majorHAnsi"/>
          <w:lang w:eastAsia="en-US"/>
        </w:rPr>
        <w:t>1</w:t>
      </w:r>
      <w:r w:rsidR="000A2205">
        <w:rPr>
          <w:rFonts w:asciiTheme="majorHAnsi" w:eastAsia="Arial" w:hAnsiTheme="majorHAnsi" w:cstheme="majorHAnsi"/>
          <w:lang w:eastAsia="en-US"/>
        </w:rPr>
        <w:t>2</w:t>
      </w:r>
      <w:r w:rsidR="00A62DA7" w:rsidRPr="00C64064">
        <w:rPr>
          <w:rFonts w:asciiTheme="majorHAnsi" w:eastAsia="Arial" w:hAnsiTheme="majorHAnsi" w:cstheme="majorHAnsi"/>
          <w:lang w:eastAsia="en-US"/>
        </w:rPr>
        <w:t xml:space="preserve"> </w:t>
      </w:r>
      <w:r w:rsidRPr="00C64064">
        <w:rPr>
          <w:rFonts w:asciiTheme="majorHAnsi" w:eastAsia="Arial" w:hAnsiTheme="majorHAnsi" w:cstheme="majorHAnsi"/>
          <w:lang w:eastAsia="en-US"/>
        </w:rPr>
        <w:t xml:space="preserve">extrapolations). </w:t>
      </w:r>
      <w:r w:rsidR="00E31042" w:rsidRPr="00C64064">
        <w:rPr>
          <w:rFonts w:asciiTheme="majorHAnsi" w:eastAsia="Arial" w:hAnsiTheme="majorHAnsi" w:cstheme="majorHAnsi"/>
          <w:lang w:eastAsia="en-US"/>
        </w:rPr>
        <w:t>Eleven</w:t>
      </w:r>
      <w:r w:rsidRPr="00C64064">
        <w:rPr>
          <w:rFonts w:asciiTheme="majorHAnsi" w:eastAsia="Arial" w:hAnsiTheme="majorHAnsi" w:cstheme="majorHAnsi"/>
          <w:lang w:eastAsia="en-US"/>
        </w:rPr>
        <w:t xml:space="preserve"> of the 17 farmer</w:t>
      </w:r>
      <w:r w:rsidR="00E31042" w:rsidRPr="00C64064">
        <w:rPr>
          <w:rFonts w:asciiTheme="majorHAnsi" w:eastAsia="Arial" w:hAnsiTheme="majorHAnsi" w:cstheme="majorHAnsi"/>
          <w:lang w:eastAsia="en-US"/>
        </w:rPr>
        <w:t>s are</w:t>
      </w:r>
      <w:r w:rsidRPr="00C64064">
        <w:rPr>
          <w:rFonts w:asciiTheme="majorHAnsi" w:eastAsia="Arial" w:hAnsiTheme="majorHAnsi" w:cstheme="majorHAnsi"/>
          <w:lang w:eastAsia="en-US"/>
        </w:rPr>
        <w:t xml:space="preserve"> visual</w:t>
      </w:r>
      <w:r w:rsidR="00E31042" w:rsidRPr="00C64064">
        <w:rPr>
          <w:rFonts w:asciiTheme="majorHAnsi" w:eastAsia="Arial" w:hAnsiTheme="majorHAnsi" w:cstheme="majorHAnsi"/>
          <w:lang w:eastAsia="en-US"/>
        </w:rPr>
        <w:t>ly</w:t>
      </w:r>
      <w:r w:rsidRPr="00C64064">
        <w:rPr>
          <w:rFonts w:asciiTheme="majorHAnsi" w:eastAsia="Arial" w:hAnsiTheme="majorHAnsi" w:cstheme="majorHAnsi"/>
          <w:lang w:eastAsia="en-US"/>
        </w:rPr>
        <w:t xml:space="preserve"> impair</w:t>
      </w:r>
      <w:r w:rsidR="00E31042" w:rsidRPr="00C64064">
        <w:rPr>
          <w:rFonts w:asciiTheme="majorHAnsi" w:eastAsia="Arial" w:hAnsiTheme="majorHAnsi" w:cstheme="majorHAnsi"/>
          <w:lang w:eastAsia="en-US"/>
        </w:rPr>
        <w:t>ed</w:t>
      </w:r>
      <w:r w:rsidRPr="00C64064">
        <w:rPr>
          <w:rFonts w:asciiTheme="majorHAnsi" w:eastAsia="Arial" w:hAnsiTheme="majorHAnsi" w:cstheme="majorHAnsi"/>
          <w:lang w:eastAsia="en-US"/>
        </w:rPr>
        <w:t xml:space="preserve">, 2 </w:t>
      </w:r>
      <w:r w:rsidR="00E31042" w:rsidRPr="00C64064">
        <w:rPr>
          <w:rFonts w:asciiTheme="majorHAnsi" w:eastAsia="Arial" w:hAnsiTheme="majorHAnsi" w:cstheme="majorHAnsi"/>
          <w:lang w:eastAsia="en-US"/>
        </w:rPr>
        <w:t>have</w:t>
      </w:r>
      <w:r w:rsidRPr="00C64064">
        <w:rPr>
          <w:rFonts w:asciiTheme="majorHAnsi" w:eastAsia="Arial" w:hAnsiTheme="majorHAnsi" w:cstheme="majorHAnsi"/>
          <w:lang w:eastAsia="en-US"/>
        </w:rPr>
        <w:t xml:space="preserve"> hearing impairment</w:t>
      </w:r>
      <w:r w:rsidR="00E31042" w:rsidRPr="00C64064">
        <w:rPr>
          <w:rFonts w:asciiTheme="majorHAnsi" w:eastAsia="Arial" w:hAnsiTheme="majorHAnsi" w:cstheme="majorHAnsi"/>
          <w:lang w:eastAsia="en-US"/>
        </w:rPr>
        <w:t>s</w:t>
      </w:r>
      <w:r w:rsidRPr="00C64064">
        <w:rPr>
          <w:rFonts w:asciiTheme="majorHAnsi" w:eastAsia="Arial" w:hAnsiTheme="majorHAnsi" w:cstheme="majorHAnsi"/>
          <w:lang w:eastAsia="en-US"/>
        </w:rPr>
        <w:t xml:space="preserve">, 2 </w:t>
      </w:r>
      <w:r w:rsidR="00E31042" w:rsidRPr="00C64064">
        <w:rPr>
          <w:rFonts w:asciiTheme="majorHAnsi" w:eastAsia="Arial" w:hAnsiTheme="majorHAnsi" w:cstheme="majorHAnsi"/>
          <w:lang w:eastAsia="en-US"/>
        </w:rPr>
        <w:t>have</w:t>
      </w:r>
      <w:r w:rsidRPr="00C64064">
        <w:rPr>
          <w:rFonts w:asciiTheme="majorHAnsi" w:eastAsia="Arial" w:hAnsiTheme="majorHAnsi" w:cstheme="majorHAnsi"/>
          <w:lang w:eastAsia="en-US"/>
        </w:rPr>
        <w:t xml:space="preserve"> mobility impairment</w:t>
      </w:r>
      <w:r w:rsidR="0086741F" w:rsidRPr="00C64064">
        <w:rPr>
          <w:rFonts w:asciiTheme="majorHAnsi" w:eastAsia="Arial" w:hAnsiTheme="majorHAnsi" w:cstheme="majorHAnsi"/>
          <w:lang w:eastAsia="en-US"/>
        </w:rPr>
        <w:t>s</w:t>
      </w:r>
      <w:r w:rsidRPr="00C64064">
        <w:rPr>
          <w:rFonts w:asciiTheme="majorHAnsi" w:eastAsia="Arial" w:hAnsiTheme="majorHAnsi" w:cstheme="majorHAnsi"/>
          <w:lang w:eastAsia="en-US"/>
        </w:rPr>
        <w:t xml:space="preserve">, and 2 </w:t>
      </w:r>
      <w:r w:rsidR="0086741F" w:rsidRPr="00C64064">
        <w:rPr>
          <w:rFonts w:asciiTheme="majorHAnsi" w:eastAsia="Arial" w:hAnsiTheme="majorHAnsi" w:cstheme="majorHAnsi"/>
          <w:lang w:eastAsia="en-US"/>
        </w:rPr>
        <w:t>have</w:t>
      </w:r>
      <w:r w:rsidRPr="00C64064">
        <w:rPr>
          <w:rFonts w:asciiTheme="majorHAnsi" w:eastAsia="Arial" w:hAnsiTheme="majorHAnsi" w:cstheme="majorHAnsi"/>
          <w:lang w:eastAsia="en-US"/>
        </w:rPr>
        <w:t xml:space="preserve"> communication difficulties.</w:t>
      </w:r>
    </w:p>
    <w:p w14:paraId="797A51E2" w14:textId="05000814" w:rsidR="00FC7DB8" w:rsidRPr="00C64064" w:rsidRDefault="00FC7DB8" w:rsidP="00FC7DB8">
      <w:pPr>
        <w:keepNext/>
        <w:keepLines/>
        <w:suppressAutoHyphens/>
        <w:spacing w:before="280" w:after="240" w:line="264" w:lineRule="auto"/>
        <w:ind w:left="851" w:hanging="851"/>
        <w:jc w:val="both"/>
        <w:outlineLvl w:val="1"/>
        <w:rPr>
          <w:rFonts w:asciiTheme="majorHAnsi" w:eastAsiaTheme="majorEastAsia" w:hAnsiTheme="majorHAnsi" w:cstheme="majorHAnsi"/>
          <w:b/>
          <w:bCs/>
          <w:lang w:eastAsia="en-US"/>
        </w:rPr>
      </w:pPr>
      <w:bookmarkStart w:id="128" w:name="_Toc173318330"/>
      <w:r w:rsidRPr="00C64064">
        <w:rPr>
          <w:rFonts w:asciiTheme="majorHAnsi" w:eastAsiaTheme="majorEastAsia" w:hAnsiTheme="majorHAnsi" w:cstheme="majorHAnsi"/>
          <w:b/>
          <w:bCs/>
          <w:lang w:eastAsia="en-US"/>
        </w:rPr>
        <w:lastRenderedPageBreak/>
        <w:t>Progress on disability inclusion</w:t>
      </w:r>
      <w:bookmarkEnd w:id="128"/>
    </w:p>
    <w:p w14:paraId="64A4563E" w14:textId="46A3F38F" w:rsidR="00FC7DB8" w:rsidRPr="00C64064" w:rsidRDefault="00FC7DB8" w:rsidP="00FC7DB8">
      <w:pPr>
        <w:keepNext/>
        <w:keepLines/>
        <w:suppressAutoHyphens/>
        <w:spacing w:before="280" w:after="240" w:line="264" w:lineRule="auto"/>
        <w:jc w:val="both"/>
        <w:outlineLvl w:val="1"/>
        <w:rPr>
          <w:rFonts w:asciiTheme="majorHAnsi" w:eastAsia="Arial" w:hAnsiTheme="majorHAnsi" w:cstheme="majorHAnsi"/>
          <w:lang w:eastAsia="en-US"/>
        </w:rPr>
      </w:pPr>
      <w:bookmarkStart w:id="129" w:name="_Toc173318331"/>
      <w:r w:rsidRPr="00C64064">
        <w:rPr>
          <w:rFonts w:asciiTheme="majorHAnsi" w:eastAsia="Arial" w:hAnsiTheme="majorHAnsi" w:cstheme="majorHAnsi"/>
          <w:lang w:eastAsia="en-US"/>
        </w:rPr>
        <w:t xml:space="preserve">PRISMA’s disability inclusion strategy is based on 2 strands: (a) accessibility improvement and (b) participation improvement. The emphasis on accessibility improvement is centred on applying </w:t>
      </w:r>
      <w:r w:rsidR="0086741F" w:rsidRPr="00C64064">
        <w:rPr>
          <w:rFonts w:asciiTheme="majorHAnsi" w:eastAsia="Arial" w:hAnsiTheme="majorHAnsi" w:cstheme="majorHAnsi"/>
          <w:lang w:eastAsia="en-US"/>
        </w:rPr>
        <w:t>u</w:t>
      </w:r>
      <w:r w:rsidRPr="00C64064">
        <w:rPr>
          <w:rFonts w:asciiTheme="majorHAnsi" w:eastAsia="Arial" w:hAnsiTheme="majorHAnsi" w:cstheme="majorHAnsi"/>
          <w:lang w:eastAsia="en-US"/>
        </w:rPr>
        <w:t xml:space="preserve">niversal </w:t>
      </w:r>
      <w:r w:rsidR="0086741F" w:rsidRPr="00C64064">
        <w:rPr>
          <w:rFonts w:asciiTheme="majorHAnsi" w:eastAsia="Arial" w:hAnsiTheme="majorHAnsi" w:cstheme="majorHAnsi"/>
          <w:lang w:eastAsia="en-US"/>
        </w:rPr>
        <w:t>d</w:t>
      </w:r>
      <w:r w:rsidRPr="00C64064">
        <w:rPr>
          <w:rFonts w:asciiTheme="majorHAnsi" w:eastAsia="Arial" w:hAnsiTheme="majorHAnsi" w:cstheme="majorHAnsi"/>
          <w:lang w:eastAsia="en-US"/>
        </w:rPr>
        <w:t>esign (UD) principles across the business activities of PRISMA’s private sector partners. Participation improvement aims to enhance the involvement of farmers with disabilities as a target demographic in partners’ in-person marketing and educational events in the field.</w:t>
      </w:r>
      <w:bookmarkEnd w:id="129"/>
    </w:p>
    <w:p w14:paraId="0F8D6E34" w14:textId="26F1180D" w:rsidR="00FC7DB8" w:rsidRPr="00C64064" w:rsidRDefault="00FC7DB8" w:rsidP="00FC7DB8">
      <w:pPr>
        <w:keepNext/>
        <w:keepLines/>
        <w:suppressAutoHyphens/>
        <w:spacing w:before="280" w:after="240" w:line="264" w:lineRule="auto"/>
        <w:ind w:left="851" w:hanging="851"/>
        <w:jc w:val="both"/>
        <w:outlineLvl w:val="1"/>
        <w:rPr>
          <w:rFonts w:asciiTheme="majorHAnsi" w:eastAsia="Arial" w:hAnsiTheme="majorHAnsi" w:cstheme="majorHAnsi"/>
          <w:b/>
          <w:i/>
          <w:lang w:eastAsia="en-US"/>
        </w:rPr>
      </w:pPr>
      <w:bookmarkStart w:id="130" w:name="_Toc173318332"/>
      <w:r w:rsidRPr="00C64064">
        <w:rPr>
          <w:rFonts w:asciiTheme="majorHAnsi" w:eastAsia="Arial" w:hAnsiTheme="majorHAnsi" w:cstheme="majorHAnsi"/>
          <w:b/>
          <w:i/>
          <w:lang w:eastAsia="en-US"/>
        </w:rPr>
        <w:t>Prog</w:t>
      </w:r>
      <w:r w:rsidR="0000794F" w:rsidRPr="00C64064">
        <w:rPr>
          <w:rFonts w:asciiTheme="majorHAnsi" w:eastAsia="Arial" w:hAnsiTheme="majorHAnsi" w:cstheme="majorHAnsi"/>
          <w:b/>
          <w:i/>
          <w:lang w:eastAsia="en-US"/>
        </w:rPr>
        <w:t>r</w:t>
      </w:r>
      <w:r w:rsidRPr="00C64064">
        <w:rPr>
          <w:rFonts w:asciiTheme="majorHAnsi" w:eastAsia="Arial" w:hAnsiTheme="majorHAnsi" w:cstheme="majorHAnsi"/>
          <w:b/>
          <w:i/>
          <w:lang w:eastAsia="en-US"/>
        </w:rPr>
        <w:t>ess towards accessibility improvements</w:t>
      </w:r>
      <w:bookmarkEnd w:id="130"/>
    </w:p>
    <w:p w14:paraId="3FC98706" w14:textId="0D7F2299" w:rsidR="00FC7DB8" w:rsidRPr="00C64064" w:rsidRDefault="00FC7DB8" w:rsidP="00FC7DB8">
      <w:pPr>
        <w:spacing w:before="120" w:after="120" w:line="264" w:lineRule="auto"/>
        <w:jc w:val="both"/>
        <w:rPr>
          <w:rFonts w:asciiTheme="majorHAnsi" w:eastAsia="Arial" w:hAnsiTheme="majorHAnsi" w:cstheme="majorHAnsi"/>
          <w:lang w:eastAsia="en-US"/>
        </w:rPr>
      </w:pPr>
      <w:r w:rsidRPr="00C64064">
        <w:rPr>
          <w:rFonts w:asciiTheme="majorHAnsi" w:eastAsia="Arial" w:hAnsiTheme="majorHAnsi" w:cstheme="majorHAnsi"/>
          <w:lang w:eastAsia="en-US"/>
        </w:rPr>
        <w:t>Following the previous work with PRISMA in improving accessibility (readability) of its information posters, PT E-Tong Chemical Indones</w:t>
      </w:r>
      <w:r w:rsidR="0086741F" w:rsidRPr="00C64064">
        <w:rPr>
          <w:rFonts w:asciiTheme="majorHAnsi" w:eastAsia="Arial" w:hAnsiTheme="majorHAnsi" w:cstheme="majorHAnsi"/>
          <w:lang w:eastAsia="en-US"/>
        </w:rPr>
        <w:t>ia, a crop protection products company,</w:t>
      </w:r>
      <w:r w:rsidRPr="00C64064">
        <w:rPr>
          <w:rFonts w:asciiTheme="majorHAnsi" w:eastAsia="Arial" w:hAnsiTheme="majorHAnsi" w:cstheme="majorHAnsi"/>
          <w:lang w:eastAsia="en-US"/>
        </w:rPr>
        <w:t xml:space="preserve"> ha</w:t>
      </w:r>
      <w:r w:rsidR="0086741F" w:rsidRPr="00C64064">
        <w:rPr>
          <w:rFonts w:asciiTheme="majorHAnsi" w:eastAsia="Arial" w:hAnsiTheme="majorHAnsi" w:cstheme="majorHAnsi"/>
          <w:lang w:eastAsia="en-US"/>
        </w:rPr>
        <w:t>s</w:t>
      </w:r>
      <w:r w:rsidRPr="00C64064">
        <w:rPr>
          <w:rFonts w:asciiTheme="majorHAnsi" w:eastAsia="Arial" w:hAnsiTheme="majorHAnsi" w:cstheme="majorHAnsi"/>
          <w:lang w:eastAsia="en-US"/>
        </w:rPr>
        <w:t xml:space="preserve"> continued appl</w:t>
      </w:r>
      <w:r w:rsidR="0086741F" w:rsidRPr="00C64064">
        <w:rPr>
          <w:rFonts w:asciiTheme="majorHAnsi" w:eastAsia="Arial" w:hAnsiTheme="majorHAnsi" w:cstheme="majorHAnsi"/>
          <w:lang w:eastAsia="en-US"/>
        </w:rPr>
        <w:t>ying</w:t>
      </w:r>
      <w:r w:rsidRPr="00C64064">
        <w:rPr>
          <w:rFonts w:asciiTheme="majorHAnsi" w:eastAsia="Arial" w:hAnsiTheme="majorHAnsi" w:cstheme="majorHAnsi"/>
          <w:lang w:eastAsia="en-US"/>
        </w:rPr>
        <w:t xml:space="preserve"> UD principles. The </w:t>
      </w:r>
      <w:r w:rsidR="00570608" w:rsidRPr="00C64064">
        <w:rPr>
          <w:rFonts w:asciiTheme="majorHAnsi" w:eastAsia="Arial" w:hAnsiTheme="majorHAnsi" w:cstheme="majorHAnsi"/>
          <w:lang w:eastAsia="en-US"/>
        </w:rPr>
        <w:t xml:space="preserve">company </w:t>
      </w:r>
      <w:r w:rsidRPr="00C64064">
        <w:rPr>
          <w:rFonts w:asciiTheme="majorHAnsi" w:eastAsia="Arial" w:hAnsiTheme="majorHAnsi" w:cstheme="majorHAnsi"/>
          <w:lang w:eastAsia="en-US"/>
        </w:rPr>
        <w:t>ha</w:t>
      </w:r>
      <w:r w:rsidR="00570608" w:rsidRPr="00C64064">
        <w:rPr>
          <w:rFonts w:asciiTheme="majorHAnsi" w:eastAsia="Arial" w:hAnsiTheme="majorHAnsi" w:cstheme="majorHAnsi"/>
          <w:lang w:eastAsia="en-US"/>
        </w:rPr>
        <w:t>s</w:t>
      </w:r>
      <w:r w:rsidRPr="00C64064">
        <w:rPr>
          <w:rFonts w:asciiTheme="majorHAnsi" w:eastAsia="Arial" w:hAnsiTheme="majorHAnsi" w:cstheme="majorHAnsi"/>
          <w:lang w:eastAsia="en-US"/>
        </w:rPr>
        <w:t xml:space="preserve"> adjusted the display and messag</w:t>
      </w:r>
      <w:r w:rsidR="00570608" w:rsidRPr="00C64064">
        <w:rPr>
          <w:rFonts w:asciiTheme="majorHAnsi" w:eastAsia="Arial" w:hAnsiTheme="majorHAnsi" w:cstheme="majorHAnsi"/>
          <w:lang w:eastAsia="en-US"/>
        </w:rPr>
        <w:t>ing</w:t>
      </w:r>
      <w:r w:rsidRPr="00C64064">
        <w:rPr>
          <w:rFonts w:asciiTheme="majorHAnsi" w:eastAsia="Arial" w:hAnsiTheme="majorHAnsi" w:cstheme="majorHAnsi"/>
          <w:lang w:eastAsia="en-US"/>
        </w:rPr>
        <w:t xml:space="preserve"> of </w:t>
      </w:r>
      <w:r w:rsidR="00570608" w:rsidRPr="00C64064">
        <w:rPr>
          <w:rFonts w:asciiTheme="majorHAnsi" w:eastAsia="Arial" w:hAnsiTheme="majorHAnsi" w:cstheme="majorHAnsi"/>
          <w:lang w:eastAsia="en-US"/>
        </w:rPr>
        <w:t>its</w:t>
      </w:r>
      <w:r w:rsidRPr="00C64064">
        <w:rPr>
          <w:rFonts w:asciiTheme="majorHAnsi" w:eastAsia="Arial" w:hAnsiTheme="majorHAnsi" w:cstheme="majorHAnsi"/>
          <w:lang w:eastAsia="en-US"/>
        </w:rPr>
        <w:t xml:space="preserve"> newly developed flipcharts to make them more readable and understandable. </w:t>
      </w:r>
      <w:r w:rsidR="00081122" w:rsidRPr="00C64064">
        <w:rPr>
          <w:rFonts w:asciiTheme="majorHAnsi" w:eastAsia="Arial" w:hAnsiTheme="majorHAnsi" w:cstheme="majorHAnsi"/>
          <w:lang w:eastAsia="en-US"/>
        </w:rPr>
        <w:t>Field agronomists use t</w:t>
      </w:r>
      <w:r w:rsidRPr="00C64064">
        <w:rPr>
          <w:rFonts w:asciiTheme="majorHAnsi" w:eastAsia="Arial" w:hAnsiTheme="majorHAnsi" w:cstheme="majorHAnsi"/>
          <w:lang w:eastAsia="en-US"/>
        </w:rPr>
        <w:t xml:space="preserve">he flipcharts </w:t>
      </w:r>
      <w:r w:rsidR="00570608" w:rsidRPr="00C64064">
        <w:rPr>
          <w:rFonts w:asciiTheme="majorHAnsi" w:eastAsia="Arial" w:hAnsiTheme="majorHAnsi" w:cstheme="majorHAnsi"/>
          <w:lang w:eastAsia="en-US"/>
        </w:rPr>
        <w:t>to</w:t>
      </w:r>
      <w:r w:rsidRPr="00C64064">
        <w:rPr>
          <w:rFonts w:asciiTheme="majorHAnsi" w:eastAsia="Arial" w:hAnsiTheme="majorHAnsi" w:cstheme="majorHAnsi"/>
          <w:lang w:eastAsia="en-US"/>
        </w:rPr>
        <w:t xml:space="preserve"> promot</w:t>
      </w:r>
      <w:r w:rsidR="00570608" w:rsidRPr="00C64064">
        <w:rPr>
          <w:rFonts w:asciiTheme="majorHAnsi" w:eastAsia="Arial" w:hAnsiTheme="majorHAnsi" w:cstheme="majorHAnsi"/>
          <w:lang w:eastAsia="en-US"/>
        </w:rPr>
        <w:t>e</w:t>
      </w:r>
      <w:r w:rsidR="00050BE4" w:rsidRPr="00C64064">
        <w:rPr>
          <w:rFonts w:asciiTheme="majorHAnsi" w:eastAsia="Arial" w:hAnsiTheme="majorHAnsi" w:cstheme="majorHAnsi"/>
          <w:lang w:eastAsia="en-US"/>
        </w:rPr>
        <w:t xml:space="preserve"> good agricultural practices</w:t>
      </w:r>
      <w:r w:rsidRPr="00C64064">
        <w:rPr>
          <w:rFonts w:asciiTheme="majorHAnsi" w:eastAsia="Arial" w:hAnsiTheme="majorHAnsi" w:cstheme="majorHAnsi"/>
          <w:lang w:eastAsia="en-US"/>
        </w:rPr>
        <w:t xml:space="preserve"> </w:t>
      </w:r>
      <w:r w:rsidR="00050BE4" w:rsidRPr="00C64064">
        <w:rPr>
          <w:rFonts w:asciiTheme="majorHAnsi" w:eastAsia="Arial" w:hAnsiTheme="majorHAnsi" w:cstheme="majorHAnsi"/>
          <w:lang w:eastAsia="en-US"/>
        </w:rPr>
        <w:t>(</w:t>
      </w:r>
      <w:r w:rsidRPr="00C64064">
        <w:rPr>
          <w:rFonts w:asciiTheme="majorHAnsi" w:eastAsia="Arial" w:hAnsiTheme="majorHAnsi" w:cstheme="majorHAnsi"/>
          <w:lang w:eastAsia="en-US"/>
        </w:rPr>
        <w:t>GAP</w:t>
      </w:r>
      <w:r w:rsidR="00050BE4" w:rsidRPr="00C64064">
        <w:rPr>
          <w:rFonts w:asciiTheme="majorHAnsi" w:eastAsia="Arial" w:hAnsiTheme="majorHAnsi" w:cstheme="majorHAnsi"/>
          <w:lang w:eastAsia="en-US"/>
        </w:rPr>
        <w:t>)</w:t>
      </w:r>
      <w:r w:rsidRPr="00C64064">
        <w:rPr>
          <w:rFonts w:asciiTheme="majorHAnsi" w:eastAsia="Arial" w:hAnsiTheme="majorHAnsi" w:cstheme="majorHAnsi"/>
          <w:lang w:eastAsia="en-US"/>
        </w:rPr>
        <w:t xml:space="preserve"> and proper use of agro-chemical products. </w:t>
      </w:r>
    </w:p>
    <w:p w14:paraId="314DCB9F" w14:textId="4ADB41E6" w:rsidR="00FC7DB8" w:rsidRPr="00C64064" w:rsidRDefault="00FC7DB8" w:rsidP="00FC7DB8">
      <w:pPr>
        <w:spacing w:before="120" w:after="120" w:line="264" w:lineRule="auto"/>
        <w:contextualSpacing/>
        <w:jc w:val="both"/>
        <w:rPr>
          <w:rFonts w:asciiTheme="majorHAnsi" w:eastAsia="Arial" w:hAnsiTheme="majorHAnsi" w:cstheme="majorHAnsi"/>
          <w:lang w:eastAsia="en-US"/>
        </w:rPr>
      </w:pPr>
      <w:r w:rsidRPr="00C64064">
        <w:rPr>
          <w:rFonts w:asciiTheme="majorHAnsi" w:eastAsia="Arial" w:hAnsiTheme="majorHAnsi" w:cstheme="majorHAnsi"/>
          <w:lang w:eastAsia="en-US"/>
        </w:rPr>
        <w:t xml:space="preserve">In the ICT sector, PRISMA supported </w:t>
      </w:r>
      <w:r w:rsidR="00991A22" w:rsidRPr="00C64064">
        <w:rPr>
          <w:rFonts w:asciiTheme="majorHAnsi" w:eastAsia="Arial" w:hAnsiTheme="majorHAnsi" w:cstheme="majorHAnsi"/>
          <w:lang w:eastAsia="en-US"/>
        </w:rPr>
        <w:t>2</w:t>
      </w:r>
      <w:r w:rsidRPr="00C64064">
        <w:rPr>
          <w:rFonts w:asciiTheme="majorHAnsi" w:eastAsia="Arial" w:hAnsiTheme="majorHAnsi" w:cstheme="majorHAnsi"/>
          <w:lang w:eastAsia="en-US"/>
        </w:rPr>
        <w:t xml:space="preserve"> partners - Yayasan Bina Tani Sejahtera (YBTS), a foundation under PT East West Seed Indonesia, and PT Mitra Sejahtera Membangun Bangsa (MSMB), an agricultural startup that operates across the entire agricultural supply chain. PRISMA helped them develop a promotional video that incorporate</w:t>
      </w:r>
      <w:r w:rsidR="00086313" w:rsidRPr="00C64064">
        <w:rPr>
          <w:rFonts w:asciiTheme="majorHAnsi" w:eastAsia="Arial" w:hAnsiTheme="majorHAnsi" w:cstheme="majorHAnsi"/>
          <w:lang w:eastAsia="en-US"/>
        </w:rPr>
        <w:t>s</w:t>
      </w:r>
      <w:r w:rsidRPr="00C64064">
        <w:rPr>
          <w:rFonts w:asciiTheme="majorHAnsi" w:eastAsia="Arial" w:hAnsiTheme="majorHAnsi" w:cstheme="majorHAnsi"/>
          <w:lang w:eastAsia="en-US"/>
        </w:rPr>
        <w:t xml:space="preserve"> UD principles, including a sign language translator (only for YBTS), embedded subtitles, appropriate size and colour contrast of graphics, and clear narration sound. The partners will disseminate the videos through their respective social media accounts.</w:t>
      </w:r>
    </w:p>
    <w:p w14:paraId="587BE33A" w14:textId="23C91DA3" w:rsidR="007C2A6E" w:rsidRPr="00C64064" w:rsidRDefault="007C2A6E" w:rsidP="00FC7DB8">
      <w:pPr>
        <w:spacing w:before="120" w:after="120" w:line="264" w:lineRule="auto"/>
        <w:contextualSpacing/>
        <w:jc w:val="both"/>
        <w:rPr>
          <w:rFonts w:asciiTheme="majorHAnsi" w:eastAsia="Arial" w:hAnsiTheme="majorHAnsi" w:cstheme="majorHAnsi"/>
          <w:sz w:val="20"/>
          <w:lang w:eastAsia="en-US"/>
        </w:rPr>
      </w:pPr>
    </w:p>
    <w:p w14:paraId="10894F75" w14:textId="7A4F8A8A" w:rsidR="00FC7DB8" w:rsidRPr="00C64064" w:rsidRDefault="00FC7DB8" w:rsidP="00FC7DB8">
      <w:pPr>
        <w:keepNext/>
        <w:keepLines/>
        <w:suppressAutoHyphens/>
        <w:spacing w:before="280" w:after="240" w:line="264" w:lineRule="auto"/>
        <w:ind w:left="851" w:hanging="851"/>
        <w:jc w:val="both"/>
        <w:outlineLvl w:val="1"/>
        <w:rPr>
          <w:rFonts w:asciiTheme="majorHAnsi" w:eastAsia="Arial" w:hAnsiTheme="majorHAnsi" w:cstheme="majorHAnsi"/>
          <w:b/>
          <w:i/>
          <w:lang w:eastAsia="en-US"/>
        </w:rPr>
      </w:pPr>
      <w:bookmarkStart w:id="131" w:name="_Toc173318333"/>
      <w:r w:rsidRPr="00C64064">
        <w:rPr>
          <w:rFonts w:asciiTheme="majorHAnsi" w:eastAsia="Arial" w:hAnsiTheme="majorHAnsi" w:cstheme="majorHAnsi"/>
          <w:b/>
          <w:i/>
          <w:lang w:eastAsia="en-US"/>
        </w:rPr>
        <w:t>Progress towards increasing participation</w:t>
      </w:r>
      <w:bookmarkEnd w:id="131"/>
    </w:p>
    <w:p w14:paraId="7EB9F3EC" w14:textId="21D05BCA" w:rsidR="00FC7DB8" w:rsidRPr="00C64064" w:rsidRDefault="00FC7DB8" w:rsidP="00FC7DB8">
      <w:pPr>
        <w:spacing w:before="120" w:after="120" w:line="264" w:lineRule="auto"/>
        <w:contextualSpacing/>
        <w:jc w:val="both"/>
        <w:rPr>
          <w:rFonts w:asciiTheme="majorHAnsi" w:eastAsia="Arial" w:hAnsiTheme="majorHAnsi" w:cstheme="majorHAnsi"/>
          <w:lang w:eastAsia="en-US"/>
        </w:rPr>
      </w:pPr>
      <w:r w:rsidRPr="00C64064">
        <w:rPr>
          <w:rFonts w:asciiTheme="majorHAnsi" w:eastAsia="Arial" w:hAnsiTheme="majorHAnsi" w:cstheme="majorHAnsi"/>
          <w:lang w:eastAsia="en-US"/>
        </w:rPr>
        <w:t>PT NuFeed and KJUB Puspetasari, 2 cattle feed companies in the dairy and beef sectors, continued their inclusive business initiatives through commercial collaborations with farmers with disabilities who previously led their demonstration plots. Two dairy farmers with mobility and vision impairments started selling NuFeed feed products. NuFeed also supported them in distribution channel development to enhance the</w:t>
      </w:r>
      <w:r w:rsidR="00570608" w:rsidRPr="00C64064">
        <w:rPr>
          <w:rFonts w:asciiTheme="majorHAnsi" w:eastAsia="Arial" w:hAnsiTheme="majorHAnsi" w:cstheme="majorHAnsi"/>
          <w:lang w:eastAsia="en-US"/>
        </w:rPr>
        <w:t>ir</w:t>
      </w:r>
      <w:r w:rsidRPr="00C64064">
        <w:rPr>
          <w:rFonts w:asciiTheme="majorHAnsi" w:eastAsia="Arial" w:hAnsiTheme="majorHAnsi" w:cstheme="majorHAnsi"/>
          <w:lang w:eastAsia="en-US"/>
        </w:rPr>
        <w:t xml:space="preserve"> commercial activities. Similarly, KJUB Puspetasari also supported a farmer with </w:t>
      </w:r>
      <w:r w:rsidR="00570608" w:rsidRPr="00C64064">
        <w:rPr>
          <w:rFonts w:asciiTheme="majorHAnsi" w:eastAsia="Arial" w:hAnsiTheme="majorHAnsi" w:cstheme="majorHAnsi"/>
          <w:lang w:eastAsia="en-US"/>
        </w:rPr>
        <w:t xml:space="preserve">a </w:t>
      </w:r>
      <w:r w:rsidRPr="00C64064">
        <w:rPr>
          <w:rFonts w:asciiTheme="majorHAnsi" w:eastAsia="Arial" w:hAnsiTheme="majorHAnsi" w:cstheme="majorHAnsi"/>
          <w:lang w:eastAsia="en-US"/>
        </w:rPr>
        <w:t xml:space="preserve">disability to become </w:t>
      </w:r>
      <w:r w:rsidR="00570608" w:rsidRPr="00C64064">
        <w:rPr>
          <w:rFonts w:asciiTheme="majorHAnsi" w:eastAsia="Arial" w:hAnsiTheme="majorHAnsi" w:cstheme="majorHAnsi"/>
          <w:lang w:eastAsia="en-US"/>
        </w:rPr>
        <w:t>its</w:t>
      </w:r>
      <w:r w:rsidRPr="00C64064">
        <w:rPr>
          <w:rFonts w:asciiTheme="majorHAnsi" w:eastAsia="Arial" w:hAnsiTheme="majorHAnsi" w:cstheme="majorHAnsi"/>
          <w:lang w:eastAsia="en-US"/>
        </w:rPr>
        <w:t xml:space="preserve"> field sales agent. </w:t>
      </w:r>
    </w:p>
    <w:p w14:paraId="3ECF9C52" w14:textId="77777777" w:rsidR="00FC7DB8" w:rsidRPr="00C64064" w:rsidRDefault="00FC7DB8" w:rsidP="00FC7DB8">
      <w:pPr>
        <w:spacing w:before="120" w:after="120" w:line="264" w:lineRule="auto"/>
        <w:contextualSpacing/>
        <w:jc w:val="both"/>
        <w:rPr>
          <w:rFonts w:asciiTheme="majorHAnsi" w:eastAsia="Arial" w:hAnsiTheme="majorHAnsi" w:cstheme="majorHAnsi"/>
          <w:lang w:eastAsia="en-US"/>
        </w:rPr>
      </w:pPr>
    </w:p>
    <w:p w14:paraId="3DACCBBB" w14:textId="6C9DFE70" w:rsidR="00FC7DB8" w:rsidRPr="00C64064" w:rsidRDefault="00FC7DB8" w:rsidP="00FC7DB8">
      <w:pPr>
        <w:spacing w:before="120" w:after="120" w:line="264" w:lineRule="auto"/>
        <w:contextualSpacing/>
        <w:jc w:val="both"/>
        <w:rPr>
          <w:rFonts w:asciiTheme="majorHAnsi" w:eastAsia="Arial" w:hAnsiTheme="majorHAnsi" w:cstheme="majorHAnsi"/>
          <w:sz w:val="20"/>
          <w:szCs w:val="20"/>
          <w:lang w:eastAsia="en-US"/>
        </w:rPr>
      </w:pPr>
      <w:r w:rsidRPr="00C64064">
        <w:rPr>
          <w:rFonts w:asciiTheme="majorHAnsi" w:eastAsia="Arial" w:hAnsiTheme="majorHAnsi" w:cstheme="majorHAnsi"/>
          <w:lang w:eastAsia="en-US"/>
        </w:rPr>
        <w:t xml:space="preserve">In </w:t>
      </w:r>
      <w:r w:rsidR="00570608" w:rsidRPr="00C64064">
        <w:rPr>
          <w:rFonts w:asciiTheme="majorHAnsi" w:eastAsia="Arial" w:hAnsiTheme="majorHAnsi" w:cstheme="majorHAnsi"/>
          <w:lang w:eastAsia="en-US"/>
        </w:rPr>
        <w:t xml:space="preserve">the </w:t>
      </w:r>
      <w:r w:rsidRPr="00C64064">
        <w:rPr>
          <w:rFonts w:asciiTheme="majorHAnsi" w:eastAsia="Arial" w:hAnsiTheme="majorHAnsi" w:cstheme="majorHAnsi"/>
          <w:lang w:eastAsia="en-US"/>
        </w:rPr>
        <w:t>maize sector, CV Tani Jaya Sehati, a seed nursery in Manggarai, NTT, piloted its disability</w:t>
      </w:r>
      <w:r w:rsidR="008C79EA" w:rsidRPr="00C64064">
        <w:rPr>
          <w:rFonts w:asciiTheme="majorHAnsi" w:eastAsia="Arial" w:hAnsiTheme="majorHAnsi" w:cstheme="majorHAnsi"/>
          <w:lang w:eastAsia="en-US"/>
        </w:rPr>
        <w:t>-</w:t>
      </w:r>
      <w:r w:rsidRPr="00C64064">
        <w:rPr>
          <w:rFonts w:asciiTheme="majorHAnsi" w:eastAsia="Arial" w:hAnsiTheme="majorHAnsi" w:cstheme="majorHAnsi"/>
          <w:lang w:eastAsia="en-US"/>
        </w:rPr>
        <w:t xml:space="preserve">inclusive business model through </w:t>
      </w:r>
      <w:r w:rsidR="008C79EA" w:rsidRPr="00C64064">
        <w:rPr>
          <w:rFonts w:asciiTheme="majorHAnsi" w:eastAsia="Arial" w:hAnsiTheme="majorHAnsi" w:cstheme="majorHAnsi"/>
          <w:lang w:eastAsia="en-US"/>
        </w:rPr>
        <w:t xml:space="preserve">a </w:t>
      </w:r>
      <w:r w:rsidRPr="00C64064">
        <w:rPr>
          <w:rFonts w:asciiTheme="majorHAnsi" w:eastAsia="Arial" w:hAnsiTheme="majorHAnsi" w:cstheme="majorHAnsi"/>
          <w:lang w:eastAsia="en-US"/>
        </w:rPr>
        <w:t>partnership with a special school</w:t>
      </w:r>
      <w:r w:rsidR="008C79EA" w:rsidRPr="00C64064">
        <w:rPr>
          <w:rFonts w:asciiTheme="majorHAnsi" w:eastAsia="Arial" w:hAnsiTheme="majorHAnsi" w:cstheme="majorHAnsi"/>
          <w:lang w:eastAsia="en-US"/>
        </w:rPr>
        <w:t>,</w:t>
      </w:r>
      <w:r w:rsidRPr="00C64064">
        <w:rPr>
          <w:rFonts w:asciiTheme="majorHAnsi" w:eastAsia="Arial" w:hAnsiTheme="majorHAnsi" w:cstheme="majorHAnsi"/>
          <w:lang w:eastAsia="en-US"/>
        </w:rPr>
        <w:t xml:space="preserve"> namely SLB N 1 Borong. The seed nursery was inspired </w:t>
      </w:r>
      <w:r w:rsidR="008C79EA" w:rsidRPr="00C64064">
        <w:rPr>
          <w:rFonts w:asciiTheme="majorHAnsi" w:eastAsia="Arial" w:hAnsiTheme="majorHAnsi" w:cstheme="majorHAnsi"/>
          <w:lang w:eastAsia="en-US"/>
        </w:rPr>
        <w:t xml:space="preserve">to do so </w:t>
      </w:r>
      <w:r w:rsidRPr="00C64064">
        <w:rPr>
          <w:rFonts w:asciiTheme="majorHAnsi" w:eastAsia="Arial" w:hAnsiTheme="majorHAnsi" w:cstheme="majorHAnsi"/>
          <w:lang w:eastAsia="en-US"/>
        </w:rPr>
        <w:t>after participat</w:t>
      </w:r>
      <w:r w:rsidR="004A05D2" w:rsidRPr="00C64064">
        <w:rPr>
          <w:rFonts w:asciiTheme="majorHAnsi" w:eastAsia="Arial" w:hAnsiTheme="majorHAnsi" w:cstheme="majorHAnsi"/>
          <w:lang w:eastAsia="en-US"/>
        </w:rPr>
        <w:t>ing</w:t>
      </w:r>
      <w:r w:rsidRPr="00C64064">
        <w:rPr>
          <w:rFonts w:asciiTheme="majorHAnsi" w:eastAsia="Arial" w:hAnsiTheme="majorHAnsi" w:cstheme="majorHAnsi"/>
          <w:lang w:eastAsia="en-US"/>
        </w:rPr>
        <w:t xml:space="preserve"> in PRISMA’s disability inclusion workshop in NTT last semester. Supported by PRISMA and its </w:t>
      </w:r>
      <w:r w:rsidR="00146FE3" w:rsidRPr="00C64064">
        <w:rPr>
          <w:rFonts w:asciiTheme="majorHAnsi" w:eastAsia="Arial" w:hAnsiTheme="majorHAnsi" w:cstheme="majorHAnsi"/>
          <w:lang w:eastAsia="en-US"/>
        </w:rPr>
        <w:t xml:space="preserve">disability inclusion </w:t>
      </w:r>
      <w:r w:rsidRPr="00C64064">
        <w:rPr>
          <w:rFonts w:asciiTheme="majorHAnsi" w:eastAsia="Arial" w:hAnsiTheme="majorHAnsi" w:cstheme="majorHAnsi"/>
          <w:lang w:eastAsia="en-US"/>
        </w:rPr>
        <w:t xml:space="preserve">advisor, </w:t>
      </w:r>
      <w:r w:rsidR="00146FE3" w:rsidRPr="00C64064">
        <w:rPr>
          <w:rFonts w:asciiTheme="majorHAnsi" w:eastAsia="Arial" w:hAnsiTheme="majorHAnsi" w:cstheme="majorHAnsi"/>
          <w:lang w:eastAsia="en-US"/>
        </w:rPr>
        <w:t>YAKKUM Rehabilitation Center (</w:t>
      </w:r>
      <w:r w:rsidRPr="00C64064">
        <w:rPr>
          <w:rFonts w:asciiTheme="majorHAnsi" w:eastAsia="Arial" w:hAnsiTheme="majorHAnsi" w:cstheme="majorHAnsi"/>
          <w:lang w:eastAsia="en-US"/>
        </w:rPr>
        <w:t>PR YAKKUM</w:t>
      </w:r>
      <w:r w:rsidR="00146FE3" w:rsidRPr="00C64064">
        <w:rPr>
          <w:rFonts w:asciiTheme="majorHAnsi" w:eastAsia="Arial" w:hAnsiTheme="majorHAnsi" w:cstheme="majorHAnsi"/>
          <w:lang w:eastAsia="en-US"/>
        </w:rPr>
        <w:t>)</w:t>
      </w:r>
      <w:r w:rsidRPr="00C64064">
        <w:rPr>
          <w:rFonts w:asciiTheme="majorHAnsi" w:eastAsia="Arial" w:hAnsiTheme="majorHAnsi" w:cstheme="majorHAnsi"/>
          <w:lang w:eastAsia="en-US"/>
        </w:rPr>
        <w:t xml:space="preserve">, the nursery conducted </w:t>
      </w:r>
      <w:r w:rsidR="00D82205" w:rsidRPr="00C64064">
        <w:rPr>
          <w:rFonts w:asciiTheme="majorHAnsi" w:eastAsia="Arial" w:hAnsiTheme="majorHAnsi" w:cstheme="majorHAnsi"/>
          <w:lang w:eastAsia="en-US"/>
        </w:rPr>
        <w:t>training</w:t>
      </w:r>
      <w:r w:rsidRPr="00C64064">
        <w:rPr>
          <w:rFonts w:asciiTheme="majorHAnsi" w:eastAsia="Arial" w:hAnsiTheme="majorHAnsi" w:cstheme="majorHAnsi"/>
          <w:lang w:eastAsia="en-US"/>
        </w:rPr>
        <w:t xml:space="preserve"> for the </w:t>
      </w:r>
      <w:r w:rsidR="00086313" w:rsidRPr="00C64064">
        <w:rPr>
          <w:rFonts w:asciiTheme="majorHAnsi" w:eastAsia="Arial" w:hAnsiTheme="majorHAnsi" w:cstheme="majorHAnsi"/>
          <w:lang w:eastAsia="en-US"/>
        </w:rPr>
        <w:t xml:space="preserve">special school </w:t>
      </w:r>
      <w:r w:rsidR="00462223" w:rsidRPr="00C64064">
        <w:rPr>
          <w:rFonts w:asciiTheme="majorHAnsi" w:eastAsia="Arial" w:hAnsiTheme="majorHAnsi" w:cstheme="majorHAnsi"/>
          <w:lang w:eastAsia="en-US"/>
        </w:rPr>
        <w:t>teacher</w:t>
      </w:r>
      <w:r w:rsidR="00C736E7" w:rsidRPr="00C64064">
        <w:rPr>
          <w:rFonts w:asciiTheme="majorHAnsi" w:eastAsia="Arial" w:hAnsiTheme="majorHAnsi" w:cstheme="majorHAnsi"/>
          <w:lang w:eastAsia="en-US"/>
        </w:rPr>
        <w:t>s</w:t>
      </w:r>
      <w:r w:rsidRPr="00C64064">
        <w:rPr>
          <w:rFonts w:asciiTheme="majorHAnsi" w:eastAsia="Arial" w:hAnsiTheme="majorHAnsi" w:cstheme="majorHAnsi"/>
          <w:lang w:eastAsia="en-US"/>
        </w:rPr>
        <w:t xml:space="preserve"> on maize seed sortation. The teachers </w:t>
      </w:r>
      <w:r w:rsidR="000C52CA" w:rsidRPr="00C64064">
        <w:rPr>
          <w:rFonts w:asciiTheme="majorHAnsi" w:eastAsia="Arial" w:hAnsiTheme="majorHAnsi" w:cstheme="majorHAnsi"/>
          <w:lang w:eastAsia="en-US"/>
        </w:rPr>
        <w:t>then</w:t>
      </w:r>
      <w:r w:rsidRPr="00C64064">
        <w:rPr>
          <w:rFonts w:asciiTheme="majorHAnsi" w:eastAsia="Arial" w:hAnsiTheme="majorHAnsi" w:cstheme="majorHAnsi"/>
          <w:lang w:eastAsia="en-US"/>
        </w:rPr>
        <w:t xml:space="preserve"> trained 6 selected students </w:t>
      </w:r>
      <w:r w:rsidR="004A05D2" w:rsidRPr="00C64064">
        <w:rPr>
          <w:rFonts w:asciiTheme="majorHAnsi" w:eastAsia="Arial" w:hAnsiTheme="majorHAnsi" w:cstheme="majorHAnsi"/>
          <w:lang w:eastAsia="en-US"/>
        </w:rPr>
        <w:t xml:space="preserve">over 18 years </w:t>
      </w:r>
      <w:r w:rsidR="00086313" w:rsidRPr="00C64064">
        <w:rPr>
          <w:rFonts w:asciiTheme="majorHAnsi" w:eastAsia="Arial" w:hAnsiTheme="majorHAnsi" w:cstheme="majorHAnsi"/>
          <w:lang w:eastAsia="en-US"/>
        </w:rPr>
        <w:t xml:space="preserve">with cognitive impairments </w:t>
      </w:r>
      <w:r w:rsidRPr="00C64064">
        <w:rPr>
          <w:rFonts w:asciiTheme="majorHAnsi" w:eastAsia="Arial" w:hAnsiTheme="majorHAnsi" w:cstheme="majorHAnsi"/>
          <w:lang w:eastAsia="en-US"/>
        </w:rPr>
        <w:t>to learn how to undertake quality maize seed sortation. The success of the pilot encouraged the nursery to continue the</w:t>
      </w:r>
      <w:r w:rsidRPr="00C64064">
        <w:rPr>
          <w:rFonts w:asciiTheme="majorHAnsi" w:eastAsia="Arial" w:hAnsiTheme="majorHAnsi" w:cstheme="majorHAnsi"/>
          <w:sz w:val="20"/>
          <w:szCs w:val="20"/>
          <w:lang w:eastAsia="en-US"/>
        </w:rPr>
        <w:t xml:space="preserve"> partnership with the school and develop a plan to replicate similar initiative</w:t>
      </w:r>
      <w:r w:rsidR="00086313" w:rsidRPr="00C64064">
        <w:rPr>
          <w:rFonts w:asciiTheme="majorHAnsi" w:eastAsia="Arial" w:hAnsiTheme="majorHAnsi" w:cstheme="majorHAnsi"/>
          <w:sz w:val="20"/>
          <w:szCs w:val="20"/>
          <w:lang w:eastAsia="en-US"/>
        </w:rPr>
        <w:t>s</w:t>
      </w:r>
      <w:r w:rsidRPr="00C64064">
        <w:rPr>
          <w:rFonts w:asciiTheme="majorHAnsi" w:eastAsia="Arial" w:hAnsiTheme="majorHAnsi" w:cstheme="majorHAnsi"/>
          <w:sz w:val="20"/>
          <w:szCs w:val="20"/>
          <w:lang w:eastAsia="en-US"/>
        </w:rPr>
        <w:t xml:space="preserve"> with nearby churches.</w:t>
      </w:r>
    </w:p>
    <w:p w14:paraId="2910ABE3" w14:textId="77777777" w:rsidR="00FC7DB8" w:rsidRPr="00C64064" w:rsidRDefault="00FC7DB8" w:rsidP="00FC7DB8">
      <w:pPr>
        <w:spacing w:before="120" w:after="120" w:line="264" w:lineRule="auto"/>
        <w:contextualSpacing/>
        <w:jc w:val="both"/>
        <w:rPr>
          <w:rFonts w:asciiTheme="majorHAnsi" w:eastAsiaTheme="majorEastAsia" w:hAnsiTheme="majorHAnsi" w:cstheme="majorHAnsi"/>
          <w:sz w:val="28"/>
          <w:szCs w:val="28"/>
          <w:lang w:eastAsia="en-US"/>
        </w:rPr>
      </w:pPr>
    </w:p>
    <w:p w14:paraId="7F9EECF7" w14:textId="77777777" w:rsidR="00FC7DB8" w:rsidRPr="00C64064" w:rsidRDefault="00FC7DB8" w:rsidP="00FC7DB8">
      <w:pPr>
        <w:spacing w:before="120" w:after="120" w:line="264" w:lineRule="auto"/>
        <w:contextualSpacing/>
        <w:jc w:val="both"/>
        <w:rPr>
          <w:rFonts w:asciiTheme="majorHAnsi" w:eastAsiaTheme="majorEastAsia" w:hAnsiTheme="majorHAnsi" w:cstheme="majorHAnsi"/>
          <w:lang w:eastAsia="en-US"/>
        </w:rPr>
      </w:pPr>
      <w:r w:rsidRPr="00C64064">
        <w:rPr>
          <w:rFonts w:asciiTheme="majorHAnsi" w:eastAsiaTheme="majorEastAsia" w:hAnsiTheme="majorHAnsi" w:cstheme="majorHAnsi"/>
          <w:lang w:eastAsia="en-US"/>
        </w:rPr>
        <w:t>Knowledge harvesting and dissemination</w:t>
      </w:r>
    </w:p>
    <w:p w14:paraId="0EF5C734" w14:textId="4BA85C2A" w:rsidR="00FC7DB8" w:rsidRPr="00C64064" w:rsidRDefault="00FC7DB8" w:rsidP="00FC7DB8">
      <w:pPr>
        <w:keepNext/>
        <w:keepLines/>
        <w:suppressAutoHyphens/>
        <w:spacing w:before="220" w:after="220" w:line="264" w:lineRule="auto"/>
        <w:jc w:val="both"/>
        <w:outlineLvl w:val="3"/>
        <w:rPr>
          <w:rFonts w:asciiTheme="majorHAnsi" w:eastAsia="Arial" w:hAnsiTheme="majorHAnsi" w:cstheme="majorHAnsi"/>
          <w:b/>
          <w:bCs/>
          <w:i/>
          <w:lang w:eastAsia="en-US"/>
        </w:rPr>
      </w:pPr>
      <w:r w:rsidRPr="00C64064">
        <w:rPr>
          <w:rFonts w:asciiTheme="majorHAnsi" w:eastAsia="Arial" w:hAnsiTheme="majorHAnsi" w:cstheme="majorHAnsi"/>
          <w:b/>
          <w:i/>
          <w:lang w:eastAsia="en-US"/>
        </w:rPr>
        <w:t xml:space="preserve">Disability </w:t>
      </w:r>
      <w:r w:rsidR="00E7224C" w:rsidRPr="00C64064">
        <w:rPr>
          <w:rFonts w:asciiTheme="majorHAnsi" w:eastAsia="Arial" w:hAnsiTheme="majorHAnsi" w:cstheme="majorHAnsi"/>
          <w:b/>
          <w:i/>
          <w:lang w:eastAsia="en-US"/>
        </w:rPr>
        <w:t>i</w:t>
      </w:r>
      <w:r w:rsidRPr="00C64064">
        <w:rPr>
          <w:rFonts w:asciiTheme="majorHAnsi" w:eastAsia="Arial" w:hAnsiTheme="majorHAnsi" w:cstheme="majorHAnsi"/>
          <w:b/>
          <w:i/>
          <w:lang w:eastAsia="en-US"/>
        </w:rPr>
        <w:t xml:space="preserve">nclusion </w:t>
      </w:r>
      <w:r w:rsidR="00E7224C" w:rsidRPr="00C64064">
        <w:rPr>
          <w:rFonts w:asciiTheme="majorHAnsi" w:eastAsia="Arial" w:hAnsiTheme="majorHAnsi" w:cstheme="majorHAnsi"/>
          <w:b/>
          <w:i/>
          <w:lang w:eastAsia="en-US"/>
        </w:rPr>
        <w:t>w</w:t>
      </w:r>
      <w:r w:rsidRPr="00C64064">
        <w:rPr>
          <w:rFonts w:asciiTheme="majorHAnsi" w:eastAsia="Arial" w:hAnsiTheme="majorHAnsi" w:cstheme="majorHAnsi"/>
          <w:b/>
          <w:i/>
          <w:lang w:eastAsia="en-US"/>
        </w:rPr>
        <w:t>orkshop – From Awareness to Action: Disability Inclusion in Agribusiness</w:t>
      </w:r>
    </w:p>
    <w:p w14:paraId="11B2CF62" w14:textId="7B387194" w:rsidR="000A2F58" w:rsidRPr="00C64064" w:rsidRDefault="00FC7DB8" w:rsidP="00FC7DB8">
      <w:pPr>
        <w:spacing w:before="120" w:after="120" w:line="264" w:lineRule="auto"/>
        <w:contextualSpacing/>
        <w:jc w:val="both"/>
        <w:rPr>
          <w:rFonts w:asciiTheme="majorHAnsi" w:eastAsia="Arial" w:hAnsiTheme="majorHAnsi" w:cstheme="majorHAnsi"/>
          <w:lang w:eastAsia="en-US"/>
        </w:rPr>
      </w:pPr>
      <w:r w:rsidRPr="00C64064">
        <w:rPr>
          <w:rFonts w:asciiTheme="majorHAnsi" w:eastAsia="Arial" w:hAnsiTheme="majorHAnsi" w:cstheme="majorHAnsi"/>
          <w:lang w:eastAsia="en-US"/>
        </w:rPr>
        <w:t xml:space="preserve">Following the disability inclusion workshop </w:t>
      </w:r>
      <w:r w:rsidR="00650031" w:rsidRPr="00C64064">
        <w:rPr>
          <w:rFonts w:asciiTheme="majorHAnsi" w:eastAsia="Arial" w:hAnsiTheme="majorHAnsi" w:cstheme="majorHAnsi"/>
          <w:lang w:eastAsia="en-US"/>
        </w:rPr>
        <w:t xml:space="preserve">for NTT-based partners </w:t>
      </w:r>
      <w:r w:rsidRPr="00C64064">
        <w:rPr>
          <w:rFonts w:asciiTheme="majorHAnsi" w:eastAsia="Arial" w:hAnsiTheme="majorHAnsi" w:cstheme="majorHAnsi"/>
          <w:lang w:eastAsia="en-US"/>
        </w:rPr>
        <w:t xml:space="preserve">in Kupang last semester, PRISMA organised a second workshop in Jakarta in May. The event targeted agribusinesses, </w:t>
      </w:r>
      <w:r w:rsidRPr="00C64064">
        <w:rPr>
          <w:rFonts w:asciiTheme="majorHAnsi" w:eastAsia="Arial" w:hAnsiTheme="majorHAnsi" w:cstheme="majorHAnsi"/>
          <w:lang w:eastAsia="en-US"/>
        </w:rPr>
        <w:lastRenderedPageBreak/>
        <w:t xml:space="preserve">including several members of PISAgro and local </w:t>
      </w:r>
      <w:r w:rsidR="00650031" w:rsidRPr="00C64064">
        <w:rPr>
          <w:rFonts w:asciiTheme="majorHAnsi" w:eastAsia="Arial" w:hAnsiTheme="majorHAnsi" w:cstheme="majorHAnsi"/>
          <w:lang w:eastAsia="en-US"/>
        </w:rPr>
        <w:t>o</w:t>
      </w:r>
      <w:r w:rsidRPr="00C64064">
        <w:rPr>
          <w:rFonts w:asciiTheme="majorHAnsi" w:eastAsia="Arial" w:hAnsiTheme="majorHAnsi" w:cstheme="majorHAnsi"/>
          <w:lang w:eastAsia="en-US"/>
        </w:rPr>
        <w:t>rganisation</w:t>
      </w:r>
      <w:r w:rsidR="00650031" w:rsidRPr="00C64064">
        <w:rPr>
          <w:rFonts w:asciiTheme="majorHAnsi" w:eastAsia="Arial" w:hAnsiTheme="majorHAnsi" w:cstheme="majorHAnsi"/>
          <w:lang w:eastAsia="en-US"/>
        </w:rPr>
        <w:t>s</w:t>
      </w:r>
      <w:r w:rsidRPr="00C64064">
        <w:rPr>
          <w:rFonts w:asciiTheme="majorHAnsi" w:eastAsia="Arial" w:hAnsiTheme="majorHAnsi" w:cstheme="majorHAnsi"/>
          <w:lang w:eastAsia="en-US"/>
        </w:rPr>
        <w:t xml:space="preserve"> of </w:t>
      </w:r>
      <w:r w:rsidR="00650031" w:rsidRPr="00C64064">
        <w:rPr>
          <w:rFonts w:asciiTheme="majorHAnsi" w:eastAsia="Arial" w:hAnsiTheme="majorHAnsi" w:cstheme="majorHAnsi"/>
          <w:lang w:eastAsia="en-US"/>
        </w:rPr>
        <w:t>p</w:t>
      </w:r>
      <w:r w:rsidRPr="00C64064">
        <w:rPr>
          <w:rFonts w:asciiTheme="majorHAnsi" w:eastAsia="Arial" w:hAnsiTheme="majorHAnsi" w:cstheme="majorHAnsi"/>
          <w:lang w:eastAsia="en-US"/>
        </w:rPr>
        <w:t xml:space="preserve">ersons with </w:t>
      </w:r>
      <w:r w:rsidR="00650031" w:rsidRPr="00C64064">
        <w:rPr>
          <w:rFonts w:asciiTheme="majorHAnsi" w:eastAsia="Arial" w:hAnsiTheme="majorHAnsi" w:cstheme="majorHAnsi"/>
          <w:lang w:eastAsia="en-US"/>
        </w:rPr>
        <w:t>d</w:t>
      </w:r>
      <w:r w:rsidRPr="00C64064">
        <w:rPr>
          <w:rFonts w:asciiTheme="majorHAnsi" w:eastAsia="Arial" w:hAnsiTheme="majorHAnsi" w:cstheme="majorHAnsi"/>
          <w:lang w:eastAsia="en-US"/>
        </w:rPr>
        <w:t>isabilities (OPD). PR YAKKUM facilitated the event, w</w:t>
      </w:r>
      <w:r w:rsidR="001F59C2" w:rsidRPr="00C64064">
        <w:rPr>
          <w:rFonts w:asciiTheme="majorHAnsi" w:eastAsia="Arial" w:hAnsiTheme="majorHAnsi" w:cstheme="majorHAnsi"/>
          <w:lang w:eastAsia="en-US"/>
        </w:rPr>
        <w:t>ith</w:t>
      </w:r>
      <w:r w:rsidRPr="00C64064">
        <w:rPr>
          <w:rFonts w:asciiTheme="majorHAnsi" w:eastAsia="Arial" w:hAnsiTheme="majorHAnsi" w:cstheme="majorHAnsi"/>
          <w:lang w:eastAsia="en-US"/>
        </w:rPr>
        <w:t xml:space="preserve"> 58 participants from the private sector, OPDs, NGO</w:t>
      </w:r>
      <w:r w:rsidR="00650031" w:rsidRPr="00C64064">
        <w:rPr>
          <w:rFonts w:asciiTheme="majorHAnsi" w:eastAsia="Arial" w:hAnsiTheme="majorHAnsi" w:cstheme="majorHAnsi"/>
          <w:lang w:eastAsia="en-US"/>
        </w:rPr>
        <w:t>s</w:t>
      </w:r>
      <w:r w:rsidRPr="00C64064">
        <w:rPr>
          <w:rFonts w:asciiTheme="majorHAnsi" w:eastAsia="Arial" w:hAnsiTheme="majorHAnsi" w:cstheme="majorHAnsi"/>
          <w:lang w:eastAsia="en-US"/>
        </w:rPr>
        <w:t xml:space="preserve"> (Mercy Corps, Save The Children, and IBU Foundation)</w:t>
      </w:r>
      <w:r w:rsidR="00650031" w:rsidRPr="00C64064">
        <w:rPr>
          <w:rFonts w:asciiTheme="majorHAnsi" w:eastAsia="Arial" w:hAnsiTheme="majorHAnsi" w:cstheme="majorHAnsi"/>
          <w:lang w:eastAsia="en-US"/>
        </w:rPr>
        <w:t>, and farmers with disabilities. Personnel from t</w:t>
      </w:r>
      <w:r w:rsidR="001F59C2" w:rsidRPr="00C64064">
        <w:rPr>
          <w:rFonts w:asciiTheme="majorHAnsi" w:eastAsia="Arial" w:hAnsiTheme="majorHAnsi" w:cstheme="majorHAnsi"/>
          <w:lang w:eastAsia="en-US"/>
        </w:rPr>
        <w:t xml:space="preserve">he Australian </w:t>
      </w:r>
      <w:r w:rsidR="00650031" w:rsidRPr="00C64064">
        <w:rPr>
          <w:rFonts w:asciiTheme="majorHAnsi" w:eastAsia="Arial" w:hAnsiTheme="majorHAnsi" w:cstheme="majorHAnsi"/>
          <w:lang w:eastAsia="en-US"/>
        </w:rPr>
        <w:t>E</w:t>
      </w:r>
      <w:r w:rsidR="001F59C2" w:rsidRPr="00C64064">
        <w:rPr>
          <w:rFonts w:asciiTheme="majorHAnsi" w:eastAsia="Arial" w:hAnsiTheme="majorHAnsi" w:cstheme="majorHAnsi"/>
          <w:lang w:eastAsia="en-US"/>
        </w:rPr>
        <w:t>mbassy’s</w:t>
      </w:r>
      <w:r w:rsidRPr="00C64064">
        <w:rPr>
          <w:rFonts w:asciiTheme="majorHAnsi" w:eastAsia="Arial" w:hAnsiTheme="majorHAnsi" w:cstheme="majorHAnsi"/>
          <w:lang w:eastAsia="en-US"/>
        </w:rPr>
        <w:t xml:space="preserve"> development program (KATALIS) </w:t>
      </w:r>
      <w:r w:rsidR="001F59C2" w:rsidRPr="00C64064">
        <w:rPr>
          <w:rFonts w:asciiTheme="majorHAnsi" w:eastAsia="Arial" w:hAnsiTheme="majorHAnsi" w:cstheme="majorHAnsi"/>
          <w:lang w:eastAsia="en-US"/>
        </w:rPr>
        <w:t xml:space="preserve">also </w:t>
      </w:r>
      <w:r w:rsidRPr="00C64064">
        <w:rPr>
          <w:rFonts w:asciiTheme="majorHAnsi" w:eastAsia="Arial" w:hAnsiTheme="majorHAnsi" w:cstheme="majorHAnsi"/>
          <w:lang w:eastAsia="en-US"/>
        </w:rPr>
        <w:t>attended</w:t>
      </w:r>
      <w:r w:rsidR="001F59C2" w:rsidRPr="00C64064">
        <w:rPr>
          <w:rFonts w:asciiTheme="majorHAnsi" w:eastAsia="Arial" w:hAnsiTheme="majorHAnsi" w:cstheme="majorHAnsi"/>
          <w:lang w:eastAsia="en-US"/>
        </w:rPr>
        <w:t xml:space="preserve"> to learn more about inclusi</w:t>
      </w:r>
      <w:r w:rsidR="005A67B6" w:rsidRPr="00C64064">
        <w:rPr>
          <w:rFonts w:asciiTheme="majorHAnsi" w:eastAsia="Arial" w:hAnsiTheme="majorHAnsi" w:cstheme="majorHAnsi"/>
          <w:lang w:eastAsia="en-US"/>
        </w:rPr>
        <w:t>ve business practices</w:t>
      </w:r>
      <w:r w:rsidRPr="00C64064">
        <w:rPr>
          <w:rFonts w:asciiTheme="majorHAnsi" w:eastAsia="Arial" w:hAnsiTheme="majorHAnsi" w:cstheme="majorHAnsi"/>
          <w:lang w:eastAsia="en-US"/>
        </w:rPr>
        <w:t xml:space="preserve">. </w:t>
      </w:r>
    </w:p>
    <w:p w14:paraId="5F1FE119" w14:textId="77777777" w:rsidR="000A2F58" w:rsidRPr="00C64064" w:rsidRDefault="000A2F58" w:rsidP="00FC7DB8">
      <w:pPr>
        <w:spacing w:before="120" w:after="120" w:line="264" w:lineRule="auto"/>
        <w:contextualSpacing/>
        <w:jc w:val="both"/>
        <w:rPr>
          <w:rFonts w:asciiTheme="majorHAnsi" w:eastAsia="Arial" w:hAnsiTheme="majorHAnsi" w:cstheme="majorHAnsi"/>
          <w:lang w:eastAsia="en-US"/>
        </w:rPr>
      </w:pPr>
    </w:p>
    <w:p w14:paraId="05E7D8F5" w14:textId="0B2ADCDA" w:rsidR="00FC7DB8" w:rsidRPr="00C64064" w:rsidRDefault="00FC7DB8" w:rsidP="00FC7DB8">
      <w:pPr>
        <w:spacing w:before="120" w:after="120" w:line="264" w:lineRule="auto"/>
        <w:contextualSpacing/>
        <w:jc w:val="both"/>
        <w:rPr>
          <w:rFonts w:asciiTheme="majorHAnsi" w:eastAsia="Arial" w:hAnsiTheme="majorHAnsi" w:cstheme="majorHAnsi"/>
          <w:lang w:eastAsia="en-US"/>
        </w:rPr>
      </w:pPr>
      <w:r w:rsidRPr="00C64064">
        <w:rPr>
          <w:rFonts w:asciiTheme="majorHAnsi" w:eastAsia="Arial" w:hAnsiTheme="majorHAnsi" w:cstheme="majorHAnsi"/>
          <w:lang w:eastAsia="en-US"/>
        </w:rPr>
        <w:t>The event started with a panel discussion to provide practical insights and examples of disability</w:t>
      </w:r>
      <w:r w:rsidR="00650031" w:rsidRPr="00C64064">
        <w:rPr>
          <w:rFonts w:asciiTheme="majorHAnsi" w:eastAsia="Arial" w:hAnsiTheme="majorHAnsi" w:cstheme="majorHAnsi"/>
          <w:lang w:eastAsia="en-US"/>
        </w:rPr>
        <w:t>-</w:t>
      </w:r>
      <w:r w:rsidRPr="00C64064">
        <w:rPr>
          <w:rFonts w:asciiTheme="majorHAnsi" w:eastAsia="Arial" w:hAnsiTheme="majorHAnsi" w:cstheme="majorHAnsi"/>
          <w:lang w:eastAsia="en-US"/>
        </w:rPr>
        <w:t xml:space="preserve">inclusive business approaches in agriculture drawn from PRISMA and its partners' experiences. Following the panel discussion, PR YAKKUM continued </w:t>
      </w:r>
      <w:r w:rsidR="00650031" w:rsidRPr="00C64064">
        <w:rPr>
          <w:rFonts w:asciiTheme="majorHAnsi" w:eastAsia="Arial" w:hAnsiTheme="majorHAnsi" w:cstheme="majorHAnsi"/>
          <w:lang w:eastAsia="en-US"/>
        </w:rPr>
        <w:t>with</w:t>
      </w:r>
      <w:r w:rsidRPr="00C64064">
        <w:rPr>
          <w:rFonts w:asciiTheme="majorHAnsi" w:eastAsia="Arial" w:hAnsiTheme="majorHAnsi" w:cstheme="majorHAnsi"/>
          <w:lang w:eastAsia="en-US"/>
        </w:rPr>
        <w:t xml:space="preserve"> sessions on disability inclusion in agriculture, the opportunities</w:t>
      </w:r>
      <w:r w:rsidR="00650031" w:rsidRPr="00C64064">
        <w:rPr>
          <w:rFonts w:asciiTheme="majorHAnsi" w:eastAsia="Arial" w:hAnsiTheme="majorHAnsi" w:cstheme="majorHAnsi"/>
          <w:lang w:eastAsia="en-US"/>
        </w:rPr>
        <w:t xml:space="preserve"> </w:t>
      </w:r>
      <w:r w:rsidRPr="00C64064">
        <w:rPr>
          <w:rFonts w:asciiTheme="majorHAnsi" w:eastAsia="Arial" w:hAnsiTheme="majorHAnsi" w:cstheme="majorHAnsi"/>
          <w:lang w:eastAsia="en-US"/>
        </w:rPr>
        <w:t xml:space="preserve">and challenges in implementing disability-inclusive initiatives, the way forward, and networking discussions amongst private sectors and local OPDs. </w:t>
      </w:r>
      <w:r w:rsidR="003342E5" w:rsidRPr="00C64064">
        <w:rPr>
          <w:rFonts w:asciiTheme="majorHAnsi" w:eastAsia="Arial" w:hAnsiTheme="majorHAnsi" w:cstheme="majorHAnsi"/>
          <w:lang w:eastAsia="en-US"/>
        </w:rPr>
        <w:t xml:space="preserve">The event promoted </w:t>
      </w:r>
      <w:hyperlink r:id="rId136" w:history="1">
        <w:r w:rsidR="003342E5" w:rsidRPr="00C64064">
          <w:rPr>
            <w:rStyle w:val="Hyperlink"/>
            <w:rFonts w:asciiTheme="majorHAnsi" w:eastAsia="Arial" w:hAnsiTheme="majorHAnsi" w:cstheme="majorHAnsi"/>
            <w:lang w:eastAsia="en-US"/>
          </w:rPr>
          <w:t>PRISMA’s Accessibility Guid</w:t>
        </w:r>
        <w:r w:rsidR="00AF01FE" w:rsidRPr="00C64064">
          <w:rPr>
            <w:rStyle w:val="Hyperlink"/>
            <w:rFonts w:asciiTheme="majorHAnsi" w:eastAsia="Arial" w:hAnsiTheme="majorHAnsi" w:cstheme="majorHAnsi"/>
            <w:lang w:eastAsia="en-US"/>
          </w:rPr>
          <w:t>e</w:t>
        </w:r>
        <w:r w:rsidR="003342E5" w:rsidRPr="00C64064">
          <w:rPr>
            <w:rStyle w:val="Hyperlink"/>
            <w:rFonts w:asciiTheme="majorHAnsi" w:eastAsia="Arial" w:hAnsiTheme="majorHAnsi" w:cstheme="majorHAnsi"/>
            <w:lang w:eastAsia="en-US"/>
          </w:rPr>
          <w:t>lin</w:t>
        </w:r>
        <w:r w:rsidR="00AF01FE" w:rsidRPr="00C64064">
          <w:rPr>
            <w:rStyle w:val="Hyperlink"/>
            <w:rFonts w:asciiTheme="majorHAnsi" w:eastAsia="Arial" w:hAnsiTheme="majorHAnsi" w:cstheme="majorHAnsi"/>
            <w:lang w:eastAsia="en-US"/>
          </w:rPr>
          <w:t>e</w:t>
        </w:r>
        <w:r w:rsidR="003342E5" w:rsidRPr="00C64064">
          <w:rPr>
            <w:rStyle w:val="Hyperlink"/>
            <w:rFonts w:asciiTheme="majorHAnsi" w:eastAsia="Arial" w:hAnsiTheme="majorHAnsi" w:cstheme="majorHAnsi"/>
            <w:lang w:eastAsia="en-US"/>
          </w:rPr>
          <w:t>s</w:t>
        </w:r>
      </w:hyperlink>
      <w:r w:rsidR="004A05D2" w:rsidRPr="00C64064">
        <w:rPr>
          <w:rStyle w:val="Hyperlink"/>
          <w:rFonts w:asciiTheme="majorHAnsi" w:eastAsia="Arial" w:hAnsiTheme="majorHAnsi" w:cstheme="majorHAnsi"/>
          <w:lang w:eastAsia="en-US"/>
        </w:rPr>
        <w:t>,</w:t>
      </w:r>
      <w:r w:rsidR="00AF01FE" w:rsidRPr="00C64064">
        <w:rPr>
          <w:rFonts w:asciiTheme="majorHAnsi" w:eastAsia="Arial" w:hAnsiTheme="majorHAnsi" w:cstheme="majorHAnsi"/>
          <w:lang w:eastAsia="en-US"/>
        </w:rPr>
        <w:t xml:space="preserve"> created specifically for agribusinesses by PRISMA and PR YAKKUM, with input from farmers with disabilities.</w:t>
      </w:r>
      <w:r w:rsidR="0049597D" w:rsidRPr="00C64064">
        <w:rPr>
          <w:rFonts w:asciiTheme="majorHAnsi" w:eastAsia="Arial" w:hAnsiTheme="majorHAnsi" w:cstheme="majorHAnsi"/>
          <w:lang w:eastAsia="en-US"/>
        </w:rPr>
        <w:t xml:space="preserve"> </w:t>
      </w:r>
    </w:p>
    <w:p w14:paraId="7657616A" w14:textId="77777777" w:rsidR="0049597D" w:rsidRPr="00C64064" w:rsidRDefault="0049597D" w:rsidP="00FC7DB8">
      <w:pPr>
        <w:spacing w:before="120" w:after="120" w:line="264" w:lineRule="auto"/>
        <w:contextualSpacing/>
        <w:jc w:val="both"/>
        <w:rPr>
          <w:rFonts w:asciiTheme="majorHAnsi" w:eastAsia="Arial" w:hAnsiTheme="majorHAnsi" w:cstheme="majorHAnsi"/>
          <w:lang w:eastAsia="en-US"/>
        </w:rPr>
      </w:pPr>
    </w:p>
    <w:p w14:paraId="06512A26" w14:textId="63E2C1C1" w:rsidR="0049597D" w:rsidRPr="00C64064" w:rsidRDefault="0049597D" w:rsidP="00FC7DB8">
      <w:pPr>
        <w:spacing w:before="120" w:after="120" w:line="264" w:lineRule="auto"/>
        <w:contextualSpacing/>
        <w:jc w:val="both"/>
        <w:rPr>
          <w:rFonts w:asciiTheme="majorHAnsi" w:eastAsia="Arial" w:hAnsiTheme="majorHAnsi" w:cstheme="majorHAnsi"/>
          <w:lang w:eastAsia="en-US"/>
        </w:rPr>
      </w:pPr>
      <w:r w:rsidRPr="00C64064">
        <w:rPr>
          <w:rFonts w:asciiTheme="majorHAnsi" w:eastAsia="Arial" w:hAnsiTheme="majorHAnsi" w:cstheme="majorHAnsi"/>
          <w:lang w:eastAsia="en-US"/>
        </w:rPr>
        <w:t xml:space="preserve">PRISMA partnered with agri-media agency, Agrina, to promote the event and the Accessibity Guidelines to its </w:t>
      </w:r>
      <w:r w:rsidR="00EC3026" w:rsidRPr="00C64064">
        <w:rPr>
          <w:rFonts w:asciiTheme="majorHAnsi" w:eastAsia="Arial" w:hAnsiTheme="majorHAnsi" w:cstheme="majorHAnsi"/>
          <w:lang w:eastAsia="en-US"/>
        </w:rPr>
        <w:t xml:space="preserve">Indonesian agribusiness </w:t>
      </w:r>
      <w:r w:rsidRPr="00C64064">
        <w:rPr>
          <w:rFonts w:asciiTheme="majorHAnsi" w:eastAsia="Arial" w:hAnsiTheme="majorHAnsi" w:cstheme="majorHAnsi"/>
          <w:lang w:eastAsia="en-US"/>
        </w:rPr>
        <w:t xml:space="preserve">audience. </w:t>
      </w:r>
      <w:r w:rsidR="001A5653" w:rsidRPr="00C64064">
        <w:rPr>
          <w:rFonts w:asciiTheme="majorHAnsi" w:eastAsia="Arial" w:hAnsiTheme="majorHAnsi" w:cstheme="majorHAnsi"/>
          <w:lang w:eastAsia="en-US"/>
        </w:rPr>
        <w:t>J</w:t>
      </w:r>
      <w:r w:rsidRPr="00C64064">
        <w:rPr>
          <w:rFonts w:asciiTheme="majorHAnsi" w:eastAsia="Arial" w:hAnsiTheme="majorHAnsi" w:cstheme="majorHAnsi"/>
          <w:lang w:eastAsia="en-US"/>
        </w:rPr>
        <w:t xml:space="preserve">ournalists from Agrina attended the event and interviewed </w:t>
      </w:r>
      <w:r w:rsidR="00D0086F" w:rsidRPr="00C64064">
        <w:rPr>
          <w:rFonts w:asciiTheme="majorHAnsi" w:eastAsia="Arial" w:hAnsiTheme="majorHAnsi" w:cstheme="majorHAnsi"/>
          <w:lang w:eastAsia="en-US"/>
        </w:rPr>
        <w:t xml:space="preserve">animal feed producer and PRISMA partner, Nufeed Director Pak Totok and farmer, Ibu Martini. The story was </w:t>
      </w:r>
      <w:r w:rsidR="00EC3026" w:rsidRPr="00C64064">
        <w:rPr>
          <w:rFonts w:asciiTheme="majorHAnsi" w:eastAsia="Arial" w:hAnsiTheme="majorHAnsi" w:cstheme="majorHAnsi"/>
          <w:lang w:eastAsia="en-US"/>
        </w:rPr>
        <w:t>published</w:t>
      </w:r>
      <w:r w:rsidR="00D0086F" w:rsidRPr="00C64064">
        <w:rPr>
          <w:rFonts w:asciiTheme="majorHAnsi" w:eastAsia="Arial" w:hAnsiTheme="majorHAnsi" w:cstheme="majorHAnsi"/>
          <w:lang w:eastAsia="en-US"/>
        </w:rPr>
        <w:t xml:space="preserve"> in Agrina </w:t>
      </w:r>
      <w:r w:rsidR="002049BC" w:rsidRPr="00C64064">
        <w:rPr>
          <w:rFonts w:asciiTheme="majorHAnsi" w:eastAsia="Arial" w:hAnsiTheme="majorHAnsi" w:cstheme="majorHAnsi"/>
          <w:lang w:eastAsia="en-US"/>
        </w:rPr>
        <w:t>M</w:t>
      </w:r>
      <w:r w:rsidR="00D0086F" w:rsidRPr="00C64064">
        <w:rPr>
          <w:rFonts w:asciiTheme="majorHAnsi" w:eastAsia="Arial" w:hAnsiTheme="majorHAnsi" w:cstheme="majorHAnsi"/>
          <w:lang w:eastAsia="en-US"/>
        </w:rPr>
        <w:t>agazine</w:t>
      </w:r>
      <w:r w:rsidR="00EA7420" w:rsidRPr="00C64064">
        <w:rPr>
          <w:rFonts w:asciiTheme="majorHAnsi" w:eastAsia="Arial" w:hAnsiTheme="majorHAnsi" w:cstheme="majorHAnsi"/>
          <w:lang w:eastAsia="en-US"/>
        </w:rPr>
        <w:t>.</w:t>
      </w:r>
      <w:r w:rsidR="00D0086F" w:rsidRPr="00C64064">
        <w:rPr>
          <w:rFonts w:asciiTheme="majorHAnsi" w:eastAsia="Arial" w:hAnsiTheme="majorHAnsi" w:cstheme="majorHAnsi"/>
          <w:lang w:eastAsia="en-US"/>
        </w:rPr>
        <w:t xml:space="preserve"> PRISMA shared its own story of the event on </w:t>
      </w:r>
      <w:r w:rsidR="004B3BDD" w:rsidRPr="00C64064">
        <w:rPr>
          <w:rFonts w:asciiTheme="majorHAnsi" w:eastAsia="Arial" w:hAnsiTheme="majorHAnsi" w:cstheme="majorHAnsi"/>
          <w:lang w:eastAsia="en-US"/>
        </w:rPr>
        <w:t xml:space="preserve">the </w:t>
      </w:r>
      <w:hyperlink r:id="rId137" w:history="1">
        <w:r w:rsidR="004B3BDD" w:rsidRPr="00C64064">
          <w:rPr>
            <w:rStyle w:val="Hyperlink"/>
            <w:rFonts w:asciiTheme="majorHAnsi" w:eastAsia="Arial" w:hAnsiTheme="majorHAnsi" w:cstheme="majorHAnsi"/>
            <w:lang w:eastAsia="en-US"/>
          </w:rPr>
          <w:t>PRISMA News Page</w:t>
        </w:r>
      </w:hyperlink>
      <w:r w:rsidR="00EC3026" w:rsidRPr="00C64064">
        <w:rPr>
          <w:rStyle w:val="Hyperlink"/>
          <w:rFonts w:asciiTheme="majorHAnsi" w:eastAsia="Arial" w:hAnsiTheme="majorHAnsi" w:cstheme="majorHAnsi"/>
          <w:lang w:eastAsia="en-US"/>
        </w:rPr>
        <w:t>.</w:t>
      </w:r>
      <w:r w:rsidR="00D0086F" w:rsidRPr="00C64064">
        <w:rPr>
          <w:rFonts w:asciiTheme="majorHAnsi" w:eastAsia="Arial" w:hAnsiTheme="majorHAnsi" w:cstheme="majorHAnsi"/>
          <w:lang w:eastAsia="en-US"/>
        </w:rPr>
        <w:t xml:space="preserve"> </w:t>
      </w:r>
      <w:r w:rsidR="00EC3026" w:rsidRPr="00C64064">
        <w:rPr>
          <w:rFonts w:asciiTheme="majorHAnsi" w:eastAsia="Arial" w:hAnsiTheme="majorHAnsi" w:cstheme="majorHAnsi"/>
          <w:lang w:eastAsia="en-US"/>
        </w:rPr>
        <w:t>A</w:t>
      </w:r>
      <w:r w:rsidR="00EA7420" w:rsidRPr="00C64064">
        <w:rPr>
          <w:rFonts w:asciiTheme="majorHAnsi" w:eastAsia="Arial" w:hAnsiTheme="majorHAnsi" w:cstheme="majorHAnsi"/>
          <w:lang w:eastAsia="en-US"/>
        </w:rPr>
        <w:t xml:space="preserve">n excerpt of the Nufeed story </w:t>
      </w:r>
      <w:r w:rsidR="004B3BDD" w:rsidRPr="00C64064">
        <w:rPr>
          <w:rFonts w:asciiTheme="majorHAnsi" w:eastAsia="Arial" w:hAnsiTheme="majorHAnsi" w:cstheme="majorHAnsi"/>
          <w:lang w:eastAsia="en-US"/>
        </w:rPr>
        <w:t xml:space="preserve">is below. </w:t>
      </w:r>
      <w:r w:rsidR="00D0086F" w:rsidRPr="00C64064">
        <w:rPr>
          <w:rFonts w:asciiTheme="majorHAnsi" w:eastAsia="Arial" w:hAnsiTheme="majorHAnsi" w:cstheme="majorHAnsi"/>
          <w:lang w:eastAsia="en-US"/>
        </w:rPr>
        <w:t xml:space="preserve">  </w:t>
      </w:r>
      <w:r w:rsidRPr="00C64064">
        <w:rPr>
          <w:rFonts w:asciiTheme="majorHAnsi" w:eastAsia="Arial" w:hAnsiTheme="majorHAnsi" w:cstheme="majorHAnsi"/>
          <w:lang w:eastAsia="en-US"/>
        </w:rPr>
        <w:t xml:space="preserve"> </w:t>
      </w:r>
    </w:p>
    <w:p w14:paraId="135FF257" w14:textId="7E1C84AF" w:rsidR="00172BC5" w:rsidRPr="00C64064" w:rsidRDefault="00172BC5" w:rsidP="00FC7DB8">
      <w:pPr>
        <w:spacing w:before="120" w:after="120" w:line="264" w:lineRule="auto"/>
        <w:contextualSpacing/>
        <w:jc w:val="both"/>
        <w:rPr>
          <w:rFonts w:asciiTheme="majorHAnsi" w:eastAsia="Arial" w:hAnsiTheme="majorHAnsi" w:cstheme="majorHAnsi"/>
          <w:sz w:val="20"/>
          <w:lang w:eastAsia="en-US"/>
        </w:rPr>
      </w:pPr>
    </w:p>
    <w:p w14:paraId="2A7AD1EC" w14:textId="4EF88165" w:rsidR="00FC7DB8" w:rsidRPr="00C64064" w:rsidRDefault="00FC7DB8" w:rsidP="00FC7DB8">
      <w:pPr>
        <w:keepNext/>
        <w:keepLines/>
        <w:suppressAutoHyphens/>
        <w:spacing w:before="220" w:after="220" w:line="264" w:lineRule="auto"/>
        <w:jc w:val="both"/>
        <w:outlineLvl w:val="3"/>
        <w:rPr>
          <w:rFonts w:asciiTheme="majorHAnsi" w:eastAsia="Arial" w:hAnsiTheme="majorHAnsi" w:cstheme="majorHAnsi"/>
          <w:b/>
          <w:bCs/>
          <w:i/>
          <w:szCs w:val="30"/>
          <w:lang w:eastAsia="en-US"/>
        </w:rPr>
      </w:pPr>
      <w:r w:rsidRPr="00C64064">
        <w:rPr>
          <w:rFonts w:asciiTheme="majorHAnsi" w:eastAsia="Arial" w:hAnsiTheme="majorHAnsi" w:cstheme="majorHAnsi"/>
          <w:b/>
          <w:i/>
          <w:szCs w:val="30"/>
          <w:lang w:eastAsia="en-US"/>
        </w:rPr>
        <w:t xml:space="preserve">Sharing PRISMA’s experience with DFAT’s program - Market Development Facility </w:t>
      </w:r>
      <w:r w:rsidR="00FF6667" w:rsidRPr="00C64064">
        <w:rPr>
          <w:rFonts w:asciiTheme="majorHAnsi" w:eastAsia="Arial" w:hAnsiTheme="majorHAnsi" w:cstheme="majorHAnsi"/>
          <w:b/>
          <w:i/>
          <w:szCs w:val="30"/>
          <w:lang w:eastAsia="en-US"/>
        </w:rPr>
        <w:t>(MDF)</w:t>
      </w:r>
    </w:p>
    <w:p w14:paraId="44D416F0" w14:textId="67F603BC" w:rsidR="002D2D69" w:rsidRDefault="00FC7DB8" w:rsidP="5583D54B">
      <w:pPr>
        <w:spacing w:before="120" w:after="120" w:line="264" w:lineRule="auto"/>
        <w:contextualSpacing/>
        <w:jc w:val="both"/>
        <w:rPr>
          <w:rFonts w:asciiTheme="majorHAnsi" w:eastAsia="Arial" w:hAnsiTheme="majorHAnsi" w:cstheme="majorBidi"/>
          <w:lang w:eastAsia="en-US"/>
        </w:rPr>
      </w:pPr>
      <w:r w:rsidRPr="5583D54B">
        <w:rPr>
          <w:rFonts w:asciiTheme="majorHAnsi" w:eastAsia="Arial" w:hAnsiTheme="majorHAnsi" w:cstheme="majorBidi"/>
          <w:lang w:eastAsia="en-US"/>
        </w:rPr>
        <w:t xml:space="preserve">PRISMA participated as a facilitator in an online disability inclusion workshop organised by the Market Development Facility (a multi-country program of DFAT). </w:t>
      </w:r>
      <w:r w:rsidR="00FF6667" w:rsidRPr="5583D54B">
        <w:rPr>
          <w:rFonts w:asciiTheme="majorHAnsi" w:eastAsia="Arial" w:hAnsiTheme="majorHAnsi" w:cstheme="majorBidi"/>
          <w:lang w:eastAsia="en-US"/>
        </w:rPr>
        <w:t>Nearly 60 staff from different MDF countries attended t</w:t>
      </w:r>
      <w:r w:rsidRPr="5583D54B">
        <w:rPr>
          <w:rFonts w:asciiTheme="majorHAnsi" w:eastAsia="Arial" w:hAnsiTheme="majorHAnsi" w:cstheme="majorBidi"/>
          <w:lang w:eastAsia="en-US"/>
        </w:rPr>
        <w:t xml:space="preserve">he workshop, </w:t>
      </w:r>
      <w:r w:rsidR="00FF6667" w:rsidRPr="5583D54B">
        <w:rPr>
          <w:rFonts w:asciiTheme="majorHAnsi" w:eastAsia="Arial" w:hAnsiTheme="majorHAnsi" w:cstheme="majorBidi"/>
          <w:lang w:eastAsia="en-US"/>
        </w:rPr>
        <w:t>which</w:t>
      </w:r>
      <w:r w:rsidRPr="5583D54B">
        <w:rPr>
          <w:rFonts w:asciiTheme="majorHAnsi" w:eastAsia="Arial" w:hAnsiTheme="majorHAnsi" w:cstheme="majorBidi"/>
          <w:lang w:eastAsia="en-US"/>
        </w:rPr>
        <w:t xml:space="preserve"> aimed </w:t>
      </w:r>
      <w:r w:rsidR="00FF6667" w:rsidRPr="5583D54B">
        <w:rPr>
          <w:rFonts w:asciiTheme="majorHAnsi" w:eastAsia="Arial" w:hAnsiTheme="majorHAnsi" w:cstheme="majorBidi"/>
          <w:lang w:eastAsia="en-US"/>
        </w:rPr>
        <w:t>to</w:t>
      </w:r>
      <w:r w:rsidRPr="5583D54B">
        <w:rPr>
          <w:rFonts w:asciiTheme="majorHAnsi" w:eastAsia="Arial" w:hAnsiTheme="majorHAnsi" w:cstheme="majorBidi"/>
          <w:lang w:eastAsia="en-US"/>
        </w:rPr>
        <w:t xml:space="preserve"> </w:t>
      </w:r>
      <w:r w:rsidR="0085323F" w:rsidRPr="5583D54B">
        <w:rPr>
          <w:rFonts w:asciiTheme="majorHAnsi" w:eastAsia="Arial" w:hAnsiTheme="majorHAnsi" w:cstheme="majorBidi"/>
          <w:lang w:eastAsia="en-US"/>
        </w:rPr>
        <w:t>promote a better</w:t>
      </w:r>
      <w:r w:rsidRPr="5583D54B">
        <w:rPr>
          <w:rFonts w:asciiTheme="majorHAnsi" w:eastAsia="Arial" w:hAnsiTheme="majorHAnsi" w:cstheme="majorBidi"/>
          <w:lang w:eastAsia="en-US"/>
        </w:rPr>
        <w:t xml:space="preserve"> understanding of </w:t>
      </w:r>
      <w:r w:rsidR="0085323F" w:rsidRPr="5583D54B">
        <w:rPr>
          <w:rFonts w:asciiTheme="majorHAnsi" w:eastAsia="Arial" w:hAnsiTheme="majorHAnsi" w:cstheme="majorBidi"/>
          <w:lang w:eastAsia="en-US"/>
        </w:rPr>
        <w:t>disability inclusion</w:t>
      </w:r>
      <w:r w:rsidRPr="5583D54B">
        <w:rPr>
          <w:rFonts w:asciiTheme="majorHAnsi" w:eastAsia="Arial" w:hAnsiTheme="majorHAnsi" w:cstheme="majorBidi"/>
          <w:lang w:eastAsia="en-US"/>
        </w:rPr>
        <w:t>. PRISMA shared its approach, experience, and learning on disability</w:t>
      </w:r>
      <w:r w:rsidR="0085323F" w:rsidRPr="5583D54B">
        <w:rPr>
          <w:rFonts w:asciiTheme="majorHAnsi" w:eastAsia="Arial" w:hAnsiTheme="majorHAnsi" w:cstheme="majorBidi"/>
          <w:lang w:eastAsia="en-US"/>
        </w:rPr>
        <w:t>-</w:t>
      </w:r>
      <w:r w:rsidRPr="5583D54B">
        <w:rPr>
          <w:rFonts w:asciiTheme="majorHAnsi" w:eastAsia="Arial" w:hAnsiTheme="majorHAnsi" w:cstheme="majorBidi"/>
          <w:lang w:eastAsia="en-US"/>
        </w:rPr>
        <w:t xml:space="preserve">inclusive practices in agriculture within the </w:t>
      </w:r>
      <w:r w:rsidR="0085323F" w:rsidRPr="5583D54B">
        <w:rPr>
          <w:rFonts w:asciiTheme="majorHAnsi" w:eastAsia="Arial" w:hAnsiTheme="majorHAnsi" w:cstheme="majorBidi"/>
          <w:lang w:eastAsia="en-US"/>
        </w:rPr>
        <w:t xml:space="preserve">MSD </w:t>
      </w:r>
      <w:r w:rsidRPr="5583D54B">
        <w:rPr>
          <w:rFonts w:asciiTheme="majorHAnsi" w:eastAsia="Arial" w:hAnsiTheme="majorHAnsi" w:cstheme="majorBidi"/>
          <w:lang w:eastAsia="en-US"/>
        </w:rPr>
        <w:t xml:space="preserve">context. </w:t>
      </w:r>
      <w:r w:rsidR="00487883" w:rsidRPr="00527AC2">
        <w:rPr>
          <w:rFonts w:asciiTheme="majorHAnsi" w:eastAsia="Arial" w:hAnsiTheme="majorHAnsi" w:cstheme="majorBidi"/>
          <w:lang w:eastAsia="en-US"/>
        </w:rPr>
        <w:t>This includes improving accessibility and participation of people with disabilities, designing a disability-inclusive business model, and collaborating with disability organisations. The sessions sparked the participants' interest and curiosity, as reflected in their thoughtful questions.</w:t>
      </w:r>
    </w:p>
    <w:p w14:paraId="3AB357D5" w14:textId="77777777" w:rsidR="002D2D69" w:rsidRDefault="002D2D69" w:rsidP="5583D54B">
      <w:pPr>
        <w:rPr>
          <w:rFonts w:asciiTheme="majorHAnsi" w:eastAsia="Arial" w:hAnsiTheme="majorHAnsi" w:cstheme="majorBidi"/>
          <w:lang w:eastAsia="en-US"/>
        </w:rPr>
      </w:pPr>
      <w:r w:rsidRPr="5583D54B">
        <w:rPr>
          <w:rFonts w:asciiTheme="majorHAnsi" w:eastAsia="Arial" w:hAnsiTheme="majorHAnsi" w:cstheme="majorBidi"/>
          <w:lang w:eastAsia="en-US"/>
        </w:rPr>
        <w:br w:type="page"/>
      </w:r>
    </w:p>
    <w:tbl>
      <w:tblPr>
        <w:tblStyle w:val="Table21"/>
        <w:tblW w:w="9900" w:type="dxa"/>
        <w:tblBorders>
          <w:insideH w:val="single" w:sz="4" w:space="0" w:color="000000" w:themeColor="text2"/>
        </w:tblBorders>
        <w:shd w:val="clear" w:color="auto" w:fill="E7E6E6"/>
        <w:tblLayout w:type="fixed"/>
        <w:tblCellMar>
          <w:top w:w="288" w:type="dxa"/>
          <w:left w:w="288" w:type="dxa"/>
          <w:bottom w:w="288" w:type="dxa"/>
          <w:right w:w="288" w:type="dxa"/>
        </w:tblCellMar>
        <w:tblLook w:val="04A0" w:firstRow="1" w:lastRow="0" w:firstColumn="1" w:lastColumn="0" w:noHBand="0" w:noVBand="1"/>
      </w:tblPr>
      <w:tblGrid>
        <w:gridCol w:w="9900"/>
      </w:tblGrid>
      <w:tr w:rsidR="009967DA" w:rsidRPr="00E32EA5" w14:paraId="34D71D96" w14:textId="77777777" w:rsidTr="23FD7D52">
        <w:trPr>
          <w:cnfStyle w:val="100000000000" w:firstRow="1" w:lastRow="0" w:firstColumn="0" w:lastColumn="0" w:oddVBand="0" w:evenVBand="0" w:oddHBand="0"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9900" w:type="dxa"/>
            <w:shd w:val="clear" w:color="auto" w:fill="F2F2F2" w:themeFill="background2" w:themeFillShade="F2"/>
          </w:tcPr>
          <w:p w14:paraId="5F91A590" w14:textId="16E4C373" w:rsidR="009967DA" w:rsidRPr="00E32EA5" w:rsidRDefault="009967DA">
            <w:pPr>
              <w:tabs>
                <w:tab w:val="left" w:pos="595"/>
              </w:tabs>
              <w:spacing w:after="60" w:line="276" w:lineRule="auto"/>
              <w:ind w:right="560"/>
              <w:rPr>
                <w:rFonts w:ascii="Arial" w:hAnsi="Arial" w:cs="Arial"/>
                <w:color w:val="262D65"/>
                <w:sz w:val="22"/>
                <w:lang w:val="en-GB"/>
              </w:rPr>
            </w:pPr>
            <w:r>
              <w:rPr>
                <w:rFonts w:cs="Arial"/>
                <w:bCs/>
                <w:noProof/>
                <w:color w:val="2790A6"/>
                <w:sz w:val="26"/>
                <w:szCs w:val="26"/>
              </w:rPr>
              <w:lastRenderedPageBreak/>
              <w:drawing>
                <wp:inline distT="0" distB="0" distL="0" distR="0" wp14:anchorId="3B96C102" wp14:editId="21774870">
                  <wp:extent cx="355600" cy="355600"/>
                  <wp:effectExtent l="0" t="0" r="0" b="0"/>
                  <wp:docPr id="155535141" name="Graphic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34571" name="Graphic 5">
                            <a:extLst>
                              <a:ext uri="{C183D7F6-B498-43B3-948B-1728B52AA6E4}">
                                <adec:decorative xmlns:adec="http://schemas.microsoft.com/office/drawing/2017/decorative" val="1"/>
                              </a:ext>
                            </a:extLst>
                          </pic:cNvPr>
                          <pic:cNvPicPr/>
                        </pic:nvPicPr>
                        <pic:blipFill>
                          <a:blip r:embed="rId138" cstate="print">
                            <a:extLst>
                              <a:ext uri="{28A0092B-C50C-407E-A947-70E740481C1C}">
                                <a14:useLocalDpi xmlns:a14="http://schemas.microsoft.com/office/drawing/2010/main" val="0"/>
                              </a:ext>
                              <a:ext uri="{96DAC541-7B7A-43D3-8B79-37D633B846F1}">
                                <asvg:svgBlip xmlns:asvg="http://schemas.microsoft.com/office/drawing/2016/SVG/main" r:embed="rId139"/>
                              </a:ext>
                            </a:extLst>
                          </a:blip>
                          <a:stretch>
                            <a:fillRect/>
                          </a:stretch>
                        </pic:blipFill>
                        <pic:spPr>
                          <a:xfrm>
                            <a:off x="0" y="0"/>
                            <a:ext cx="355600" cy="355600"/>
                          </a:xfrm>
                          <a:prstGeom prst="rect">
                            <a:avLst/>
                          </a:prstGeom>
                        </pic:spPr>
                      </pic:pic>
                    </a:graphicData>
                  </a:graphic>
                </wp:inline>
              </w:drawing>
            </w:r>
          </w:p>
          <w:p w14:paraId="3FC35971" w14:textId="77777777" w:rsidR="009967DA" w:rsidRPr="007F72CE" w:rsidRDefault="009967DA">
            <w:pPr>
              <w:shd w:val="clear" w:color="auto" w:fill="2790A5"/>
              <w:tabs>
                <w:tab w:val="left" w:pos="595"/>
              </w:tabs>
              <w:spacing w:after="60" w:line="276" w:lineRule="auto"/>
              <w:ind w:right="560"/>
              <w:rPr>
                <w:rFonts w:asciiTheme="minorHAnsi" w:eastAsiaTheme="minorEastAsia" w:hAnsiTheme="minorHAnsi" w:cs="Arial"/>
                <w:b w:val="0"/>
                <w:color w:val="0D0D0D" w:themeColor="text1" w:themeTint="F2"/>
                <w:sz w:val="28"/>
                <w:szCs w:val="28"/>
                <w:lang w:val="en-GB" w:eastAsia="en-GB"/>
              </w:rPr>
            </w:pPr>
            <w:r w:rsidRPr="007F72CE">
              <w:rPr>
                <w:rFonts w:asciiTheme="minorHAnsi" w:eastAsiaTheme="minorEastAsia" w:hAnsiTheme="minorHAnsi" w:cs="Arial"/>
                <w:b w:val="0"/>
                <w:color w:val="0D0D0D" w:themeColor="text1" w:themeTint="F2"/>
                <w:sz w:val="28"/>
                <w:szCs w:val="28"/>
                <w:lang w:val="en-GB" w:eastAsia="en-GB"/>
              </w:rPr>
              <w:t xml:space="preserve">GEDSI spotlight  </w:t>
            </w:r>
          </w:p>
          <w:p w14:paraId="444B1918" w14:textId="77777777" w:rsidR="009967DA" w:rsidRPr="001C4B67" w:rsidRDefault="009967DA">
            <w:pPr>
              <w:pStyle w:val="pf0"/>
              <w:pBdr>
                <w:bottom w:val="single" w:sz="4" w:space="1" w:color="auto"/>
              </w:pBdr>
              <w:tabs>
                <w:tab w:val="left" w:pos="595"/>
              </w:tabs>
              <w:spacing w:before="0" w:beforeAutospacing="0" w:after="200" w:afterAutospacing="0" w:line="276" w:lineRule="auto"/>
              <w:ind w:right="560"/>
              <w:rPr>
                <w:rFonts w:asciiTheme="minorHAnsi" w:eastAsiaTheme="minorEastAsia" w:hAnsiTheme="minorHAnsi" w:cs="Arial"/>
                <w:b w:val="0"/>
                <w:color w:val="262D65"/>
                <w:sz w:val="36"/>
                <w:szCs w:val="36"/>
                <w:lang w:val="en-GB" w:eastAsia="en-GB"/>
              </w:rPr>
            </w:pPr>
            <w:r w:rsidRPr="001C4B67">
              <w:rPr>
                <w:rFonts w:asciiTheme="minorHAnsi" w:eastAsiaTheme="minorEastAsia" w:hAnsiTheme="minorHAnsi" w:cs="Arial"/>
                <w:color w:val="262D65"/>
                <w:sz w:val="36"/>
                <w:szCs w:val="36"/>
                <w:lang w:val="en-GB" w:eastAsia="en-GB"/>
              </w:rPr>
              <w:t>Half of Indonesians with a Disability Work in Agriculture. Here’s What They Need</w:t>
            </w:r>
          </w:p>
          <w:p w14:paraId="100E8DC8" w14:textId="77777777" w:rsidR="009967DA" w:rsidRPr="00E32EA5" w:rsidRDefault="009967DA">
            <w:pPr>
              <w:pStyle w:val="pf0"/>
              <w:pBdr>
                <w:bottom w:val="single" w:sz="4" w:space="1" w:color="auto"/>
              </w:pBdr>
              <w:tabs>
                <w:tab w:val="left" w:pos="595"/>
              </w:tabs>
              <w:spacing w:before="0" w:beforeAutospacing="0" w:after="200" w:afterAutospacing="0" w:line="276" w:lineRule="auto"/>
              <w:ind w:right="560"/>
              <w:rPr>
                <w:rFonts w:ascii="Arial" w:hAnsi="Arial" w:cs="Arial"/>
                <w:b w:val="0"/>
                <w:i/>
                <w:iCs/>
                <w:color w:val="000000" w:themeColor="text2"/>
                <w:sz w:val="22"/>
                <w:szCs w:val="22"/>
                <w:lang w:val="en-GB"/>
              </w:rPr>
            </w:pPr>
            <w:r w:rsidRPr="00154C0E">
              <w:rPr>
                <w:rFonts w:ascii="Arial" w:hAnsi="Arial" w:cs="Arial"/>
                <w:b w:val="0"/>
                <w:i/>
                <w:iCs/>
                <w:color w:val="000000" w:themeColor="text2"/>
                <w:sz w:val="22"/>
                <w:szCs w:val="22"/>
                <w:lang w:val="en-GB"/>
              </w:rPr>
              <w:t>Farmers in Indonesia are ageing. This means the prevalence of disabilities, especially those related to mobility and sensory functions, is increasing. Routine tasks for farmers, such as gathering green fodder to feed their dairy cows in a backyard pen or reading the label on the back of a fertiliser bottle at their local agri-kiosks, become difficult.</w:t>
            </w:r>
          </w:p>
          <w:p w14:paraId="1961DFE4" w14:textId="77777777" w:rsidR="009967DA" w:rsidRPr="00E32EA5" w:rsidRDefault="009967DA">
            <w:pPr>
              <w:pStyle w:val="pf0"/>
              <w:pBdr>
                <w:bottom w:val="single" w:sz="4" w:space="1" w:color="auto"/>
              </w:pBdr>
              <w:tabs>
                <w:tab w:val="left" w:pos="595"/>
              </w:tabs>
              <w:spacing w:before="0" w:beforeAutospacing="0" w:after="200" w:afterAutospacing="0" w:line="276" w:lineRule="auto"/>
              <w:ind w:right="560"/>
              <w:rPr>
                <w:rFonts w:ascii="Arial" w:hAnsi="Arial" w:cs="Arial"/>
                <w:i/>
                <w:iCs/>
                <w:color w:val="000000" w:themeColor="text2"/>
                <w:sz w:val="22"/>
                <w:szCs w:val="22"/>
                <w:lang w:val="en-GB"/>
              </w:rPr>
            </w:pPr>
          </w:p>
          <w:p w14:paraId="5AD6E413" w14:textId="1C356553" w:rsidR="009967DA" w:rsidRDefault="009967DA">
            <w:pPr>
              <w:spacing w:after="200"/>
              <w:ind w:right="454"/>
              <w:rPr>
                <w:rFonts w:ascii="Arial" w:hAnsi="Arial" w:cs="Arial"/>
                <w:color w:val="000000" w:themeColor="text2"/>
                <w:sz w:val="22"/>
                <w:lang w:val="en-GB"/>
              </w:rPr>
            </w:pPr>
            <w:r>
              <w:rPr>
                <w:rFonts w:ascii="Arial" w:hAnsi="Arial" w:cs="Arial"/>
                <w:noProof/>
                <w:color w:val="000000" w:themeColor="text2"/>
              </w:rPr>
              <w:drawing>
                <wp:inline distT="0" distB="0" distL="0" distR="0" wp14:anchorId="7822BAF0" wp14:editId="0AEC3D1D">
                  <wp:extent cx="5785318" cy="2547736"/>
                  <wp:effectExtent l="0" t="0" r="6350" b="5080"/>
                  <wp:docPr id="1935316799" name="Picture 43" descr="A photo of Martini, one of the participants of Disability Inclusion Workshop, conducted by PRISMA and YAKKUM in Jaka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316799" name="Picture 43" descr="A photo of Martini, one of the participants of Disability Inclusion Workshop, conducted by PRISMA and YAKKUM in Jakarta"/>
                          <pic:cNvPicPr/>
                        </pic:nvPicPr>
                        <pic:blipFill>
                          <a:blip r:embed="rId140"/>
                          <a:srcRect t="16972" b="16972"/>
                          <a:stretch>
                            <a:fillRect/>
                          </a:stretch>
                        </pic:blipFill>
                        <pic:spPr bwMode="auto">
                          <a:xfrm>
                            <a:off x="0" y="0"/>
                            <a:ext cx="5785318" cy="2547736"/>
                          </a:xfrm>
                          <a:prstGeom prst="rect">
                            <a:avLst/>
                          </a:prstGeom>
                          <a:ln>
                            <a:noFill/>
                          </a:ln>
                          <a:extLst>
                            <a:ext uri="{53640926-AAD7-44D8-BBD7-CCE9431645EC}">
                              <a14:shadowObscured xmlns:a14="http://schemas.microsoft.com/office/drawing/2010/main"/>
                            </a:ext>
                          </a:extLst>
                        </pic:spPr>
                      </pic:pic>
                    </a:graphicData>
                  </a:graphic>
                </wp:inline>
              </w:drawing>
            </w:r>
          </w:p>
          <w:p w14:paraId="00F89A3A" w14:textId="603D90F7" w:rsidR="009967DA" w:rsidRPr="000642D5" w:rsidRDefault="00F42F07">
            <w:pPr>
              <w:pStyle w:val="Caption"/>
              <w:rPr>
                <w:b w:val="0"/>
                <w:bCs/>
              </w:rPr>
            </w:pPr>
            <w:r w:rsidRPr="00F42F07">
              <w:rPr>
                <w:b w:val="0"/>
                <w:bCs/>
              </w:rPr>
              <w:t>Martini</w:t>
            </w:r>
            <w:r>
              <w:rPr>
                <w:b w:val="0"/>
                <w:bCs/>
              </w:rPr>
              <w:t>, one of the</w:t>
            </w:r>
            <w:r w:rsidRPr="00F42F07">
              <w:rPr>
                <w:b w:val="0"/>
                <w:bCs/>
              </w:rPr>
              <w:t xml:space="preserve"> </w:t>
            </w:r>
            <w:r w:rsidR="009967DA">
              <w:rPr>
                <w:b w:val="0"/>
                <w:bCs/>
              </w:rPr>
              <w:t xml:space="preserve">participants of </w:t>
            </w:r>
            <w:r w:rsidR="009967DA" w:rsidRPr="00CB4DB5">
              <w:rPr>
                <w:b w:val="0"/>
                <w:bCs/>
              </w:rPr>
              <w:t>Disability Inclusion</w:t>
            </w:r>
            <w:r w:rsidR="009967DA">
              <w:rPr>
                <w:b w:val="0"/>
                <w:bCs/>
              </w:rPr>
              <w:t xml:space="preserve"> Workshop</w:t>
            </w:r>
            <w:r w:rsidR="00A90203">
              <w:rPr>
                <w:b w:val="0"/>
                <w:bCs/>
              </w:rPr>
              <w:t>,</w:t>
            </w:r>
            <w:r w:rsidR="009967DA">
              <w:rPr>
                <w:b w:val="0"/>
                <w:bCs/>
              </w:rPr>
              <w:t xml:space="preserve"> conducted by PRISMA and YAKKUM in Jakarta</w:t>
            </w:r>
            <w:r w:rsidR="009967DA" w:rsidRPr="000642D5">
              <w:rPr>
                <w:b w:val="0"/>
                <w:bCs/>
              </w:rPr>
              <w:t xml:space="preserve">.  </w:t>
            </w:r>
          </w:p>
          <w:p w14:paraId="5C415712" w14:textId="77777777" w:rsidR="009967DA" w:rsidRPr="00CB4DB5" w:rsidRDefault="009967DA">
            <w:pPr>
              <w:spacing w:after="200"/>
              <w:ind w:right="454"/>
              <w:rPr>
                <w:rFonts w:ascii="Arial" w:hAnsi="Arial" w:cs="Arial"/>
                <w:color w:val="000000" w:themeColor="text2"/>
                <w:sz w:val="22"/>
              </w:rPr>
            </w:pPr>
          </w:p>
          <w:p w14:paraId="51B629A0" w14:textId="77777777" w:rsidR="009967DA" w:rsidRPr="00154C0E" w:rsidRDefault="009967DA">
            <w:pPr>
              <w:spacing w:after="200"/>
              <w:ind w:right="454"/>
              <w:rPr>
                <w:rFonts w:ascii="Arial" w:hAnsi="Arial" w:cs="Arial"/>
                <w:b w:val="0"/>
                <w:color w:val="000000" w:themeColor="text2"/>
                <w:sz w:val="22"/>
                <w:lang w:val="en-GB"/>
              </w:rPr>
            </w:pPr>
            <w:r w:rsidRPr="00154C0E">
              <w:rPr>
                <w:rFonts w:ascii="Arial" w:hAnsi="Arial" w:cs="Arial"/>
                <w:b w:val="0"/>
                <w:color w:val="000000" w:themeColor="text2"/>
                <w:sz w:val="22"/>
                <w:lang w:val="en-GB"/>
              </w:rPr>
              <w:t>This highlights the need for agribusinesses to consider how farmers engage with their products to ensure that farmers with disabilities can continue contributing effectively and maintaining their livelihoods. It also presents an opportunity to consider how all farmers with disabilities, not just ageing farmers, engage with agribusinesses to create more inclusive markets in which everyone can participate.</w:t>
            </w:r>
          </w:p>
          <w:p w14:paraId="5467CD7E" w14:textId="041362C0" w:rsidR="009967DA" w:rsidRDefault="009967DA" w:rsidP="23FD7D52">
            <w:pPr>
              <w:spacing w:after="200"/>
              <w:ind w:right="454"/>
              <w:rPr>
                <w:rFonts w:ascii="Arial" w:hAnsi="Arial" w:cs="Arial"/>
                <w:color w:val="000000" w:themeColor="text2"/>
                <w:sz w:val="22"/>
                <w:lang w:val="en-GB"/>
              </w:rPr>
            </w:pPr>
            <w:r w:rsidRPr="23FD7D52">
              <w:rPr>
                <w:rFonts w:ascii="Arial" w:hAnsi="Arial" w:cs="Arial"/>
                <w:b w:val="0"/>
                <w:color w:val="000000" w:themeColor="text2"/>
                <w:sz w:val="22"/>
                <w:lang w:val="en-GB"/>
              </w:rPr>
              <w:t xml:space="preserve">Earlier this year, PRISMA hosted a Petani Maju (Future Farmer) event called "Disability Inclusion in Agribusiness: From Awareness to Action" in Jakarta. The full day of activities gave agribusinesses the opportunity to learn from farmers with disabilities and share best practices for reaching farmers with a disability with products, services, and innovations that can increase their incomes. PRISMA, a partnership between the </w:t>
            </w:r>
            <w:r w:rsidR="00C252D3">
              <w:rPr>
                <w:rFonts w:ascii="Arial" w:hAnsi="Arial" w:cs="Arial"/>
                <w:b w:val="0"/>
                <w:color w:val="000000" w:themeColor="text2"/>
                <w:sz w:val="22"/>
                <w:lang w:val="en-GB"/>
              </w:rPr>
              <w:t xml:space="preserve">Government of </w:t>
            </w:r>
            <w:r w:rsidRPr="23FD7D52">
              <w:rPr>
                <w:rFonts w:ascii="Arial" w:hAnsi="Arial" w:cs="Arial"/>
                <w:b w:val="0"/>
                <w:color w:val="000000" w:themeColor="text2"/>
                <w:sz w:val="22"/>
                <w:lang w:val="en-GB"/>
              </w:rPr>
              <w:t xml:space="preserve">Indonesia and the Government </w:t>
            </w:r>
            <w:r w:rsidR="00C252D3">
              <w:rPr>
                <w:rFonts w:ascii="Arial" w:hAnsi="Arial" w:cs="Arial"/>
                <w:b w:val="0"/>
                <w:color w:val="000000" w:themeColor="text2"/>
                <w:sz w:val="22"/>
                <w:lang w:val="en-GB"/>
              </w:rPr>
              <w:t xml:space="preserve">of Australia </w:t>
            </w:r>
            <w:r w:rsidRPr="23FD7D52">
              <w:rPr>
                <w:rFonts w:ascii="Arial" w:hAnsi="Arial" w:cs="Arial"/>
                <w:b w:val="0"/>
                <w:color w:val="000000" w:themeColor="text2"/>
                <w:sz w:val="22"/>
                <w:lang w:val="en-GB"/>
              </w:rPr>
              <w:t>which boosts the incomes of smallholder farmers by increasing farm productivity, recently launched the Petani Maju campaign to support productive farmers and strong communities.</w:t>
            </w:r>
          </w:p>
          <w:p w14:paraId="2D4349F8" w14:textId="7AFF15DD" w:rsidR="009967DA" w:rsidRDefault="009967DA">
            <w:pPr>
              <w:spacing w:after="200"/>
              <w:ind w:right="454"/>
              <w:rPr>
                <w:rFonts w:ascii="Arial" w:hAnsi="Arial" w:cs="Arial"/>
                <w:color w:val="000000" w:themeColor="text2"/>
                <w:sz w:val="22"/>
                <w:lang w:val="en-GB"/>
              </w:rPr>
            </w:pPr>
            <w:r>
              <w:rPr>
                <w:rFonts w:ascii="Arial" w:hAnsi="Arial" w:cs="Arial"/>
                <w:noProof/>
                <w:color w:val="000000" w:themeColor="text2"/>
              </w:rPr>
              <w:lastRenderedPageBreak/>
              <w:drawing>
                <wp:inline distT="0" distB="0" distL="0" distR="0" wp14:anchorId="7D2E32C2" wp14:editId="7ED1CA00">
                  <wp:extent cx="5953125" cy="1333500"/>
                  <wp:effectExtent l="0" t="0" r="9525" b="0"/>
                  <wp:docPr id="853549844" name="Picture 44" descr="An infographic showing data:&#10;64% of farmers are over the age of 45 &#10;39% of farmers over 55 encounter vision, hearing, and mobility impair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549844" name="Picture 44" descr="An infographic showing data:&#10;64% of farmers are over the age of 45 &#10;39% of farmers over 55 encounter vision, hearing, and mobility impairments"/>
                          <pic:cNvPicPr/>
                        </pic:nvPicPr>
                        <pic:blipFill>
                          <a:blip r:embed="rId141"/>
                          <a:stretch>
                            <a:fillRect/>
                          </a:stretch>
                        </pic:blipFill>
                        <pic:spPr>
                          <a:xfrm>
                            <a:off x="0" y="0"/>
                            <a:ext cx="5953125" cy="1333500"/>
                          </a:xfrm>
                          <a:prstGeom prst="rect">
                            <a:avLst/>
                          </a:prstGeom>
                        </pic:spPr>
                      </pic:pic>
                    </a:graphicData>
                  </a:graphic>
                </wp:inline>
              </w:drawing>
            </w:r>
          </w:p>
          <w:p w14:paraId="097977DA" w14:textId="3739DC62" w:rsidR="009967DA" w:rsidRPr="00154C0E" w:rsidRDefault="009967DA">
            <w:pPr>
              <w:spacing w:after="200"/>
              <w:ind w:right="454"/>
              <w:rPr>
                <w:rFonts w:ascii="Arial" w:hAnsi="Arial" w:cs="Arial"/>
                <w:b w:val="0"/>
                <w:color w:val="000000" w:themeColor="text2"/>
                <w:sz w:val="22"/>
                <w:lang w:val="en-GB"/>
              </w:rPr>
            </w:pPr>
            <w:r w:rsidRPr="00154C0E">
              <w:rPr>
                <w:rFonts w:ascii="Arial" w:hAnsi="Arial" w:cs="Arial"/>
                <w:b w:val="0"/>
                <w:color w:val="000000" w:themeColor="text2"/>
                <w:sz w:val="22"/>
                <w:lang w:val="en-GB"/>
              </w:rPr>
              <w:t>Farmers with disability often miss out as consumers on products and services that could improve their productivity. This is partly due to agribusiness outreach and product design not being designed with farmers with disabilities in mind and field staff not being aware of the barriers farmers with various disabilities face in accessing product information and services. The campaign helps agribusinesses bridge this gap by researching and targeting different customer segments to support inclusivity.</w:t>
            </w:r>
          </w:p>
          <w:p w14:paraId="13F7A7FC" w14:textId="1FD87D12" w:rsidR="009967DA" w:rsidRPr="00154C0E" w:rsidRDefault="009967DA">
            <w:pPr>
              <w:spacing w:after="200"/>
              <w:ind w:right="454"/>
              <w:rPr>
                <w:rFonts w:ascii="Arial" w:hAnsi="Arial" w:cs="Arial"/>
                <w:b w:val="0"/>
                <w:color w:val="000000" w:themeColor="text2"/>
                <w:sz w:val="22"/>
                <w:lang w:val="en-GB"/>
              </w:rPr>
            </w:pPr>
            <w:r w:rsidRPr="00154C0E">
              <w:rPr>
                <w:rFonts w:ascii="Arial" w:hAnsi="Arial" w:cs="Arial"/>
                <w:b w:val="0"/>
                <w:color w:val="000000" w:themeColor="text2"/>
                <w:sz w:val="22"/>
                <w:lang w:val="en-GB"/>
              </w:rPr>
              <w:t>The event, facilitated by Pusat Rehabilitasi YAKKUM, a humanitarian organisation advocating for the rights of people with disabilities, drew participation from a wide group of agribusinesses, including animal feed and fertiliser companies, farmers with disabilities, and organisations for people with disabilities (OPD).</w:t>
            </w:r>
          </w:p>
          <w:p w14:paraId="1EF43475" w14:textId="77777777" w:rsidR="009967DA" w:rsidRPr="00154C0E" w:rsidRDefault="009967DA">
            <w:pPr>
              <w:spacing w:after="200"/>
              <w:ind w:right="454"/>
              <w:rPr>
                <w:rFonts w:ascii="Arial" w:hAnsi="Arial" w:cs="Arial"/>
                <w:b w:val="0"/>
                <w:color w:val="000000" w:themeColor="text2"/>
                <w:sz w:val="22"/>
                <w:lang w:val="en-GB"/>
              </w:rPr>
            </w:pPr>
            <w:r w:rsidRPr="00154C0E">
              <w:rPr>
                <w:rFonts w:ascii="Arial" w:hAnsi="Arial" w:cs="Arial"/>
                <w:b w:val="0"/>
                <w:color w:val="000000" w:themeColor="text2"/>
                <w:sz w:val="22"/>
                <w:lang w:val="en-GB"/>
              </w:rPr>
              <w:t>Pak Eko Harsono, Director of YAKKUM, emphasised the community's desire for actionable steps guided by their input, following the principle of "nothing about us without us."</w:t>
            </w:r>
          </w:p>
          <w:p w14:paraId="198D320A" w14:textId="77777777" w:rsidR="009967DA" w:rsidRPr="00154C0E" w:rsidRDefault="009967DA">
            <w:pPr>
              <w:spacing w:after="200"/>
              <w:ind w:right="454"/>
              <w:rPr>
                <w:rFonts w:ascii="Arial" w:hAnsi="Arial" w:cs="Arial"/>
                <w:b w:val="0"/>
                <w:color w:val="000000" w:themeColor="text2"/>
                <w:sz w:val="22"/>
                <w:lang w:val="en-GB"/>
              </w:rPr>
            </w:pPr>
            <w:r w:rsidRPr="00154C0E">
              <w:rPr>
                <w:rFonts w:ascii="Arial" w:hAnsi="Arial" w:cs="Arial"/>
                <w:b w:val="0"/>
                <w:color w:val="000000" w:themeColor="text2"/>
                <w:sz w:val="22"/>
                <w:lang w:val="en-GB"/>
              </w:rPr>
              <w:t>“The importance of integrating disability inclusion in the agricultural sector cannot be overstated, especially considering that close to 50% of persons with disabilities rely on agriculture for their livelihood,” explains PRISMA Team Leader, Mohasin Kabir.</w:t>
            </w:r>
          </w:p>
          <w:p w14:paraId="58C572B0" w14:textId="77777777" w:rsidR="009967DA" w:rsidRPr="00154C0E" w:rsidRDefault="009967DA">
            <w:pPr>
              <w:spacing w:after="200"/>
              <w:ind w:right="454"/>
              <w:rPr>
                <w:rFonts w:ascii="Arial" w:hAnsi="Arial" w:cs="Arial"/>
                <w:b w:val="0"/>
                <w:color w:val="000000" w:themeColor="text2"/>
                <w:sz w:val="22"/>
                <w:lang w:val="en-GB"/>
              </w:rPr>
            </w:pPr>
            <w:r w:rsidRPr="00154C0E">
              <w:rPr>
                <w:rFonts w:ascii="Arial" w:hAnsi="Arial" w:cs="Arial"/>
                <w:b w:val="0"/>
                <w:color w:val="000000" w:themeColor="text2"/>
                <w:sz w:val="22"/>
                <w:lang w:val="en-GB"/>
              </w:rPr>
              <w:t>Today, 64% of farmers are over the age of 45 and 39% of farmers over 55 encounter vision, hearing, and mobility impairments.</w:t>
            </w:r>
          </w:p>
          <w:p w14:paraId="29CDA799" w14:textId="77777777" w:rsidR="009967DA" w:rsidRPr="00154C0E" w:rsidRDefault="009967DA">
            <w:pPr>
              <w:spacing w:after="200"/>
              <w:ind w:right="454"/>
              <w:rPr>
                <w:rFonts w:ascii="Arial" w:hAnsi="Arial" w:cs="Arial"/>
                <w:b w:val="0"/>
                <w:color w:val="000000" w:themeColor="text2"/>
                <w:sz w:val="22"/>
                <w:lang w:val="en-GB"/>
              </w:rPr>
            </w:pPr>
            <w:r w:rsidRPr="00154C0E">
              <w:rPr>
                <w:rFonts w:ascii="Arial" w:hAnsi="Arial" w:cs="Arial"/>
                <w:b w:val="0"/>
                <w:color w:val="000000" w:themeColor="text2"/>
                <w:sz w:val="22"/>
                <w:lang w:val="en-GB"/>
              </w:rPr>
              <w:t>Some challenges are more easily solved, such as applying “universal design principles” to product packaging and marketing. Universal design uses high-contrast colours and clear and large fonts to help farmers with vision impairment to read the product information.</w:t>
            </w:r>
          </w:p>
          <w:p w14:paraId="51A3745E" w14:textId="77777777" w:rsidR="009967DA" w:rsidRPr="00154C0E" w:rsidRDefault="009967DA">
            <w:pPr>
              <w:spacing w:after="200"/>
              <w:ind w:right="454"/>
              <w:rPr>
                <w:rFonts w:ascii="Arial" w:hAnsi="Arial" w:cs="Arial"/>
                <w:b w:val="0"/>
                <w:color w:val="000000" w:themeColor="text2"/>
                <w:sz w:val="22"/>
                <w:lang w:val="en-GB"/>
              </w:rPr>
            </w:pPr>
            <w:r w:rsidRPr="00154C0E">
              <w:rPr>
                <w:rFonts w:ascii="Arial" w:hAnsi="Arial" w:cs="Arial"/>
                <w:b w:val="0"/>
                <w:color w:val="000000" w:themeColor="text2"/>
                <w:sz w:val="22"/>
                <w:lang w:val="en-GB"/>
              </w:rPr>
              <w:t>This is especially important for getting dosage right for pesticides and fertilisers on critical crops like rice and maize. Other examples include adapting sales outreach. Agribusinesses commonly use local sales agents and supporting agents to reach farmers who may not be able to physically attend farmers' meetings. Learning how to adapt their outreach is something many agribusinesses are keen to do.</w:t>
            </w:r>
          </w:p>
          <w:p w14:paraId="06B4278C" w14:textId="77777777" w:rsidR="009967DA" w:rsidRPr="00154C0E" w:rsidRDefault="009967DA">
            <w:pPr>
              <w:spacing w:before="360" w:after="200"/>
              <w:ind w:right="461"/>
              <w:rPr>
                <w:rFonts w:ascii="Arial" w:hAnsi="Arial" w:cs="Arial"/>
                <w:bCs/>
                <w:color w:val="000000" w:themeColor="text2"/>
                <w:sz w:val="22"/>
                <w:lang w:val="en-GB"/>
              </w:rPr>
            </w:pPr>
            <w:r w:rsidRPr="00154C0E">
              <w:rPr>
                <w:rFonts w:ascii="Arial" w:hAnsi="Arial" w:cs="Arial"/>
                <w:bCs/>
                <w:color w:val="000000" w:themeColor="text2"/>
                <w:sz w:val="22"/>
                <w:lang w:val="en-GB"/>
              </w:rPr>
              <w:t>Some Guiding Principles</w:t>
            </w:r>
          </w:p>
          <w:p w14:paraId="485DE0D4" w14:textId="77777777" w:rsidR="009967DA" w:rsidRPr="00154C0E" w:rsidRDefault="009967DA">
            <w:pPr>
              <w:spacing w:after="200"/>
              <w:ind w:right="454"/>
              <w:rPr>
                <w:rFonts w:ascii="Arial" w:hAnsi="Arial" w:cs="Arial"/>
                <w:b w:val="0"/>
                <w:color w:val="000000" w:themeColor="text2"/>
                <w:sz w:val="22"/>
                <w:lang w:val="en-GB"/>
              </w:rPr>
            </w:pPr>
            <w:r w:rsidRPr="00154C0E">
              <w:rPr>
                <w:rFonts w:ascii="Arial" w:hAnsi="Arial" w:cs="Arial"/>
                <w:b w:val="0"/>
                <w:color w:val="000000" w:themeColor="text2"/>
                <w:sz w:val="22"/>
                <w:lang w:val="en-GB"/>
              </w:rPr>
              <w:t>At the event, agribusinesses were guided through a step-by-step process to involve farmers with disabilities found in their accessibility guidelines, which were developed specifically for Indonesian agribusinesses. The process includes gathering data on disability rates in a particular area and organising in-person activities for educating and marketing to farmers, with a focus on making sure farmers with disabilities were invited and could take part.</w:t>
            </w:r>
          </w:p>
          <w:p w14:paraId="5486FCFB" w14:textId="7998A345" w:rsidR="009967DA" w:rsidRPr="00154C0E" w:rsidRDefault="009967DA">
            <w:pPr>
              <w:spacing w:after="200"/>
              <w:ind w:right="454"/>
              <w:rPr>
                <w:rFonts w:ascii="Arial" w:hAnsi="Arial" w:cs="Arial"/>
                <w:b w:val="0"/>
                <w:color w:val="000000" w:themeColor="text2"/>
                <w:sz w:val="22"/>
                <w:lang w:val="en-GB"/>
              </w:rPr>
            </w:pPr>
            <w:r w:rsidRPr="00154C0E">
              <w:rPr>
                <w:rFonts w:ascii="Arial" w:hAnsi="Arial" w:cs="Arial"/>
                <w:b w:val="0"/>
                <w:color w:val="000000" w:themeColor="text2"/>
                <w:sz w:val="22"/>
                <w:lang w:val="en-GB"/>
              </w:rPr>
              <w:t xml:space="preserve">The event also highlighted the important role of OPDs in breaking down barriers and connecting agribusinesses with farmers who have disabilities. Many OPDs have existing </w:t>
            </w:r>
            <w:r w:rsidRPr="00154C0E">
              <w:rPr>
                <w:rFonts w:ascii="Arial" w:hAnsi="Arial" w:cs="Arial"/>
                <w:b w:val="0"/>
                <w:color w:val="000000" w:themeColor="text2"/>
                <w:sz w:val="22"/>
                <w:lang w:val="en-GB"/>
              </w:rPr>
              <w:lastRenderedPageBreak/>
              <w:t>relationships with farmers with disabilities and can help connect companies with these farmers in a meaningful way.</w:t>
            </w:r>
          </w:p>
          <w:p w14:paraId="59A40C76" w14:textId="00F9B573" w:rsidR="009967DA" w:rsidRPr="00154C0E" w:rsidRDefault="009967DA">
            <w:pPr>
              <w:spacing w:after="200"/>
              <w:ind w:right="454"/>
              <w:rPr>
                <w:rFonts w:ascii="Arial" w:hAnsi="Arial" w:cs="Arial"/>
                <w:b w:val="0"/>
                <w:color w:val="000000" w:themeColor="text2"/>
                <w:sz w:val="22"/>
                <w:lang w:val="en-GB"/>
              </w:rPr>
            </w:pPr>
            <w:r w:rsidRPr="00154C0E">
              <w:rPr>
                <w:rFonts w:ascii="Arial" w:hAnsi="Arial" w:cs="Arial"/>
                <w:b w:val="0"/>
                <w:color w:val="000000" w:themeColor="text2"/>
                <w:sz w:val="22"/>
                <w:lang w:val="en-GB"/>
              </w:rPr>
              <w:t>“We need to shift the common paradigm that people with disabilities are beneficiaries of assistance, but to see them as the subject of development. Involving our community in this process helps to do this,” said Bapak Nugroho, one of the panellists from the Association of People with Disabilities in Klaten.</w:t>
            </w:r>
          </w:p>
          <w:p w14:paraId="057EFE8F" w14:textId="77777777" w:rsidR="009967DA" w:rsidRPr="00154C0E" w:rsidRDefault="009967DA">
            <w:pPr>
              <w:spacing w:before="360" w:after="200"/>
              <w:ind w:right="461"/>
              <w:rPr>
                <w:rFonts w:ascii="Arial" w:hAnsi="Arial" w:cs="Arial"/>
                <w:bCs/>
                <w:color w:val="000000" w:themeColor="text2"/>
                <w:sz w:val="22"/>
                <w:lang w:val="en-GB"/>
              </w:rPr>
            </w:pPr>
            <w:r w:rsidRPr="00154C0E">
              <w:rPr>
                <w:rFonts w:ascii="Arial" w:hAnsi="Arial" w:cs="Arial"/>
                <w:bCs/>
                <w:color w:val="000000" w:themeColor="text2"/>
                <w:sz w:val="22"/>
                <w:lang w:val="en-GB"/>
              </w:rPr>
              <w:t>A Fresh Approach Yields Results</w:t>
            </w:r>
          </w:p>
          <w:p w14:paraId="73F878CE" w14:textId="77777777" w:rsidR="009967DA" w:rsidRPr="00154C0E" w:rsidRDefault="009967DA">
            <w:pPr>
              <w:spacing w:after="200"/>
              <w:ind w:right="454"/>
              <w:rPr>
                <w:rFonts w:ascii="Arial" w:hAnsi="Arial" w:cs="Arial"/>
                <w:b w:val="0"/>
                <w:color w:val="000000" w:themeColor="text2"/>
                <w:sz w:val="22"/>
                <w:lang w:val="en-GB"/>
              </w:rPr>
            </w:pPr>
            <w:r w:rsidRPr="00154C0E">
              <w:rPr>
                <w:rFonts w:ascii="Arial" w:hAnsi="Arial" w:cs="Arial"/>
                <w:b w:val="0"/>
                <w:color w:val="000000" w:themeColor="text2"/>
                <w:sz w:val="22"/>
                <w:lang w:val="en-GB"/>
              </w:rPr>
              <w:t>Nufeed, an animal feed company and PRISMA partner, shared its approach to engaging dairy farmers with disabilities.</w:t>
            </w:r>
          </w:p>
          <w:p w14:paraId="1E3F7445" w14:textId="51A7845E" w:rsidR="009967DA" w:rsidRPr="00154C0E" w:rsidRDefault="009967DA">
            <w:pPr>
              <w:spacing w:after="200"/>
              <w:ind w:right="454"/>
              <w:rPr>
                <w:rFonts w:ascii="Arial" w:hAnsi="Arial" w:cs="Arial"/>
                <w:b w:val="0"/>
                <w:color w:val="000000" w:themeColor="text2"/>
                <w:sz w:val="22"/>
                <w:lang w:val="en-GB"/>
              </w:rPr>
            </w:pPr>
            <w:r w:rsidRPr="00154C0E">
              <w:rPr>
                <w:rFonts w:ascii="Arial" w:hAnsi="Arial" w:cs="Arial"/>
                <w:b w:val="0"/>
                <w:color w:val="000000" w:themeColor="text2"/>
                <w:sz w:val="22"/>
                <w:lang w:val="en-GB"/>
              </w:rPr>
              <w:t>“We must widen our horizons because opportunities are out there waiting for us,” said NuFeed Director, Pak Totok. NuFeed worked with farmers with a disability to create a demonstration plot for their animal feed product, DairyMix. The plot helps farmers see the product's benefits firsthand and in turn, set them up as local product champions.</w:t>
            </w:r>
          </w:p>
          <w:p w14:paraId="035C313E" w14:textId="77777777" w:rsidR="009967DA" w:rsidRPr="00154C0E" w:rsidRDefault="009967DA">
            <w:pPr>
              <w:spacing w:after="200"/>
              <w:ind w:right="454"/>
              <w:rPr>
                <w:rFonts w:ascii="Arial" w:hAnsi="Arial" w:cs="Arial"/>
                <w:b w:val="0"/>
                <w:color w:val="000000" w:themeColor="text2"/>
                <w:sz w:val="22"/>
                <w:lang w:val="en-GB"/>
              </w:rPr>
            </w:pPr>
            <w:r w:rsidRPr="00154C0E">
              <w:rPr>
                <w:rFonts w:ascii="Arial" w:hAnsi="Arial" w:cs="Arial"/>
                <w:b w:val="0"/>
                <w:color w:val="000000" w:themeColor="text2"/>
                <w:sz w:val="22"/>
                <w:lang w:val="en-GB"/>
              </w:rPr>
              <w:t>By involving farmers with disabilities, Nufeed’s goal was to introduce the product, boost farmers' confidence, and increase overall sales. These efforts have not only widened their market but fostered empathy and understanding within their teams. “When we did this project, we talked with our friends with disabilities about what they need and how it matches our needs,” said Totok.</w:t>
            </w:r>
          </w:p>
          <w:p w14:paraId="02D9D784" w14:textId="77777777" w:rsidR="009967DA" w:rsidRPr="00154C0E" w:rsidRDefault="009967DA">
            <w:pPr>
              <w:spacing w:after="200"/>
              <w:ind w:right="454"/>
              <w:rPr>
                <w:rFonts w:ascii="Arial" w:hAnsi="Arial" w:cs="Arial"/>
                <w:b w:val="0"/>
                <w:color w:val="000000" w:themeColor="text2"/>
                <w:sz w:val="22"/>
                <w:lang w:val="en-GB"/>
              </w:rPr>
            </w:pPr>
            <w:r w:rsidRPr="00154C0E">
              <w:rPr>
                <w:rFonts w:ascii="Arial" w:hAnsi="Arial" w:cs="Arial"/>
                <w:b w:val="0"/>
                <w:color w:val="000000" w:themeColor="text2"/>
                <w:sz w:val="22"/>
                <w:lang w:val="en-GB"/>
              </w:rPr>
              <w:t>Their product, DairyMix, is designed to be affordable and suitable for smallholder farmers. It helps increase milk production and farmer incomes by providing a well-balanced nutrient mix, thus reducing the need for farmers to collect and cut grasses for fodder. This is especially beneficial for farmers with mobility issues.</w:t>
            </w:r>
          </w:p>
          <w:p w14:paraId="7A2D9B12" w14:textId="5D545442" w:rsidR="009967DA" w:rsidRPr="00154C0E" w:rsidRDefault="009967DA">
            <w:pPr>
              <w:spacing w:after="200"/>
              <w:ind w:right="454"/>
              <w:rPr>
                <w:rFonts w:ascii="Arial" w:hAnsi="Arial" w:cs="Arial"/>
                <w:b w:val="0"/>
                <w:color w:val="000000" w:themeColor="text2"/>
                <w:sz w:val="22"/>
                <w:lang w:val="en-GB"/>
              </w:rPr>
            </w:pPr>
            <w:r w:rsidRPr="00154C0E">
              <w:rPr>
                <w:rFonts w:ascii="Arial" w:hAnsi="Arial" w:cs="Arial"/>
                <w:b w:val="0"/>
                <w:color w:val="000000" w:themeColor="text2"/>
                <w:sz w:val="22"/>
                <w:lang w:val="en-GB"/>
              </w:rPr>
              <w:t>With the help of the OPD, Nufeed connected with 10 farmers, including 5 with disabilities, in Boyolali, Central Java, for the demo plot. Out of the 5 farmers with disabilities involved, 2 have gone on to become local sales agents for NuFeed, improving their incomes and sharing the feed innovation with their local community.</w:t>
            </w:r>
          </w:p>
          <w:p w14:paraId="42A3039E" w14:textId="610649EB" w:rsidR="009967DA" w:rsidRPr="00154C0E" w:rsidRDefault="009967DA">
            <w:pPr>
              <w:spacing w:after="200"/>
              <w:ind w:right="454"/>
              <w:rPr>
                <w:rFonts w:ascii="Arial" w:hAnsi="Arial" w:cs="Arial"/>
                <w:b w:val="0"/>
                <w:color w:val="000000" w:themeColor="text2"/>
                <w:sz w:val="22"/>
                <w:lang w:val="en-GB"/>
              </w:rPr>
            </w:pPr>
            <w:r w:rsidRPr="00154C0E">
              <w:rPr>
                <w:rFonts w:ascii="Arial" w:hAnsi="Arial" w:cs="Arial"/>
                <w:b w:val="0"/>
                <w:color w:val="000000" w:themeColor="text2"/>
                <w:sz w:val="22"/>
                <w:lang w:val="en-GB"/>
              </w:rPr>
              <w:t>Following the success of the demo plot, Nufeed held socialisation events to share the results widely and plans to continue the demo plot project. Again, this process engaged farmers with disabilities in attending.</w:t>
            </w:r>
          </w:p>
          <w:p w14:paraId="02CE9B8B" w14:textId="2AC7BB5A" w:rsidR="009967DA" w:rsidRPr="00154C0E" w:rsidRDefault="009967DA">
            <w:pPr>
              <w:spacing w:before="360" w:after="200"/>
              <w:ind w:right="461"/>
              <w:rPr>
                <w:rFonts w:ascii="Arial" w:hAnsi="Arial" w:cs="Arial"/>
                <w:bCs/>
                <w:color w:val="000000" w:themeColor="text2"/>
                <w:sz w:val="22"/>
                <w:lang w:val="en-GB"/>
              </w:rPr>
            </w:pPr>
            <w:r w:rsidRPr="00154C0E">
              <w:rPr>
                <w:rFonts w:ascii="Arial" w:hAnsi="Arial" w:cs="Arial"/>
                <w:bCs/>
                <w:color w:val="000000" w:themeColor="text2"/>
                <w:sz w:val="22"/>
                <w:lang w:val="en-GB"/>
              </w:rPr>
              <w:t>Champion Farmer</w:t>
            </w:r>
          </w:p>
          <w:p w14:paraId="2161CA7F" w14:textId="1CDB3FBA" w:rsidR="009967DA" w:rsidRPr="00154C0E" w:rsidRDefault="009967DA">
            <w:pPr>
              <w:spacing w:after="200"/>
              <w:ind w:right="454"/>
              <w:rPr>
                <w:rFonts w:ascii="Arial" w:hAnsi="Arial" w:cs="Arial"/>
                <w:b w:val="0"/>
                <w:color w:val="000000" w:themeColor="text2"/>
                <w:sz w:val="22"/>
                <w:lang w:val="en-GB"/>
              </w:rPr>
            </w:pPr>
            <w:r w:rsidRPr="00154C0E">
              <w:rPr>
                <w:rFonts w:ascii="Arial" w:hAnsi="Arial" w:cs="Arial"/>
                <w:b w:val="0"/>
                <w:color w:val="000000" w:themeColor="text2"/>
                <w:sz w:val="22"/>
                <w:lang w:val="en-GB"/>
              </w:rPr>
              <w:t>Ibu Martini, a dairy farmer from Banyuanyar Village, participated in the NuFeed demo plot and is one of the farmers who has become a feed agent, selling the product locally to other farmers. Ibu Martini has had mobility issues since childhood, and using the animal feed, DairyMix reduces her family’s workload in collecting grasses for fodder while improving the productivity of her dairy cows.</w:t>
            </w:r>
          </w:p>
          <w:p w14:paraId="3FA23883" w14:textId="226A45E4" w:rsidR="009967DA" w:rsidRPr="00154C0E" w:rsidRDefault="009967DA">
            <w:pPr>
              <w:spacing w:after="200"/>
              <w:ind w:right="454"/>
              <w:rPr>
                <w:rFonts w:ascii="Arial" w:hAnsi="Arial" w:cs="Arial"/>
                <w:b w:val="0"/>
                <w:color w:val="000000" w:themeColor="text2"/>
                <w:sz w:val="22"/>
                <w:lang w:val="en-GB"/>
              </w:rPr>
            </w:pPr>
            <w:r w:rsidRPr="00154C0E">
              <w:rPr>
                <w:rFonts w:ascii="Arial" w:hAnsi="Arial" w:cs="Arial"/>
                <w:b w:val="0"/>
                <w:color w:val="000000" w:themeColor="text2"/>
                <w:sz w:val="22"/>
                <w:lang w:val="en-GB"/>
              </w:rPr>
              <w:t>“The training and resources provided during the demo plot have transformed our dairy farming. With increased use of Nufeed, our cows are healthier, milk production has increased, and daily operations are more efficient,” she shared at the event.</w:t>
            </w:r>
          </w:p>
          <w:p w14:paraId="4D5ED347" w14:textId="77777777" w:rsidR="009967DA" w:rsidRPr="00154C0E" w:rsidRDefault="009967DA">
            <w:pPr>
              <w:spacing w:after="200"/>
              <w:ind w:right="454"/>
              <w:rPr>
                <w:rFonts w:ascii="Arial" w:hAnsi="Arial" w:cs="Arial"/>
                <w:b w:val="0"/>
                <w:color w:val="000000" w:themeColor="text2"/>
                <w:sz w:val="22"/>
                <w:lang w:val="en-GB"/>
              </w:rPr>
            </w:pPr>
            <w:r w:rsidRPr="00154C0E">
              <w:rPr>
                <w:rFonts w:ascii="Arial" w:hAnsi="Arial" w:cs="Arial"/>
                <w:b w:val="0"/>
                <w:color w:val="000000" w:themeColor="text2"/>
                <w:sz w:val="22"/>
                <w:lang w:val="en-GB"/>
              </w:rPr>
              <w:t>“As a feed agent, we can sell 6-7 tonnes of feed per month, which has greatly enhanced my family's income and proven that disability is not a barrier to success in farming.”</w:t>
            </w:r>
          </w:p>
          <w:p w14:paraId="49DC34E4" w14:textId="0E9F272A" w:rsidR="009967DA" w:rsidRPr="00154C0E" w:rsidRDefault="009967DA">
            <w:pPr>
              <w:spacing w:before="360" w:after="200"/>
              <w:ind w:right="461"/>
              <w:rPr>
                <w:rFonts w:ascii="Arial" w:hAnsi="Arial" w:cs="Arial"/>
                <w:b w:val="0"/>
                <w:color w:val="000000" w:themeColor="text2"/>
                <w:sz w:val="22"/>
                <w:lang w:val="en-GB"/>
              </w:rPr>
            </w:pPr>
            <w:r w:rsidRPr="00154C0E">
              <w:rPr>
                <w:rFonts w:ascii="Arial" w:hAnsi="Arial" w:cs="Arial"/>
                <w:bCs/>
                <w:color w:val="000000" w:themeColor="text2"/>
                <w:sz w:val="22"/>
                <w:lang w:val="en-GB"/>
              </w:rPr>
              <w:lastRenderedPageBreak/>
              <w:t>What Next?</w:t>
            </w:r>
          </w:p>
          <w:p w14:paraId="1FE5F076" w14:textId="34ED8110" w:rsidR="009967DA" w:rsidRPr="00154C0E" w:rsidRDefault="009967DA">
            <w:pPr>
              <w:spacing w:after="200"/>
              <w:ind w:right="454"/>
              <w:rPr>
                <w:rFonts w:ascii="Arial" w:hAnsi="Arial" w:cs="Arial"/>
                <w:b w:val="0"/>
                <w:color w:val="000000" w:themeColor="text2"/>
                <w:sz w:val="22"/>
                <w:lang w:val="en-GB"/>
              </w:rPr>
            </w:pPr>
            <w:r w:rsidRPr="00154C0E">
              <w:rPr>
                <w:rFonts w:ascii="Arial" w:hAnsi="Arial" w:cs="Arial"/>
                <w:b w:val="0"/>
                <w:color w:val="000000" w:themeColor="text2"/>
                <w:sz w:val="22"/>
                <w:lang w:val="en-GB"/>
              </w:rPr>
              <w:t>Inspired by Ibu Martini and NuFeed's actions, agribusinesses shared their plans to develop more inclusive business practices at the event.</w:t>
            </w:r>
          </w:p>
          <w:p w14:paraId="5346AC58" w14:textId="58A2C32A" w:rsidR="009967DA" w:rsidRPr="00154C0E" w:rsidRDefault="009967DA">
            <w:pPr>
              <w:spacing w:after="200"/>
              <w:ind w:right="454"/>
              <w:rPr>
                <w:rFonts w:ascii="Arial" w:hAnsi="Arial" w:cs="Arial"/>
                <w:b w:val="0"/>
                <w:color w:val="000000" w:themeColor="text2"/>
                <w:sz w:val="22"/>
                <w:lang w:val="en-GB"/>
              </w:rPr>
            </w:pPr>
            <w:r w:rsidRPr="00154C0E">
              <w:rPr>
                <w:rFonts w:ascii="Arial" w:hAnsi="Arial" w:cs="Arial"/>
                <w:b w:val="0"/>
                <w:color w:val="000000" w:themeColor="text2"/>
                <w:sz w:val="22"/>
                <w:lang w:val="en-GB"/>
              </w:rPr>
              <w:t>“We are impressed by the commitment from agribusinesses to adapt and change their approach,” says Mohasin Kabir, PRISMA Team Leader, “Hearing from farmers today inspired us all to look more deeply at how we can connect and foster relationships with farmers.”.</w:t>
            </w:r>
          </w:p>
          <w:p w14:paraId="594E7EC3" w14:textId="07053FF6" w:rsidR="009967DA" w:rsidRPr="00154C0E" w:rsidRDefault="009967DA">
            <w:pPr>
              <w:spacing w:after="200"/>
              <w:ind w:right="454"/>
              <w:rPr>
                <w:rFonts w:ascii="Arial" w:hAnsi="Arial" w:cs="Arial"/>
                <w:b w:val="0"/>
                <w:color w:val="000000" w:themeColor="text2"/>
                <w:sz w:val="22"/>
                <w:lang w:val="en-GB"/>
              </w:rPr>
            </w:pPr>
            <w:r w:rsidRPr="00154C0E">
              <w:rPr>
                <w:rFonts w:ascii="Arial" w:hAnsi="Arial" w:cs="Arial"/>
                <w:b w:val="0"/>
                <w:color w:val="000000" w:themeColor="text2"/>
                <w:sz w:val="22"/>
                <w:lang w:val="en-GB"/>
              </w:rPr>
              <w:t>To date, thanks to PRISMA’s ongoing support, three agribusinesses have committed to developing more inclusive farmer outreach activities and eight agribusinesses have adopted universal design principles to improve the accessibility of their products.</w:t>
            </w:r>
          </w:p>
          <w:p w14:paraId="3361F407" w14:textId="7A9BCFE9" w:rsidR="009967DA" w:rsidRPr="00E32EA5" w:rsidRDefault="009967DA">
            <w:pPr>
              <w:tabs>
                <w:tab w:val="left" w:pos="595"/>
              </w:tabs>
              <w:spacing w:after="200" w:line="276" w:lineRule="auto"/>
              <w:ind w:right="561"/>
              <w:rPr>
                <w:rFonts w:ascii="Arial" w:hAnsi="Arial" w:cs="Arial"/>
                <w:color w:val="000000" w:themeColor="text2"/>
                <w:sz w:val="22"/>
                <w:lang w:val="en-GB"/>
              </w:rPr>
            </w:pPr>
            <w:r w:rsidRPr="00154C0E">
              <w:rPr>
                <w:rFonts w:ascii="Arial" w:hAnsi="Arial" w:cs="Arial"/>
                <w:b w:val="0"/>
                <w:color w:val="000000" w:themeColor="text2"/>
                <w:sz w:val="22"/>
                <w:lang w:val="en-GB"/>
              </w:rPr>
              <w:t>“By broadening our perspective and adapting our practices, we can support growth that benefits not only the individual farmers but the agriculture sector as a whole,” adds Kabir. “It's about building a more resilient and diverse agricultural community.”</w:t>
            </w:r>
            <w:r w:rsidRPr="00E32EA5">
              <w:rPr>
                <w:rFonts w:ascii="Arial" w:hAnsi="Arial" w:cs="Arial"/>
                <w:b w:val="0"/>
                <w:color w:val="000000" w:themeColor="text2"/>
                <w:sz w:val="22"/>
                <w:lang w:val="en-GB"/>
              </w:rPr>
              <w:t xml:space="preserve"> </w:t>
            </w:r>
            <w:r w:rsidRPr="00E32EA5">
              <w:rPr>
                <w:rFonts w:ascii="Times New Roman" w:hAnsi="Times New Roman" w:cs="Times New Roman"/>
                <w:bCs/>
                <w:noProof/>
                <w:lang w:val="en-AU"/>
              </w:rPr>
              <w:drawing>
                <wp:anchor distT="0" distB="0" distL="114300" distR="114300" simplePos="0" relativeHeight="251658311" behindDoc="1" locked="0" layoutInCell="1" allowOverlap="1" wp14:anchorId="60DEC1B1" wp14:editId="37AF122E">
                  <wp:simplePos x="0" y="0"/>
                  <wp:positionH relativeFrom="column">
                    <wp:posOffset>24765</wp:posOffset>
                  </wp:positionH>
                  <wp:positionV relativeFrom="paragraph">
                    <wp:posOffset>829945</wp:posOffset>
                  </wp:positionV>
                  <wp:extent cx="1720850" cy="1941195"/>
                  <wp:effectExtent l="0" t="0" r="0" b="1905"/>
                  <wp:wrapTight wrapText="bothSides">
                    <wp:wrapPolygon edited="0">
                      <wp:start x="0" y="0"/>
                      <wp:lineTo x="0" y="21409"/>
                      <wp:lineTo x="21281" y="21409"/>
                      <wp:lineTo x="21281" y="0"/>
                      <wp:lineTo x="0" y="0"/>
                    </wp:wrapPolygon>
                  </wp:wrapTight>
                  <wp:docPr id="873077314"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077314" name="Picture 46">
                            <a:extLst>
                              <a:ext uri="{C183D7F6-B498-43B3-948B-1728B52AA6E4}">
                                <adec:decorative xmlns:adec="http://schemas.microsoft.com/office/drawing/2017/decorative" val="1"/>
                              </a:ext>
                            </a:extLst>
                          </pic:cNvPr>
                          <pic:cNvPicPr>
                            <a:picLocks noChangeAspect="1"/>
                          </pic:cNvPicPr>
                        </pic:nvPicPr>
                        <pic:blipFill rotWithShape="1">
                          <a:blip r:embed="rId142"/>
                          <a:srcRect l="23906" t="4203" r="53755" b="58009"/>
                          <a:stretch/>
                        </pic:blipFill>
                        <pic:spPr bwMode="auto">
                          <a:xfrm>
                            <a:off x="0" y="0"/>
                            <a:ext cx="1720850" cy="1941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32EA5">
              <w:rPr>
                <w:noProof/>
              </w:rPr>
              <mc:AlternateContent>
                <mc:Choice Requires="wps">
                  <w:drawing>
                    <wp:anchor distT="0" distB="0" distL="114300" distR="114300" simplePos="0" relativeHeight="251658312" behindDoc="0" locked="0" layoutInCell="1" allowOverlap="1" wp14:anchorId="53F9D4A1" wp14:editId="26B7CEA5">
                      <wp:simplePos x="0" y="0"/>
                      <wp:positionH relativeFrom="column">
                        <wp:posOffset>1710055</wp:posOffset>
                      </wp:positionH>
                      <wp:positionV relativeFrom="paragraph">
                        <wp:posOffset>817880</wp:posOffset>
                      </wp:positionV>
                      <wp:extent cx="4430395" cy="1962150"/>
                      <wp:effectExtent l="0" t="0" r="8255" b="0"/>
                      <wp:wrapSquare wrapText="bothSides"/>
                      <wp:docPr id="471469938" name="Text Box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30395" cy="1962150"/>
                              </a:xfrm>
                              <a:prstGeom prst="rect">
                                <a:avLst/>
                              </a:prstGeom>
                              <a:solidFill>
                                <a:srgbClr val="252C66"/>
                              </a:solidFill>
                              <a:ln w="6350">
                                <a:noFill/>
                              </a:ln>
                            </wps:spPr>
                            <wps:txbx>
                              <w:txbxContent>
                                <w:p w14:paraId="06206479" w14:textId="77777777" w:rsidR="009967DA" w:rsidRPr="001B5A11" w:rsidRDefault="009967DA" w:rsidP="009967DA">
                                  <w:pPr>
                                    <w:pStyle w:val="Header"/>
                                    <w:spacing w:after="200"/>
                                    <w:textAlignment w:val="baseline"/>
                                    <w:rPr>
                                      <w:rStyle w:val="Hyperlink"/>
                                      <w:rFonts w:cs="Arial"/>
                                      <w:i/>
                                      <w:iCs/>
                                      <w:color w:val="FFFFFF" w:themeColor="background1"/>
                                      <w:lang w:val="en-US"/>
                                    </w:rPr>
                                  </w:pPr>
                                  <w:r w:rsidRPr="001B5A11">
                                    <w:rPr>
                                      <w:rFonts w:cs="Arial"/>
                                      <w:i/>
                                      <w:iCs/>
                                      <w:noProof/>
                                      <w:color w:val="FFFFFF" w:themeColor="background1"/>
                                      <w:lang w:val="en-US"/>
                                    </w:rPr>
                                    <w:drawing>
                                      <wp:inline distT="0" distB="0" distL="0" distR="0" wp14:anchorId="4D9E750E" wp14:editId="52FD6ED4">
                                        <wp:extent cx="228600" cy="228600"/>
                                        <wp:effectExtent l="0" t="0" r="0" b="0"/>
                                        <wp:docPr id="1935234188" name="Graphic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79362"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228600" cy="228600"/>
                                                </a:xfrm>
                                                <a:prstGeom prst="rect">
                                                  <a:avLst/>
                                                </a:prstGeom>
                                              </pic:spPr>
                                            </pic:pic>
                                          </a:graphicData>
                                        </a:graphic>
                                      </wp:inline>
                                    </w:drawing>
                                  </w:r>
                                </w:p>
                                <w:p w14:paraId="23BB3C04" w14:textId="77777777" w:rsidR="009967DA" w:rsidRDefault="009967DA" w:rsidP="009967DA">
                                  <w:pPr>
                                    <w:pStyle w:val="Header"/>
                                    <w:spacing w:after="200"/>
                                    <w:textAlignment w:val="baseline"/>
                                    <w:rPr>
                                      <w:rFonts w:ascii="Arial" w:hAnsi="Arial" w:cs="Arial"/>
                                      <w:i/>
                                      <w:iCs/>
                                      <w:color w:val="242A6A"/>
                                      <w:sz w:val="26"/>
                                      <w:szCs w:val="26"/>
                                    </w:rPr>
                                  </w:pPr>
                                  <w:r w:rsidRPr="00645C9D">
                                    <w:rPr>
                                      <w:rFonts w:ascii="Arial" w:hAnsi="Arial" w:cs="Arial"/>
                                      <w:i/>
                                      <w:iCs/>
                                      <w:color w:val="FFFFFF" w:themeColor="background1"/>
                                      <w:sz w:val="26"/>
                                      <w:szCs w:val="26"/>
                                    </w:rPr>
                                    <w:t>‘</w:t>
                                  </w:r>
                                  <w:r w:rsidRPr="00DD155C">
                                    <w:rPr>
                                      <w:rFonts w:ascii="Arial" w:hAnsi="Arial" w:cs="Arial"/>
                                      <w:i/>
                                      <w:iCs/>
                                      <w:color w:val="FFFFFF" w:themeColor="background1"/>
                                      <w:sz w:val="26"/>
                                      <w:szCs w:val="26"/>
                                    </w:rPr>
                                    <w:t>The training and resources provided during the demo plot have transformed our dairy farming. With increased use of Nufeed, our cows are healthier, milk production has increased, and daily operations are more efficient</w:t>
                                  </w:r>
                                  <w:r w:rsidRPr="00645C9D">
                                    <w:rPr>
                                      <w:rFonts w:ascii="Arial" w:hAnsi="Arial" w:cs="Arial"/>
                                      <w:i/>
                                      <w:iCs/>
                                      <w:color w:val="FFFFFF" w:themeColor="background1"/>
                                      <w:sz w:val="26"/>
                                      <w:szCs w:val="26"/>
                                    </w:rPr>
                                    <w:t>.</w:t>
                                  </w:r>
                                </w:p>
                                <w:p w14:paraId="60FA38EC" w14:textId="77777777" w:rsidR="009967DA" w:rsidRPr="00645C9D" w:rsidRDefault="009967DA" w:rsidP="009967DA">
                                  <w:pPr>
                                    <w:tabs>
                                      <w:tab w:val="left" w:pos="595"/>
                                    </w:tabs>
                                    <w:spacing w:line="276" w:lineRule="auto"/>
                                    <w:ind w:right="561"/>
                                    <w:rPr>
                                      <w:rFonts w:ascii="Arial" w:hAnsi="Arial" w:cs="Arial"/>
                                      <w:iCs/>
                                      <w:sz w:val="24"/>
                                      <w:szCs w:val="24"/>
                                    </w:rPr>
                                  </w:pPr>
                                  <w:r>
                                    <w:rPr>
                                      <w:rFonts w:ascii="Arial" w:hAnsi="Arial" w:cs="Arial"/>
                                      <w:b/>
                                      <w:bCs/>
                                      <w:iCs/>
                                      <w:sz w:val="24"/>
                                      <w:szCs w:val="24"/>
                                      <w:lang w:val="en-ID"/>
                                    </w:rPr>
                                    <w:t>Martini</w:t>
                                  </w:r>
                                  <w:r w:rsidRPr="00645C9D">
                                    <w:rPr>
                                      <w:rFonts w:ascii="Arial" w:hAnsi="Arial" w:cs="Arial"/>
                                      <w:iCs/>
                                      <w:sz w:val="24"/>
                                      <w:szCs w:val="24"/>
                                      <w:lang w:val="en-ID"/>
                                    </w:rPr>
                                    <w:t xml:space="preserve">, </w:t>
                                  </w:r>
                                  <w:r w:rsidRPr="00DD155C">
                                    <w:rPr>
                                      <w:rFonts w:ascii="Arial" w:hAnsi="Arial" w:cs="Arial"/>
                                      <w:iCs/>
                                      <w:sz w:val="24"/>
                                      <w:szCs w:val="24"/>
                                      <w:lang w:val="en-ID"/>
                                    </w:rPr>
                                    <w:t>a dairy farmer from Banyuanyar Village</w:t>
                                  </w:r>
                                  <w:r w:rsidRPr="00645C9D">
                                    <w:rPr>
                                      <w:rFonts w:ascii="Arial" w:hAnsi="Arial" w:cs="Arial"/>
                                      <w:iCs/>
                                      <w:sz w:val="24"/>
                                      <w:szCs w:val="24"/>
                                    </w:rPr>
                                    <w:t>.</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9D4A1" id="Text Box 47" o:spid="_x0000_s1072" type="#_x0000_t202" alt="&quot;&quot;" style="position:absolute;margin-left:134.65pt;margin-top:64.4pt;width:348.85pt;height:154.5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" fillcolor="#252c66" stroked="f" strokeweight=".5pt">
                      <v:textbox inset="5mm,5mm,5mm,5mm">
                        <w:txbxContent>
                          <w:p w14:paraId="06206479" w14:textId="77777777" w:rsidR="009967DA" w:rsidRPr="001B5A11" w:rsidRDefault="009967DA" w:rsidP="009967DA">
                            <w:pPr>
                              <w:pStyle w:val="Header"/>
                              <w:spacing w:after="200"/>
                              <w:textAlignment w:val="baseline"/>
                              <w:rPr>
                                <w:rStyle w:val="Hyperlink"/>
                                <w:rFonts w:cs="Arial"/>
                                <w:i/>
                                <w:iCs/>
                                <w:color w:val="FFFFFF" w:themeColor="background1"/>
                                <w:lang w:val="en-US"/>
                              </w:rPr>
                            </w:pPr>
                            <w:r w:rsidRPr="001B5A11">
                              <w:rPr>
                                <w:rFonts w:cs="Arial"/>
                                <w:i/>
                                <w:iCs/>
                                <w:noProof/>
                                <w:color w:val="FFFFFF" w:themeColor="background1"/>
                                <w:lang w:val="en-US"/>
                              </w:rPr>
                              <w:drawing>
                                <wp:inline distT="0" distB="0" distL="0" distR="0" wp14:anchorId="4D9E750E" wp14:editId="52FD6ED4">
                                  <wp:extent cx="228600" cy="228600"/>
                                  <wp:effectExtent l="0" t="0" r="0" b="0"/>
                                  <wp:docPr id="1935234188" name="Graphic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79362" name="Graphic 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228600" cy="228600"/>
                                          </a:xfrm>
                                          <a:prstGeom prst="rect">
                                            <a:avLst/>
                                          </a:prstGeom>
                                        </pic:spPr>
                                      </pic:pic>
                                    </a:graphicData>
                                  </a:graphic>
                                </wp:inline>
                              </w:drawing>
                            </w:r>
                          </w:p>
                          <w:p w14:paraId="23BB3C04" w14:textId="77777777" w:rsidR="009967DA" w:rsidRDefault="009967DA" w:rsidP="009967DA">
                            <w:pPr>
                              <w:pStyle w:val="Header"/>
                              <w:spacing w:after="200"/>
                              <w:textAlignment w:val="baseline"/>
                              <w:rPr>
                                <w:rFonts w:ascii="Arial" w:hAnsi="Arial" w:cs="Arial"/>
                                <w:i/>
                                <w:iCs/>
                                <w:color w:val="242A6A"/>
                                <w:sz w:val="26"/>
                                <w:szCs w:val="26"/>
                              </w:rPr>
                            </w:pPr>
                            <w:r w:rsidRPr="00645C9D">
                              <w:rPr>
                                <w:rFonts w:ascii="Arial" w:hAnsi="Arial" w:cs="Arial"/>
                                <w:i/>
                                <w:iCs/>
                                <w:color w:val="FFFFFF" w:themeColor="background1"/>
                                <w:sz w:val="26"/>
                                <w:szCs w:val="26"/>
                              </w:rPr>
                              <w:t>‘</w:t>
                            </w:r>
                            <w:r w:rsidRPr="00DD155C">
                              <w:rPr>
                                <w:rFonts w:ascii="Arial" w:hAnsi="Arial" w:cs="Arial"/>
                                <w:i/>
                                <w:iCs/>
                                <w:color w:val="FFFFFF" w:themeColor="background1"/>
                                <w:sz w:val="26"/>
                                <w:szCs w:val="26"/>
                              </w:rPr>
                              <w:t>The training and resources provided during the demo plot have transformed our dairy farming. With increased use of Nufeed, our cows are healthier, milk production has increased, and daily operations are more efficient</w:t>
                            </w:r>
                            <w:r w:rsidRPr="00645C9D">
                              <w:rPr>
                                <w:rFonts w:ascii="Arial" w:hAnsi="Arial" w:cs="Arial"/>
                                <w:i/>
                                <w:iCs/>
                                <w:color w:val="FFFFFF" w:themeColor="background1"/>
                                <w:sz w:val="26"/>
                                <w:szCs w:val="26"/>
                              </w:rPr>
                              <w:t>.</w:t>
                            </w:r>
                          </w:p>
                          <w:p w14:paraId="60FA38EC" w14:textId="77777777" w:rsidR="009967DA" w:rsidRPr="00645C9D" w:rsidRDefault="009967DA" w:rsidP="009967DA">
                            <w:pPr>
                              <w:tabs>
                                <w:tab w:val="left" w:pos="595"/>
                              </w:tabs>
                              <w:spacing w:line="276" w:lineRule="auto"/>
                              <w:ind w:right="561"/>
                              <w:rPr>
                                <w:rFonts w:ascii="Arial" w:hAnsi="Arial" w:cs="Arial"/>
                                <w:iCs/>
                                <w:sz w:val="24"/>
                                <w:szCs w:val="24"/>
                              </w:rPr>
                            </w:pPr>
                            <w:r>
                              <w:rPr>
                                <w:rFonts w:ascii="Arial" w:hAnsi="Arial" w:cs="Arial"/>
                                <w:b/>
                                <w:bCs/>
                                <w:iCs/>
                                <w:sz w:val="24"/>
                                <w:szCs w:val="24"/>
                                <w:lang w:val="en-ID"/>
                              </w:rPr>
                              <w:t>Martini</w:t>
                            </w:r>
                            <w:r w:rsidRPr="00645C9D">
                              <w:rPr>
                                <w:rFonts w:ascii="Arial" w:hAnsi="Arial" w:cs="Arial"/>
                                <w:iCs/>
                                <w:sz w:val="24"/>
                                <w:szCs w:val="24"/>
                                <w:lang w:val="en-ID"/>
                              </w:rPr>
                              <w:t xml:space="preserve">, </w:t>
                            </w:r>
                            <w:r w:rsidRPr="00DD155C">
                              <w:rPr>
                                <w:rFonts w:ascii="Arial" w:hAnsi="Arial" w:cs="Arial"/>
                                <w:iCs/>
                                <w:sz w:val="24"/>
                                <w:szCs w:val="24"/>
                                <w:lang w:val="en-ID"/>
                              </w:rPr>
                              <w:t>a dairy farmer from Banyuanyar Village</w:t>
                            </w:r>
                            <w:r w:rsidRPr="00645C9D">
                              <w:rPr>
                                <w:rFonts w:ascii="Arial" w:hAnsi="Arial" w:cs="Arial"/>
                                <w:iCs/>
                                <w:sz w:val="24"/>
                                <w:szCs w:val="24"/>
                              </w:rPr>
                              <w:t>.</w:t>
                            </w:r>
                          </w:p>
                        </w:txbxContent>
                      </v:textbox>
                      <w10:wrap type="square"/>
                    </v:shape>
                  </w:pict>
                </mc:Fallback>
              </mc:AlternateContent>
            </w:r>
          </w:p>
          <w:p w14:paraId="4FDB8DAE" w14:textId="5CE792A0" w:rsidR="009967DA" w:rsidRPr="00E32EA5" w:rsidRDefault="009967DA">
            <w:pPr>
              <w:tabs>
                <w:tab w:val="left" w:pos="595"/>
              </w:tabs>
              <w:spacing w:line="276" w:lineRule="auto"/>
              <w:ind w:left="567" w:right="561"/>
              <w:rPr>
                <w:rFonts w:ascii="Arial" w:hAnsi="Arial" w:cs="Arial"/>
                <w:b w:val="0"/>
                <w:bCs/>
                <w:i/>
                <w:color w:val="000000"/>
                <w:sz w:val="22"/>
                <w:lang w:val="en-GB"/>
              </w:rPr>
            </w:pPr>
          </w:p>
        </w:tc>
      </w:tr>
    </w:tbl>
    <w:p w14:paraId="4EFAA697" w14:textId="6F5CF883" w:rsidR="00C0403C" w:rsidRPr="00956552" w:rsidRDefault="00C0403C" w:rsidP="00FC7DB8">
      <w:pPr>
        <w:spacing w:before="120" w:after="120" w:line="264" w:lineRule="auto"/>
        <w:contextualSpacing/>
        <w:jc w:val="both"/>
        <w:rPr>
          <w:rFonts w:asciiTheme="majorHAnsi" w:eastAsia="Arial" w:hAnsiTheme="majorHAnsi" w:cstheme="majorHAnsi"/>
          <w:lang w:eastAsia="en-US"/>
        </w:rPr>
      </w:pPr>
    </w:p>
    <w:p w14:paraId="1780C49D" w14:textId="5A7D3326" w:rsidR="00FC7DB8" w:rsidRPr="00C64064" w:rsidRDefault="00775960" w:rsidP="00B03C3A">
      <w:pPr>
        <w:pStyle w:val="Head3"/>
        <w:rPr>
          <w:lang w:eastAsia="en-US"/>
        </w:rPr>
      </w:pPr>
      <w:bookmarkStart w:id="132" w:name="_Toc173318334"/>
      <w:bookmarkStart w:id="133" w:name="_Toc179192316"/>
      <w:bookmarkStart w:id="134" w:name="_Toc180155180"/>
      <w:r w:rsidRPr="00C64064">
        <w:rPr>
          <w:lang w:eastAsia="en-US"/>
        </w:rPr>
        <w:t>4.2.3.</w:t>
      </w:r>
      <w:r w:rsidR="002146B2" w:rsidRPr="00C64064">
        <w:rPr>
          <w:lang w:eastAsia="en-US"/>
        </w:rPr>
        <w:t xml:space="preserve"> </w:t>
      </w:r>
      <w:r w:rsidR="00FC7DB8" w:rsidRPr="00C64064">
        <w:rPr>
          <w:lang w:eastAsia="en-US"/>
        </w:rPr>
        <w:t xml:space="preserve">Youth </w:t>
      </w:r>
      <w:r w:rsidR="008A5111" w:rsidRPr="00C64064">
        <w:rPr>
          <w:lang w:eastAsia="en-US"/>
        </w:rPr>
        <w:t>i</w:t>
      </w:r>
      <w:r w:rsidR="00FC7DB8" w:rsidRPr="00C64064">
        <w:rPr>
          <w:lang w:eastAsia="en-US"/>
        </w:rPr>
        <w:t>nclusion</w:t>
      </w:r>
      <w:bookmarkEnd w:id="132"/>
      <w:bookmarkEnd w:id="133"/>
      <w:bookmarkEnd w:id="134"/>
    </w:p>
    <w:p w14:paraId="42038331" w14:textId="1703E4EC" w:rsidR="00FC7DB8" w:rsidRPr="00C64064" w:rsidRDefault="00FC7DB8" w:rsidP="5583D54B">
      <w:pPr>
        <w:keepNext/>
        <w:keepLines/>
        <w:suppressAutoHyphens/>
        <w:spacing w:before="280" w:after="240" w:line="264" w:lineRule="auto"/>
        <w:jc w:val="both"/>
        <w:outlineLvl w:val="1"/>
        <w:rPr>
          <w:rFonts w:asciiTheme="majorHAnsi" w:eastAsiaTheme="majorEastAsia" w:hAnsiTheme="majorHAnsi" w:cstheme="majorBidi"/>
          <w:sz w:val="26"/>
          <w:szCs w:val="26"/>
          <w:lang w:eastAsia="en-US"/>
        </w:rPr>
      </w:pPr>
      <w:bookmarkStart w:id="135" w:name="_Toc173318335"/>
      <w:r w:rsidRPr="5583D54B">
        <w:rPr>
          <w:rFonts w:asciiTheme="majorHAnsi" w:eastAsiaTheme="majorEastAsia" w:hAnsiTheme="majorHAnsi" w:cstheme="majorBidi"/>
          <w:sz w:val="26"/>
          <w:szCs w:val="26"/>
          <w:lang w:eastAsia="en-US"/>
        </w:rPr>
        <w:t>Study on regeneration in agriculture</w:t>
      </w:r>
      <w:bookmarkEnd w:id="135"/>
      <w:r w:rsidRPr="5583D54B">
        <w:rPr>
          <w:rFonts w:asciiTheme="majorHAnsi" w:eastAsiaTheme="majorEastAsia" w:hAnsiTheme="majorHAnsi" w:cstheme="majorBidi"/>
          <w:sz w:val="26"/>
          <w:szCs w:val="26"/>
          <w:lang w:eastAsia="en-US"/>
        </w:rPr>
        <w:t xml:space="preserve"> </w:t>
      </w:r>
    </w:p>
    <w:p w14:paraId="1BCCC592" w14:textId="344386D6" w:rsidR="00FC7DB8" w:rsidRPr="00956552" w:rsidRDefault="00FC7DB8" w:rsidP="00FC7DB8">
      <w:pPr>
        <w:spacing w:before="120" w:after="120" w:line="264" w:lineRule="auto"/>
        <w:contextualSpacing/>
        <w:jc w:val="both"/>
        <w:rPr>
          <w:rFonts w:asciiTheme="majorHAnsi" w:eastAsia="Arial" w:hAnsiTheme="majorHAnsi" w:cstheme="majorHAnsi"/>
          <w:lang w:eastAsia="en-US"/>
        </w:rPr>
      </w:pPr>
      <w:r w:rsidRPr="00956552">
        <w:rPr>
          <w:rFonts w:asciiTheme="majorHAnsi" w:eastAsia="Arial" w:hAnsiTheme="majorHAnsi" w:cstheme="majorHAnsi"/>
          <w:lang w:eastAsia="en-US"/>
        </w:rPr>
        <w:t>This semester, PRISMA commissioned the Center for Population and Policy Studies of Gadjah Mada University (CPPS UGM) to conduct a study on youth and regeneration in agriculture. The study aims to comprehen</w:t>
      </w:r>
      <w:r w:rsidR="0085323F" w:rsidRPr="00956552">
        <w:rPr>
          <w:rFonts w:asciiTheme="majorHAnsi" w:eastAsia="Arial" w:hAnsiTheme="majorHAnsi" w:cstheme="majorHAnsi"/>
          <w:lang w:eastAsia="en-US"/>
        </w:rPr>
        <w:t>d the</w:t>
      </w:r>
      <w:r w:rsidRPr="00956552">
        <w:rPr>
          <w:rFonts w:asciiTheme="majorHAnsi" w:eastAsia="Arial" w:hAnsiTheme="majorHAnsi" w:cstheme="majorHAnsi"/>
          <w:lang w:eastAsia="en-US"/>
        </w:rPr>
        <w:t xml:space="preserve"> factors influencing farmers</w:t>
      </w:r>
      <w:r w:rsidR="0085323F" w:rsidRPr="00956552">
        <w:rPr>
          <w:rFonts w:asciiTheme="majorHAnsi" w:eastAsia="Arial" w:hAnsiTheme="majorHAnsi" w:cstheme="majorHAnsi"/>
          <w:lang w:eastAsia="en-US"/>
        </w:rPr>
        <w:t>’</w:t>
      </w:r>
      <w:r w:rsidRPr="00956552">
        <w:rPr>
          <w:rFonts w:asciiTheme="majorHAnsi" w:eastAsia="Arial" w:hAnsiTheme="majorHAnsi" w:cstheme="majorHAnsi"/>
          <w:lang w:eastAsia="en-US"/>
        </w:rPr>
        <w:t xml:space="preserve"> regeneration and </w:t>
      </w:r>
      <w:r w:rsidRPr="00491181">
        <w:rPr>
          <w:rFonts w:asciiTheme="majorHAnsi" w:eastAsia="Arial" w:hAnsiTheme="majorHAnsi" w:cstheme="majorHAnsi"/>
          <w:lang w:eastAsia="en-US"/>
        </w:rPr>
        <w:t>youth involvement</w:t>
      </w:r>
      <w:r w:rsidR="005627D1" w:rsidRPr="00491181">
        <w:rPr>
          <w:rFonts w:asciiTheme="majorHAnsi" w:eastAsia="Arial" w:hAnsiTheme="majorHAnsi" w:cstheme="majorHAnsi"/>
          <w:lang w:eastAsia="en-US"/>
        </w:rPr>
        <w:t xml:space="preserve">, which puts Indonesia's agricultural sustainability and food security at further risk. With a policy brief as its main output, the study will contribute to the initial draft of the 2025-2029 RPJMN and its indicators. </w:t>
      </w:r>
      <w:r w:rsidRPr="00491181">
        <w:rPr>
          <w:rFonts w:asciiTheme="majorHAnsi" w:eastAsia="Arial" w:hAnsiTheme="majorHAnsi" w:cstheme="majorHAnsi"/>
          <w:lang w:eastAsia="en-AU"/>
        </w:rPr>
        <w:t>The study is expected to be completed and</w:t>
      </w:r>
      <w:r w:rsidRPr="00956552">
        <w:rPr>
          <w:rFonts w:asciiTheme="majorHAnsi" w:eastAsia="Arial" w:hAnsiTheme="majorHAnsi" w:cstheme="majorHAnsi"/>
          <w:lang w:eastAsia="en-AU"/>
        </w:rPr>
        <w:t xml:space="preserve"> disseminated by the end of</w:t>
      </w:r>
      <w:r w:rsidR="007528A4">
        <w:rPr>
          <w:rFonts w:asciiTheme="majorHAnsi" w:eastAsia="Arial" w:hAnsiTheme="majorHAnsi" w:cstheme="majorHAnsi"/>
          <w:lang w:eastAsia="en-AU"/>
        </w:rPr>
        <w:t xml:space="preserve"> </w:t>
      </w:r>
      <w:r w:rsidR="00E21BB7">
        <w:rPr>
          <w:rFonts w:asciiTheme="majorHAnsi" w:eastAsia="Arial" w:hAnsiTheme="majorHAnsi" w:cstheme="majorHAnsi"/>
          <w:lang w:eastAsia="en-AU"/>
        </w:rPr>
        <w:t xml:space="preserve">October </w:t>
      </w:r>
      <w:r w:rsidRPr="00956552">
        <w:rPr>
          <w:rFonts w:asciiTheme="majorHAnsi" w:eastAsia="Arial" w:hAnsiTheme="majorHAnsi" w:cstheme="majorHAnsi"/>
          <w:lang w:eastAsia="en-AU"/>
        </w:rPr>
        <w:t>2024.</w:t>
      </w:r>
    </w:p>
    <w:p w14:paraId="16D43420" w14:textId="77777777" w:rsidR="00FC7DB8" w:rsidRPr="00C64064" w:rsidRDefault="00FC7DB8" w:rsidP="00FC7DB8">
      <w:pPr>
        <w:spacing w:before="120" w:after="120" w:line="264" w:lineRule="auto"/>
        <w:contextualSpacing/>
        <w:jc w:val="both"/>
        <w:rPr>
          <w:rFonts w:asciiTheme="majorHAnsi" w:eastAsia="Times New Roman" w:hAnsiTheme="majorHAnsi" w:cstheme="majorHAnsi"/>
          <w:b/>
          <w:bCs/>
          <w:szCs w:val="24"/>
          <w:highlight w:val="yellow"/>
          <w:lang w:eastAsia="en-US"/>
        </w:rPr>
      </w:pPr>
    </w:p>
    <w:p w14:paraId="65E06E7D" w14:textId="238F8B4C" w:rsidR="00FC7DB8" w:rsidRPr="00C64064" w:rsidRDefault="00775960" w:rsidP="00B03C3A">
      <w:pPr>
        <w:pStyle w:val="Head3"/>
        <w:rPr>
          <w:lang w:eastAsia="en-US"/>
        </w:rPr>
      </w:pPr>
      <w:bookmarkStart w:id="136" w:name="_Toc173318336"/>
      <w:bookmarkStart w:id="137" w:name="_Toc179192317"/>
      <w:bookmarkStart w:id="138" w:name="_Toc180155181"/>
      <w:r w:rsidRPr="00C64064">
        <w:rPr>
          <w:lang w:eastAsia="en-US"/>
        </w:rPr>
        <w:lastRenderedPageBreak/>
        <w:t>4.2.4</w:t>
      </w:r>
      <w:r w:rsidR="002146B2" w:rsidRPr="00C64064">
        <w:rPr>
          <w:lang w:eastAsia="en-US"/>
        </w:rPr>
        <w:t xml:space="preserve"> </w:t>
      </w:r>
      <w:r w:rsidR="00FC7DB8" w:rsidRPr="00C64064">
        <w:rPr>
          <w:lang w:eastAsia="en-US"/>
        </w:rPr>
        <w:t xml:space="preserve">Indigenous </w:t>
      </w:r>
      <w:r w:rsidR="008A5111" w:rsidRPr="00C64064">
        <w:rPr>
          <w:lang w:eastAsia="en-US"/>
        </w:rPr>
        <w:t>i</w:t>
      </w:r>
      <w:r w:rsidR="00FC7DB8" w:rsidRPr="00C64064">
        <w:rPr>
          <w:lang w:eastAsia="en-US"/>
        </w:rPr>
        <w:t>nclusion</w:t>
      </w:r>
      <w:bookmarkEnd w:id="136"/>
      <w:bookmarkEnd w:id="137"/>
      <w:bookmarkEnd w:id="138"/>
      <w:r w:rsidR="00FC7DB8" w:rsidRPr="00C64064">
        <w:rPr>
          <w:lang w:eastAsia="en-US"/>
        </w:rPr>
        <w:t xml:space="preserve"> </w:t>
      </w:r>
    </w:p>
    <w:p w14:paraId="6DFB9A75" w14:textId="38400872" w:rsidR="00FC7DB8" w:rsidRPr="00C64064" w:rsidRDefault="00FC7DB8" w:rsidP="5583D54B">
      <w:pPr>
        <w:keepNext/>
        <w:keepLines/>
        <w:suppressAutoHyphens/>
        <w:spacing w:before="280" w:after="240" w:line="264" w:lineRule="auto"/>
        <w:jc w:val="both"/>
        <w:outlineLvl w:val="1"/>
        <w:rPr>
          <w:rFonts w:asciiTheme="majorHAnsi" w:eastAsiaTheme="majorEastAsia" w:hAnsiTheme="majorHAnsi" w:cstheme="majorBidi"/>
          <w:sz w:val="26"/>
          <w:szCs w:val="26"/>
          <w:lang w:eastAsia="en-US"/>
        </w:rPr>
      </w:pPr>
      <w:bookmarkStart w:id="139" w:name="_Toc173318337"/>
      <w:r w:rsidRPr="5583D54B">
        <w:rPr>
          <w:rFonts w:asciiTheme="majorHAnsi" w:eastAsiaTheme="majorEastAsia" w:hAnsiTheme="majorHAnsi" w:cstheme="majorBidi"/>
          <w:sz w:val="26"/>
          <w:szCs w:val="26"/>
          <w:lang w:eastAsia="en-US"/>
        </w:rPr>
        <w:t xml:space="preserve">Collaboration with stakeholders for </w:t>
      </w:r>
      <w:r w:rsidR="0086186F" w:rsidRPr="5583D54B">
        <w:rPr>
          <w:rFonts w:asciiTheme="majorHAnsi" w:eastAsiaTheme="majorEastAsia" w:hAnsiTheme="majorHAnsi" w:cstheme="majorBidi"/>
          <w:sz w:val="26"/>
          <w:szCs w:val="26"/>
          <w:lang w:eastAsia="en-US"/>
        </w:rPr>
        <w:t>s</w:t>
      </w:r>
      <w:r w:rsidRPr="5583D54B">
        <w:rPr>
          <w:rFonts w:asciiTheme="majorHAnsi" w:eastAsiaTheme="majorEastAsia" w:hAnsiTheme="majorHAnsi" w:cstheme="majorBidi"/>
          <w:sz w:val="26"/>
          <w:szCs w:val="26"/>
          <w:lang w:eastAsia="en-US"/>
        </w:rPr>
        <w:t>tudy on regeneration in agriculture</w:t>
      </w:r>
      <w:bookmarkEnd w:id="139"/>
      <w:r w:rsidRPr="5583D54B">
        <w:rPr>
          <w:rFonts w:asciiTheme="majorHAnsi" w:eastAsiaTheme="majorEastAsia" w:hAnsiTheme="majorHAnsi" w:cstheme="majorBidi"/>
          <w:sz w:val="26"/>
          <w:szCs w:val="26"/>
          <w:lang w:eastAsia="en-US"/>
        </w:rPr>
        <w:t xml:space="preserve"> </w:t>
      </w:r>
    </w:p>
    <w:p w14:paraId="68616DAB" w14:textId="713D83C3" w:rsidR="00FC7DB8" w:rsidRPr="00956552" w:rsidRDefault="00FC7DB8" w:rsidP="00FC7DB8">
      <w:pPr>
        <w:spacing w:before="200" w:after="200" w:line="240" w:lineRule="auto"/>
        <w:jc w:val="both"/>
        <w:rPr>
          <w:rFonts w:asciiTheme="majorHAnsi" w:eastAsiaTheme="majorEastAsia" w:hAnsiTheme="majorHAnsi" w:cstheme="majorHAnsi"/>
          <w:shd w:val="clear" w:color="auto" w:fill="FFFFFF"/>
          <w:lang w:val="en-AU" w:eastAsia="en-US"/>
        </w:rPr>
      </w:pPr>
      <w:r w:rsidRPr="00956552">
        <w:rPr>
          <w:rFonts w:asciiTheme="majorHAnsi" w:eastAsia="Arial" w:hAnsiTheme="majorHAnsi" w:cstheme="majorHAnsi"/>
          <w:lang w:eastAsia="en-US"/>
        </w:rPr>
        <w:t xml:space="preserve">During this semester, PRISMA facilitated collaborations between different stakeholders in Tanah Papua </w:t>
      </w:r>
      <w:r w:rsidR="007B4106" w:rsidRPr="00956552">
        <w:rPr>
          <w:rFonts w:asciiTheme="majorHAnsi" w:eastAsia="Arial" w:hAnsiTheme="majorHAnsi" w:cstheme="majorHAnsi"/>
          <w:lang w:eastAsia="en-US"/>
        </w:rPr>
        <w:t>to</w:t>
      </w:r>
      <w:r w:rsidRPr="00956552">
        <w:rPr>
          <w:rFonts w:asciiTheme="majorHAnsi" w:eastAsia="Arial" w:hAnsiTheme="majorHAnsi" w:cstheme="majorHAnsi"/>
          <w:lang w:eastAsia="en-US"/>
        </w:rPr>
        <w:t xml:space="preserve"> improve</w:t>
      </w:r>
      <w:r w:rsidR="007B4106" w:rsidRPr="00956552">
        <w:rPr>
          <w:rFonts w:asciiTheme="majorHAnsi" w:eastAsia="Arial" w:hAnsiTheme="majorHAnsi" w:cstheme="majorHAnsi"/>
          <w:lang w:eastAsia="en-US"/>
        </w:rPr>
        <w:t xml:space="preserve"> the</w:t>
      </w:r>
      <w:r w:rsidRPr="00956552">
        <w:rPr>
          <w:rFonts w:asciiTheme="majorHAnsi" w:eastAsia="Arial" w:hAnsiTheme="majorHAnsi" w:cstheme="majorHAnsi"/>
          <w:lang w:eastAsia="en-US"/>
        </w:rPr>
        <w:t xml:space="preserve"> inclusion of indigenous vegetable farmers. One such collaboration </w:t>
      </w:r>
      <w:r w:rsidR="00020CA9" w:rsidRPr="00956552">
        <w:rPr>
          <w:rFonts w:asciiTheme="majorHAnsi" w:eastAsia="Arial" w:hAnsiTheme="majorHAnsi" w:cstheme="majorHAnsi"/>
          <w:lang w:eastAsia="en-US"/>
        </w:rPr>
        <w:t xml:space="preserve">is </w:t>
      </w:r>
      <w:r w:rsidR="0085323F" w:rsidRPr="00956552">
        <w:rPr>
          <w:rFonts w:asciiTheme="majorHAnsi" w:eastAsia="Arial" w:hAnsiTheme="majorHAnsi" w:cstheme="majorHAnsi"/>
          <w:lang w:eastAsia="en-US"/>
        </w:rPr>
        <w:t>with</w:t>
      </w:r>
      <w:r w:rsidRPr="00956552">
        <w:rPr>
          <w:rFonts w:asciiTheme="majorHAnsi" w:eastAsia="Arial" w:hAnsiTheme="majorHAnsi" w:cstheme="majorHAnsi"/>
          <w:lang w:eastAsia="en-US"/>
        </w:rPr>
        <w:t xml:space="preserve"> Anggi Mart</w:t>
      </w:r>
      <w:r w:rsidR="0085323F" w:rsidRPr="00956552">
        <w:rPr>
          <w:rFonts w:asciiTheme="majorHAnsi" w:eastAsia="Arial" w:hAnsiTheme="majorHAnsi" w:cstheme="majorHAnsi"/>
          <w:lang w:eastAsia="en-US"/>
        </w:rPr>
        <w:t xml:space="preserve">, a </w:t>
      </w:r>
      <w:r w:rsidRPr="00956552">
        <w:rPr>
          <w:rFonts w:asciiTheme="majorHAnsi" w:eastAsia="Arial" w:hAnsiTheme="majorHAnsi" w:cstheme="majorHAnsi"/>
          <w:lang w:eastAsia="en-US"/>
        </w:rPr>
        <w:t>local off-taker, PT Agrosid</w:t>
      </w:r>
      <w:r w:rsidR="0085323F" w:rsidRPr="00956552">
        <w:rPr>
          <w:rFonts w:asciiTheme="majorHAnsi" w:eastAsia="Arial" w:hAnsiTheme="majorHAnsi" w:cstheme="majorHAnsi"/>
          <w:lang w:eastAsia="en-US"/>
        </w:rPr>
        <w:t xml:space="preserve">, a </w:t>
      </w:r>
      <w:r w:rsidRPr="00956552">
        <w:rPr>
          <w:rFonts w:asciiTheme="majorHAnsi" w:eastAsia="Arial" w:hAnsiTheme="majorHAnsi" w:cstheme="majorHAnsi"/>
          <w:lang w:eastAsia="en-US"/>
        </w:rPr>
        <w:t xml:space="preserve">national seed company, and </w:t>
      </w:r>
      <w:r w:rsidR="00020CA9" w:rsidRPr="00956552">
        <w:rPr>
          <w:rFonts w:asciiTheme="majorHAnsi" w:eastAsia="Arial" w:hAnsiTheme="majorHAnsi" w:cstheme="majorHAnsi"/>
          <w:lang w:eastAsia="en-US"/>
        </w:rPr>
        <w:t xml:space="preserve">the </w:t>
      </w:r>
      <w:r w:rsidRPr="00956552">
        <w:rPr>
          <w:rFonts w:asciiTheme="majorHAnsi" w:eastAsia="Arial" w:hAnsiTheme="majorHAnsi" w:cstheme="majorHAnsi"/>
          <w:lang w:eastAsia="en-US"/>
        </w:rPr>
        <w:t>Community and Village Empowerment Agency (DPMK) in Manokwari. Th</w:t>
      </w:r>
      <w:r w:rsidR="00020CA9" w:rsidRPr="00956552">
        <w:rPr>
          <w:rFonts w:asciiTheme="majorHAnsi" w:eastAsia="Arial" w:hAnsiTheme="majorHAnsi" w:cstheme="majorHAnsi"/>
          <w:lang w:eastAsia="en-US"/>
        </w:rPr>
        <w:t>is</w:t>
      </w:r>
      <w:r w:rsidRPr="00956552">
        <w:rPr>
          <w:rFonts w:asciiTheme="majorHAnsi" w:eastAsia="Arial" w:hAnsiTheme="majorHAnsi" w:cstheme="majorHAnsi"/>
          <w:lang w:eastAsia="en-US"/>
        </w:rPr>
        <w:t xml:space="preserve"> partnership </w:t>
      </w:r>
      <w:r w:rsidR="007B4106" w:rsidRPr="00956552">
        <w:rPr>
          <w:rFonts w:asciiTheme="majorHAnsi" w:eastAsia="Arial" w:hAnsiTheme="majorHAnsi" w:cstheme="majorHAnsi"/>
          <w:lang w:eastAsia="en-US"/>
        </w:rPr>
        <w:t>aim</w:t>
      </w:r>
      <w:r w:rsidRPr="00956552">
        <w:rPr>
          <w:rFonts w:asciiTheme="majorHAnsi" w:eastAsia="Arial" w:hAnsiTheme="majorHAnsi" w:cstheme="majorHAnsi"/>
          <w:lang w:eastAsia="en-US"/>
        </w:rPr>
        <w:t>s to enhance indigenous farmers’ access to quality seeds, GAP assistance, and off-taking services in the vegetable sector.</w:t>
      </w:r>
    </w:p>
    <w:p w14:paraId="7CB91A00" w14:textId="21CF931E" w:rsidR="00FC7DB8" w:rsidRPr="00C64064" w:rsidRDefault="00FC7DB8" w:rsidP="00FC7DB8">
      <w:pPr>
        <w:keepNext/>
        <w:keepLines/>
        <w:numPr>
          <w:ilvl w:val="1"/>
          <w:numId w:val="0"/>
        </w:numPr>
        <w:suppressAutoHyphens/>
        <w:spacing w:before="280" w:after="240" w:line="264" w:lineRule="auto"/>
        <w:jc w:val="both"/>
        <w:outlineLvl w:val="1"/>
        <w:rPr>
          <w:rFonts w:asciiTheme="majorHAnsi" w:eastAsiaTheme="majorEastAsia" w:hAnsiTheme="majorHAnsi" w:cstheme="majorHAnsi"/>
          <w:sz w:val="28"/>
          <w:szCs w:val="26"/>
          <w:lang w:eastAsia="en-US"/>
        </w:rPr>
      </w:pPr>
      <w:bookmarkStart w:id="140" w:name="_Toc173318338"/>
      <w:r w:rsidRPr="00C64064">
        <w:rPr>
          <w:rFonts w:asciiTheme="majorHAnsi" w:eastAsiaTheme="majorEastAsia" w:hAnsiTheme="majorHAnsi" w:cstheme="majorHAnsi"/>
          <w:sz w:val="26"/>
          <w:szCs w:val="24"/>
          <w:lang w:eastAsia="en-US"/>
        </w:rPr>
        <w:t>Knowledge harvesting and dissemination</w:t>
      </w:r>
      <w:bookmarkEnd w:id="140"/>
    </w:p>
    <w:p w14:paraId="64276CE1" w14:textId="3F2406C4" w:rsidR="00FC7DB8" w:rsidRPr="00956552" w:rsidRDefault="00FC7DB8" w:rsidP="00FC7DB8">
      <w:pPr>
        <w:spacing w:before="200" w:after="200" w:line="240" w:lineRule="auto"/>
        <w:jc w:val="both"/>
        <w:rPr>
          <w:rFonts w:asciiTheme="majorHAnsi" w:eastAsia="Arial" w:hAnsiTheme="majorHAnsi" w:cstheme="majorHAnsi"/>
          <w:lang w:eastAsia="en-US"/>
        </w:rPr>
      </w:pPr>
      <w:r w:rsidRPr="00956552">
        <w:rPr>
          <w:rFonts w:asciiTheme="majorHAnsi" w:eastAsia="Arial" w:hAnsiTheme="majorHAnsi" w:cstheme="majorHAnsi"/>
          <w:lang w:eastAsia="en-US"/>
        </w:rPr>
        <w:t xml:space="preserve">PRISMA has developed a learning brief </w:t>
      </w:r>
      <w:r w:rsidR="00020CA9" w:rsidRPr="00956552">
        <w:rPr>
          <w:rFonts w:asciiTheme="majorHAnsi" w:eastAsia="Arial" w:hAnsiTheme="majorHAnsi" w:cstheme="majorHAnsi"/>
          <w:lang w:eastAsia="en-US"/>
        </w:rPr>
        <w:t xml:space="preserve">based </w:t>
      </w:r>
      <w:r w:rsidRPr="00956552">
        <w:rPr>
          <w:rFonts w:asciiTheme="majorHAnsi" w:eastAsia="Arial" w:hAnsiTheme="majorHAnsi" w:cstheme="majorHAnsi"/>
          <w:lang w:eastAsia="en-US"/>
        </w:rPr>
        <w:t xml:space="preserve">on its experience and lessons </w:t>
      </w:r>
      <w:r w:rsidR="00020CA9" w:rsidRPr="00956552">
        <w:rPr>
          <w:rFonts w:asciiTheme="majorHAnsi" w:eastAsia="Arial" w:hAnsiTheme="majorHAnsi" w:cstheme="majorHAnsi"/>
          <w:lang w:eastAsia="en-US"/>
        </w:rPr>
        <w:t>acquired</w:t>
      </w:r>
      <w:r w:rsidRPr="00956552">
        <w:rPr>
          <w:rFonts w:asciiTheme="majorHAnsi" w:eastAsia="Arial" w:hAnsiTheme="majorHAnsi" w:cstheme="majorHAnsi"/>
          <w:lang w:eastAsia="en-US"/>
        </w:rPr>
        <w:t xml:space="preserve"> working with indigenous people </w:t>
      </w:r>
      <w:r w:rsidR="00020CA9" w:rsidRPr="00956552">
        <w:rPr>
          <w:rFonts w:asciiTheme="majorHAnsi" w:eastAsia="Arial" w:hAnsiTheme="majorHAnsi" w:cstheme="majorHAnsi"/>
          <w:lang w:eastAsia="en-US"/>
        </w:rPr>
        <w:t>in</w:t>
      </w:r>
      <w:r w:rsidRPr="00956552">
        <w:rPr>
          <w:rFonts w:asciiTheme="majorHAnsi" w:eastAsia="Arial" w:hAnsiTheme="majorHAnsi" w:cstheme="majorHAnsi"/>
          <w:lang w:eastAsia="en-US"/>
        </w:rPr>
        <w:t xml:space="preserve"> Tanah Papua</w:t>
      </w:r>
      <w:r w:rsidR="00020CA9" w:rsidRPr="00956552">
        <w:rPr>
          <w:rFonts w:asciiTheme="majorHAnsi" w:eastAsia="Arial" w:hAnsiTheme="majorHAnsi" w:cstheme="majorHAnsi"/>
          <w:lang w:eastAsia="en-US"/>
        </w:rPr>
        <w:t>. T</w:t>
      </w:r>
      <w:r w:rsidRPr="00956552">
        <w:rPr>
          <w:rFonts w:asciiTheme="majorHAnsi" w:eastAsia="Arial" w:hAnsiTheme="majorHAnsi" w:cstheme="majorHAnsi"/>
          <w:lang w:eastAsia="en-US"/>
        </w:rPr>
        <w:t xml:space="preserve">he brief </w:t>
      </w:r>
      <w:r w:rsidR="00020CA9" w:rsidRPr="00956552">
        <w:rPr>
          <w:rFonts w:asciiTheme="majorHAnsi" w:eastAsia="Arial" w:hAnsiTheme="majorHAnsi" w:cstheme="majorHAnsi"/>
          <w:lang w:eastAsia="en-US"/>
        </w:rPr>
        <w:t xml:space="preserve">mainly </w:t>
      </w:r>
      <w:r w:rsidRPr="00956552">
        <w:rPr>
          <w:rFonts w:asciiTheme="majorHAnsi" w:eastAsia="Arial" w:hAnsiTheme="majorHAnsi" w:cstheme="majorHAnsi"/>
          <w:lang w:eastAsia="en-US"/>
        </w:rPr>
        <w:t>target</w:t>
      </w:r>
      <w:r w:rsidR="007B4106" w:rsidRPr="00956552">
        <w:rPr>
          <w:rFonts w:asciiTheme="majorHAnsi" w:eastAsia="Arial" w:hAnsiTheme="majorHAnsi" w:cstheme="majorHAnsi"/>
          <w:lang w:eastAsia="en-US"/>
        </w:rPr>
        <w:t>s</w:t>
      </w:r>
      <w:r w:rsidRPr="00956552">
        <w:rPr>
          <w:rFonts w:asciiTheme="majorHAnsi" w:eastAsia="Arial" w:hAnsiTheme="majorHAnsi" w:cstheme="majorHAnsi"/>
          <w:lang w:eastAsia="en-US"/>
        </w:rPr>
        <w:t xml:space="preserve"> development stakeholders</w:t>
      </w:r>
      <w:r w:rsidR="007B4106" w:rsidRPr="00956552">
        <w:rPr>
          <w:rFonts w:asciiTheme="majorHAnsi" w:eastAsia="Arial" w:hAnsiTheme="majorHAnsi" w:cstheme="majorHAnsi"/>
          <w:lang w:eastAsia="en-US"/>
        </w:rPr>
        <w:t>,</w:t>
      </w:r>
      <w:r w:rsidR="00020CA9" w:rsidRPr="00956552">
        <w:rPr>
          <w:rFonts w:asciiTheme="majorHAnsi" w:eastAsia="Arial" w:hAnsiTheme="majorHAnsi" w:cstheme="majorHAnsi"/>
          <w:lang w:eastAsia="en-US"/>
        </w:rPr>
        <w:t xml:space="preserve"> and</w:t>
      </w:r>
      <w:r w:rsidRPr="00956552">
        <w:rPr>
          <w:rFonts w:asciiTheme="majorHAnsi" w:eastAsia="Arial" w:hAnsiTheme="majorHAnsi" w:cstheme="majorHAnsi"/>
          <w:lang w:eastAsia="en-US"/>
        </w:rPr>
        <w:t xml:space="preserve"> PRISMA plans to </w:t>
      </w:r>
      <w:r w:rsidRPr="00956552">
        <w:rPr>
          <w:rFonts w:asciiTheme="majorHAnsi" w:eastAsia="Times New Roman" w:hAnsiTheme="majorHAnsi" w:cstheme="majorHAnsi"/>
          <w:lang w:eastAsia="en-ID"/>
        </w:rPr>
        <w:t xml:space="preserve">share </w:t>
      </w:r>
      <w:r w:rsidR="00020CA9" w:rsidRPr="00956552">
        <w:rPr>
          <w:rFonts w:asciiTheme="majorHAnsi" w:eastAsia="Times New Roman" w:hAnsiTheme="majorHAnsi" w:cstheme="majorHAnsi"/>
          <w:lang w:eastAsia="en-ID"/>
        </w:rPr>
        <w:t>it</w:t>
      </w:r>
      <w:r w:rsidRPr="00956552">
        <w:rPr>
          <w:rFonts w:asciiTheme="majorHAnsi" w:eastAsia="Times New Roman" w:hAnsiTheme="majorHAnsi" w:cstheme="majorHAnsi"/>
          <w:lang w:eastAsia="en-ID"/>
        </w:rPr>
        <w:t xml:space="preserve"> during World Indigenous Day in August.</w:t>
      </w:r>
    </w:p>
    <w:p w14:paraId="421C5ABC" w14:textId="2E4A724F" w:rsidR="00041B42" w:rsidRPr="00956552" w:rsidRDefault="00FC7DB8" w:rsidP="5583D54B">
      <w:pPr>
        <w:spacing w:before="200" w:after="200" w:line="240" w:lineRule="auto"/>
        <w:jc w:val="both"/>
        <w:rPr>
          <w:rFonts w:asciiTheme="majorHAnsi" w:eastAsia="Arial" w:hAnsiTheme="majorHAnsi" w:cstheme="majorBidi"/>
          <w:lang w:eastAsia="en-US"/>
        </w:rPr>
      </w:pPr>
      <w:r w:rsidRPr="5583D54B">
        <w:rPr>
          <w:rFonts w:asciiTheme="majorHAnsi" w:eastAsia="Arial" w:hAnsiTheme="majorHAnsi" w:cstheme="majorBidi"/>
          <w:lang w:eastAsia="en-US"/>
        </w:rPr>
        <w:t xml:space="preserve">In addition, PRISMA co-hosted </w:t>
      </w:r>
      <w:r w:rsidR="00991A22" w:rsidRPr="5583D54B">
        <w:rPr>
          <w:rFonts w:asciiTheme="majorHAnsi" w:eastAsia="Arial" w:hAnsiTheme="majorHAnsi" w:cstheme="majorBidi"/>
          <w:lang w:eastAsia="en-US"/>
        </w:rPr>
        <w:t>2</w:t>
      </w:r>
      <w:r w:rsidRPr="5583D54B">
        <w:rPr>
          <w:rFonts w:asciiTheme="majorHAnsi" w:eastAsia="Arial" w:hAnsiTheme="majorHAnsi" w:cstheme="majorBidi"/>
          <w:lang w:eastAsia="en-US"/>
        </w:rPr>
        <w:t xml:space="preserve"> events with </w:t>
      </w:r>
      <w:r w:rsidR="00020CA9" w:rsidRPr="5583D54B">
        <w:rPr>
          <w:rFonts w:asciiTheme="majorHAnsi" w:eastAsia="Arial" w:hAnsiTheme="majorHAnsi" w:cstheme="majorBidi"/>
          <w:lang w:eastAsia="en-US"/>
        </w:rPr>
        <w:t xml:space="preserve">the </w:t>
      </w:r>
      <w:r w:rsidRPr="5583D54B">
        <w:rPr>
          <w:rFonts w:asciiTheme="majorHAnsi" w:eastAsia="Arial" w:hAnsiTheme="majorHAnsi" w:cstheme="majorBidi"/>
          <w:lang w:eastAsia="en-US"/>
        </w:rPr>
        <w:t xml:space="preserve">West Papua </w:t>
      </w:r>
      <w:r w:rsidR="00020CA9" w:rsidRPr="5583D54B">
        <w:rPr>
          <w:rFonts w:asciiTheme="majorHAnsi" w:eastAsia="Arial" w:hAnsiTheme="majorHAnsi" w:cstheme="majorBidi"/>
          <w:lang w:eastAsia="en-US"/>
        </w:rPr>
        <w:t>p</w:t>
      </w:r>
      <w:r w:rsidRPr="5583D54B">
        <w:rPr>
          <w:rFonts w:asciiTheme="majorHAnsi" w:eastAsia="Arial" w:hAnsiTheme="majorHAnsi" w:cstheme="majorBidi"/>
          <w:lang w:eastAsia="en-US"/>
        </w:rPr>
        <w:t>rovincial government and PYCH to further promote indigenous-inclusive approaches and strengthen off-taking chain</w:t>
      </w:r>
      <w:r w:rsidR="00020CA9" w:rsidRPr="5583D54B">
        <w:rPr>
          <w:rFonts w:asciiTheme="majorHAnsi" w:eastAsia="Arial" w:hAnsiTheme="majorHAnsi" w:cstheme="majorBidi"/>
          <w:lang w:eastAsia="en-US"/>
        </w:rPr>
        <w:t>s</w:t>
      </w:r>
      <w:r w:rsidRPr="5583D54B">
        <w:rPr>
          <w:rFonts w:asciiTheme="majorHAnsi" w:eastAsia="Arial" w:hAnsiTheme="majorHAnsi" w:cstheme="majorBidi"/>
          <w:lang w:eastAsia="en-US"/>
        </w:rPr>
        <w:t xml:space="preserve"> that involve indigenous farmers in Manokwari. Following the event</w:t>
      </w:r>
      <w:r w:rsidR="00020CA9" w:rsidRPr="5583D54B">
        <w:rPr>
          <w:rFonts w:asciiTheme="majorHAnsi" w:eastAsia="Arial" w:hAnsiTheme="majorHAnsi" w:cstheme="majorBidi"/>
          <w:lang w:eastAsia="en-US"/>
        </w:rPr>
        <w:t>s</w:t>
      </w:r>
      <w:r w:rsidRPr="5583D54B">
        <w:rPr>
          <w:rFonts w:asciiTheme="majorHAnsi" w:eastAsia="Arial" w:hAnsiTheme="majorHAnsi" w:cstheme="majorBidi"/>
          <w:lang w:eastAsia="en-US"/>
        </w:rPr>
        <w:t xml:space="preserve">, several participants expressed their interest </w:t>
      </w:r>
      <w:r w:rsidR="00020CA9" w:rsidRPr="5583D54B">
        <w:rPr>
          <w:rFonts w:asciiTheme="majorHAnsi" w:eastAsia="Arial" w:hAnsiTheme="majorHAnsi" w:cstheme="majorBidi"/>
          <w:lang w:eastAsia="en-US"/>
        </w:rPr>
        <w:t>in</w:t>
      </w:r>
      <w:r w:rsidRPr="5583D54B">
        <w:rPr>
          <w:rFonts w:asciiTheme="majorHAnsi" w:eastAsia="Arial" w:hAnsiTheme="majorHAnsi" w:cstheme="majorBidi"/>
          <w:lang w:eastAsia="en-US"/>
        </w:rPr>
        <w:t xml:space="preserve"> </w:t>
      </w:r>
      <w:r w:rsidR="007B4106" w:rsidRPr="5583D54B">
        <w:rPr>
          <w:rFonts w:asciiTheme="majorHAnsi" w:eastAsia="Arial" w:hAnsiTheme="majorHAnsi" w:cstheme="majorBidi"/>
          <w:lang w:eastAsia="en-US"/>
        </w:rPr>
        <w:t>participat</w:t>
      </w:r>
      <w:r w:rsidR="00020CA9" w:rsidRPr="5583D54B">
        <w:rPr>
          <w:rFonts w:asciiTheme="majorHAnsi" w:eastAsia="Arial" w:hAnsiTheme="majorHAnsi" w:cstheme="majorBidi"/>
          <w:lang w:eastAsia="en-US"/>
        </w:rPr>
        <w:t>ing</w:t>
      </w:r>
      <w:r w:rsidRPr="5583D54B">
        <w:rPr>
          <w:rFonts w:asciiTheme="majorHAnsi" w:eastAsia="Arial" w:hAnsiTheme="majorHAnsi" w:cstheme="majorBidi"/>
          <w:lang w:eastAsia="en-US"/>
        </w:rPr>
        <w:t xml:space="preserve"> in or replicat</w:t>
      </w:r>
      <w:r w:rsidR="00020CA9" w:rsidRPr="5583D54B">
        <w:rPr>
          <w:rFonts w:asciiTheme="majorHAnsi" w:eastAsia="Arial" w:hAnsiTheme="majorHAnsi" w:cstheme="majorBidi"/>
          <w:lang w:eastAsia="en-US"/>
        </w:rPr>
        <w:t>ing</w:t>
      </w:r>
      <w:r w:rsidRPr="5583D54B">
        <w:rPr>
          <w:rFonts w:asciiTheme="majorHAnsi" w:eastAsia="Arial" w:hAnsiTheme="majorHAnsi" w:cstheme="majorBidi"/>
          <w:lang w:eastAsia="en-US"/>
        </w:rPr>
        <w:t xml:space="preserve"> the </w:t>
      </w:r>
      <w:r w:rsidR="00C1648F" w:rsidRPr="008C1D83">
        <w:rPr>
          <w:rFonts w:asciiTheme="majorHAnsi" w:eastAsia="Arial" w:hAnsiTheme="majorHAnsi" w:cstheme="majorBidi"/>
          <w:lang w:eastAsia="en-US"/>
        </w:rPr>
        <w:t xml:space="preserve">inclusive </w:t>
      </w:r>
      <w:r w:rsidRPr="008C1D83">
        <w:rPr>
          <w:rFonts w:asciiTheme="majorHAnsi" w:eastAsia="Arial" w:hAnsiTheme="majorHAnsi" w:cstheme="majorBidi"/>
          <w:lang w:eastAsia="en-US"/>
        </w:rPr>
        <w:t>business model</w:t>
      </w:r>
      <w:r w:rsidR="008C1D83" w:rsidRPr="008C1D83">
        <w:rPr>
          <w:rFonts w:asciiTheme="majorHAnsi" w:eastAsia="Arial" w:hAnsiTheme="majorHAnsi" w:cstheme="majorBidi"/>
          <w:lang w:eastAsia="en-US"/>
        </w:rPr>
        <w:t xml:space="preserve">, i.e., </w:t>
      </w:r>
      <w:r w:rsidR="002551AC">
        <w:rPr>
          <w:rFonts w:asciiTheme="majorHAnsi" w:eastAsia="Arial" w:hAnsiTheme="majorHAnsi" w:cstheme="majorBidi"/>
          <w:lang w:eastAsia="en-US"/>
        </w:rPr>
        <w:t xml:space="preserve">the </w:t>
      </w:r>
      <w:r w:rsidR="008C1D83" w:rsidRPr="008C1D83">
        <w:rPr>
          <w:rFonts w:asciiTheme="majorHAnsi" w:eastAsia="Arial" w:hAnsiTheme="majorHAnsi" w:cstheme="majorBidi"/>
          <w:lang w:eastAsia="en-US"/>
        </w:rPr>
        <w:t>inclusion of indigenous people, developing offtaking channels, etc.</w:t>
      </w:r>
      <w:r w:rsidR="00BA246C">
        <w:rPr>
          <w:rFonts w:asciiTheme="majorHAnsi" w:eastAsia="Arial" w:hAnsiTheme="majorHAnsi" w:cstheme="majorBidi"/>
          <w:lang w:eastAsia="en-US"/>
        </w:rPr>
        <w:t>,</w:t>
      </w:r>
      <w:r w:rsidR="008C1D83" w:rsidRPr="008C1D83">
        <w:rPr>
          <w:rFonts w:asciiTheme="majorHAnsi" w:eastAsia="Arial" w:hAnsiTheme="majorHAnsi" w:cstheme="majorBidi"/>
          <w:lang w:eastAsia="en-US"/>
        </w:rPr>
        <w:t xml:space="preserve"> promoted by PRISMA and its partner</w:t>
      </w:r>
      <w:r w:rsidR="00955143">
        <w:rPr>
          <w:rFonts w:asciiTheme="majorHAnsi" w:eastAsia="Arial" w:hAnsiTheme="majorHAnsi" w:cstheme="majorBidi"/>
          <w:lang w:eastAsia="en-US"/>
        </w:rPr>
        <w:t>s</w:t>
      </w:r>
      <w:r w:rsidR="007B4106" w:rsidRPr="008C1D83">
        <w:rPr>
          <w:rFonts w:asciiTheme="majorHAnsi" w:eastAsia="Arial" w:hAnsiTheme="majorHAnsi" w:cstheme="majorBidi"/>
          <w:lang w:eastAsia="en-US"/>
        </w:rPr>
        <w:t>.</w:t>
      </w:r>
    </w:p>
    <w:p w14:paraId="2A2D7F27" w14:textId="39BA7DBE" w:rsidR="00126A7D" w:rsidRPr="00C64064" w:rsidRDefault="00C21416" w:rsidP="00155BD6">
      <w:pPr>
        <w:pStyle w:val="Head2"/>
        <w:rPr>
          <w:rFonts w:cstheme="majorHAnsi"/>
        </w:rPr>
      </w:pPr>
      <w:bookmarkStart w:id="141" w:name="_Toc172823298"/>
      <w:bookmarkStart w:id="142" w:name="_Toc180155182"/>
      <w:r w:rsidRPr="00C64064">
        <w:rPr>
          <w:rFonts w:cstheme="majorHAnsi"/>
        </w:rPr>
        <w:t>Strategic C</w:t>
      </w:r>
      <w:r w:rsidR="00126A7D" w:rsidRPr="00C64064">
        <w:rPr>
          <w:rFonts w:cstheme="majorHAnsi"/>
        </w:rPr>
        <w:t>o</w:t>
      </w:r>
      <w:r w:rsidRPr="00C64064">
        <w:rPr>
          <w:rFonts w:cstheme="majorHAnsi"/>
        </w:rPr>
        <w:t>mmunications</w:t>
      </w:r>
      <w:bookmarkEnd w:id="141"/>
      <w:bookmarkEnd w:id="142"/>
    </w:p>
    <w:p w14:paraId="77909627" w14:textId="77777777" w:rsidR="004B5A82" w:rsidRPr="007F72CE" w:rsidRDefault="004B5A82" w:rsidP="00F63356">
      <w:pPr>
        <w:pStyle w:val="Head3"/>
        <w:rPr>
          <w:lang w:eastAsia="en-US"/>
        </w:rPr>
      </w:pPr>
      <w:bookmarkStart w:id="143" w:name="_Toc173318340"/>
      <w:bookmarkStart w:id="144" w:name="_Toc179192319"/>
      <w:bookmarkStart w:id="145" w:name="_Toc180155183"/>
      <w:r w:rsidRPr="007F72CE">
        <w:rPr>
          <w:lang w:eastAsia="en-US"/>
        </w:rPr>
        <w:t>Project closure communications</w:t>
      </w:r>
      <w:bookmarkEnd w:id="143"/>
      <w:bookmarkEnd w:id="144"/>
      <w:bookmarkEnd w:id="145"/>
      <w:r w:rsidRPr="007F72CE">
        <w:rPr>
          <w:lang w:eastAsia="en-US"/>
        </w:rPr>
        <w:t xml:space="preserve"> </w:t>
      </w:r>
    </w:p>
    <w:p w14:paraId="00DD47EA" w14:textId="3282A9F4" w:rsidR="004B5A82" w:rsidRDefault="00797648" w:rsidP="004B5A82">
      <w:pPr>
        <w:spacing w:line="276" w:lineRule="auto"/>
        <w:rPr>
          <w:rFonts w:asciiTheme="majorHAnsi" w:hAnsiTheme="majorHAnsi" w:cstheme="majorHAnsi"/>
        </w:rPr>
      </w:pPr>
      <w:r>
        <w:rPr>
          <w:rFonts w:asciiTheme="majorHAnsi" w:hAnsiTheme="majorHAnsi" w:cstheme="majorHAnsi"/>
        </w:rPr>
        <w:t>PRISMA's strategic communications have focused on creating a strong program legacy this semester</w:t>
      </w:r>
      <w:r w:rsidR="004B5A82" w:rsidRPr="004B5A82">
        <w:rPr>
          <w:rFonts w:asciiTheme="majorHAnsi" w:hAnsiTheme="majorHAnsi" w:cstheme="majorHAnsi"/>
        </w:rPr>
        <w:t xml:space="preserve">. This legacy is achieved through increased awareness of the program's impact, support for sustainability via market resilience activities, and </w:t>
      </w:r>
      <w:r w:rsidR="00A55602">
        <w:rPr>
          <w:rFonts w:asciiTheme="majorHAnsi" w:hAnsiTheme="majorHAnsi" w:cstheme="majorHAnsi"/>
        </w:rPr>
        <w:t>enhanced</w:t>
      </w:r>
      <w:r w:rsidR="004B5A82" w:rsidRPr="004B5A82">
        <w:rPr>
          <w:rFonts w:asciiTheme="majorHAnsi" w:hAnsiTheme="majorHAnsi" w:cstheme="majorHAnsi"/>
        </w:rPr>
        <w:t xml:space="preserve"> government policy and planning processes. The Petani Maju campaign was developed to address each of these needs. </w:t>
      </w:r>
    </w:p>
    <w:p w14:paraId="7610DB94" w14:textId="4287C9EC" w:rsidR="00205442" w:rsidRPr="004B5A82" w:rsidRDefault="00205442" w:rsidP="004B5A82">
      <w:pPr>
        <w:spacing w:line="276" w:lineRule="auto"/>
        <w:rPr>
          <w:rFonts w:asciiTheme="majorHAnsi" w:hAnsiTheme="majorHAnsi" w:cstheme="majorHAnsi"/>
        </w:rPr>
      </w:pPr>
      <w:r w:rsidRPr="004B5A82">
        <w:rPr>
          <w:rFonts w:asciiTheme="majorHAnsi" w:hAnsiTheme="majorHAnsi" w:cstheme="majorHAnsi"/>
        </w:rPr>
        <w:t>This proved to be an effective strategy. By the midway point</w:t>
      </w:r>
      <w:r w:rsidR="00797648">
        <w:rPr>
          <w:rFonts w:asciiTheme="majorHAnsi" w:hAnsiTheme="majorHAnsi" w:cstheme="majorHAnsi"/>
        </w:rPr>
        <w:t xml:space="preserve"> of the campaign</w:t>
      </w:r>
      <w:r w:rsidRPr="004B5A82">
        <w:rPr>
          <w:rFonts w:asciiTheme="majorHAnsi" w:hAnsiTheme="majorHAnsi" w:cstheme="majorHAnsi"/>
        </w:rPr>
        <w:t xml:space="preserve">, PRISMA </w:t>
      </w:r>
      <w:r>
        <w:rPr>
          <w:rFonts w:asciiTheme="majorHAnsi" w:hAnsiTheme="majorHAnsi" w:cstheme="majorHAnsi"/>
        </w:rPr>
        <w:t>had surpassed its target of reaching 2 million people, reaching 2.68m, receiving over 1</w:t>
      </w:r>
      <w:r w:rsidR="0065718C">
        <w:rPr>
          <w:rFonts w:asciiTheme="majorHAnsi" w:hAnsiTheme="majorHAnsi" w:cstheme="majorHAnsi"/>
        </w:rPr>
        <w:t>29</w:t>
      </w:r>
      <w:r>
        <w:rPr>
          <w:rFonts w:asciiTheme="majorHAnsi" w:hAnsiTheme="majorHAnsi" w:cstheme="majorHAnsi"/>
        </w:rPr>
        <w:t xml:space="preserve"> media mentions, and engaging 2,578 people face to face. </w:t>
      </w:r>
    </w:p>
    <w:p w14:paraId="441C92EE" w14:textId="5C0FD8FF" w:rsidR="004B5A82" w:rsidRPr="00F4546E" w:rsidRDefault="004B5A82" w:rsidP="00F63356">
      <w:pPr>
        <w:pStyle w:val="Head3"/>
        <w:rPr>
          <w:lang w:eastAsia="en-US"/>
        </w:rPr>
      </w:pPr>
      <w:bookmarkStart w:id="146" w:name="_Toc173318341"/>
      <w:bookmarkStart w:id="147" w:name="_Toc179192320"/>
      <w:bookmarkStart w:id="148" w:name="_Toc180155184"/>
      <w:r w:rsidRPr="00F4546E">
        <w:rPr>
          <w:lang w:eastAsia="en-US"/>
        </w:rPr>
        <w:t>Petani Maju / Future Farmer – PRISMA’s final year campaign</w:t>
      </w:r>
      <w:bookmarkEnd w:id="146"/>
      <w:bookmarkEnd w:id="147"/>
      <w:bookmarkEnd w:id="148"/>
      <w:r w:rsidRPr="00F4546E">
        <w:rPr>
          <w:lang w:eastAsia="en-US"/>
        </w:rPr>
        <w:t xml:space="preserve"> </w:t>
      </w:r>
    </w:p>
    <w:p w14:paraId="173D93C6" w14:textId="06A21EDB" w:rsidR="004B5A82" w:rsidRPr="004B5A82" w:rsidRDefault="004B5A82" w:rsidP="004B5A82">
      <w:pPr>
        <w:spacing w:line="276" w:lineRule="auto"/>
        <w:rPr>
          <w:rFonts w:asciiTheme="majorHAnsi" w:hAnsiTheme="majorHAnsi" w:cstheme="majorHAnsi"/>
        </w:rPr>
      </w:pPr>
      <w:r w:rsidRPr="004B5A82">
        <w:rPr>
          <w:rFonts w:asciiTheme="majorHAnsi" w:hAnsiTheme="majorHAnsi" w:cstheme="majorHAnsi"/>
        </w:rPr>
        <w:t xml:space="preserve">The campaign </w:t>
      </w:r>
      <w:r w:rsidR="00A55602">
        <w:rPr>
          <w:rFonts w:asciiTheme="majorHAnsi" w:hAnsiTheme="majorHAnsi" w:cstheme="majorHAnsi"/>
        </w:rPr>
        <w:t xml:space="preserve">was launched </w:t>
      </w:r>
      <w:r w:rsidR="00D57473">
        <w:rPr>
          <w:rFonts w:asciiTheme="majorHAnsi" w:hAnsiTheme="majorHAnsi" w:cstheme="majorHAnsi"/>
        </w:rPr>
        <w:t xml:space="preserve">in March and provided a cohesive brand and message for PRISMA’s surge in activities and events. </w:t>
      </w:r>
      <w:r w:rsidR="00E96D13">
        <w:rPr>
          <w:rFonts w:asciiTheme="majorHAnsi" w:hAnsiTheme="majorHAnsi" w:cstheme="majorHAnsi"/>
        </w:rPr>
        <w:t>The campaign</w:t>
      </w:r>
      <w:r w:rsidR="00D57473">
        <w:rPr>
          <w:rFonts w:asciiTheme="majorHAnsi" w:hAnsiTheme="majorHAnsi" w:cstheme="majorHAnsi"/>
        </w:rPr>
        <w:t xml:space="preserve"> </w:t>
      </w:r>
      <w:r w:rsidRPr="004B5A82">
        <w:rPr>
          <w:rFonts w:asciiTheme="majorHAnsi" w:hAnsiTheme="majorHAnsi" w:cstheme="majorHAnsi"/>
        </w:rPr>
        <w:t xml:space="preserve">leveraged PRISMA’s business and government networks across 6 provinces and 12 agricultural commodities to expand the reach of PRISMA communications. In the first semester, over 27 events were branded as "Petani Maju." </w:t>
      </w:r>
      <w:r w:rsidR="00205442">
        <w:rPr>
          <w:rFonts w:asciiTheme="majorHAnsi" w:hAnsiTheme="majorHAnsi" w:cstheme="majorHAnsi"/>
        </w:rPr>
        <w:t>The events aimed</w:t>
      </w:r>
      <w:r w:rsidR="00E96D13">
        <w:rPr>
          <w:rFonts w:asciiTheme="majorHAnsi" w:hAnsiTheme="majorHAnsi" w:cstheme="majorHAnsi"/>
        </w:rPr>
        <w:t xml:space="preserve"> to influence</w:t>
      </w:r>
      <w:r w:rsidRPr="004B5A82">
        <w:rPr>
          <w:rFonts w:asciiTheme="majorHAnsi" w:hAnsiTheme="majorHAnsi" w:cstheme="majorHAnsi"/>
        </w:rPr>
        <w:t xml:space="preserve"> market actors by disseminating knowledge, best practices, and field evidence. </w:t>
      </w:r>
      <w:r w:rsidR="00F5723D">
        <w:rPr>
          <w:rFonts w:asciiTheme="majorHAnsi" w:hAnsiTheme="majorHAnsi" w:cstheme="majorHAnsi"/>
        </w:rPr>
        <w:t>Media and social media supported the events</w:t>
      </w:r>
      <w:r w:rsidRPr="004B5A82">
        <w:rPr>
          <w:rFonts w:asciiTheme="majorHAnsi" w:hAnsiTheme="majorHAnsi" w:cstheme="majorHAnsi"/>
        </w:rPr>
        <w:t xml:space="preserve">, and the face-to-face engagement helped to build existing relationships between partners and forge new relationships for stronger market resilience and policy aims. </w:t>
      </w:r>
    </w:p>
    <w:p w14:paraId="27771E90" w14:textId="545E294D" w:rsidR="004B5A82" w:rsidRPr="004B5A82" w:rsidRDefault="004B5A82" w:rsidP="004B5A82">
      <w:pPr>
        <w:spacing w:line="276" w:lineRule="auto"/>
        <w:rPr>
          <w:rFonts w:asciiTheme="majorHAnsi" w:hAnsiTheme="majorHAnsi" w:cstheme="majorHAnsi"/>
        </w:rPr>
      </w:pPr>
      <w:r w:rsidRPr="004B5A82">
        <w:rPr>
          <w:rFonts w:asciiTheme="majorHAnsi" w:hAnsiTheme="majorHAnsi" w:cstheme="majorHAnsi"/>
        </w:rPr>
        <w:t xml:space="preserve">In addition to sector-specific market resilience events, </w:t>
      </w:r>
      <w:r w:rsidR="00111324">
        <w:rPr>
          <w:rFonts w:asciiTheme="majorHAnsi" w:hAnsiTheme="majorHAnsi" w:cstheme="majorHAnsi"/>
        </w:rPr>
        <w:t xml:space="preserve">PRISMA </w:t>
      </w:r>
      <w:r w:rsidRPr="004B5A82">
        <w:rPr>
          <w:rFonts w:asciiTheme="majorHAnsi" w:hAnsiTheme="majorHAnsi" w:cstheme="majorHAnsi"/>
        </w:rPr>
        <w:t xml:space="preserve">experts </w:t>
      </w:r>
      <w:r w:rsidR="00361EA0">
        <w:rPr>
          <w:rFonts w:asciiTheme="majorHAnsi" w:hAnsiTheme="majorHAnsi" w:cstheme="majorHAnsi"/>
        </w:rPr>
        <w:t xml:space="preserve">and partners </w:t>
      </w:r>
      <w:r w:rsidRPr="004B5A82">
        <w:rPr>
          <w:rFonts w:asciiTheme="majorHAnsi" w:hAnsiTheme="majorHAnsi" w:cstheme="majorHAnsi"/>
        </w:rPr>
        <w:t xml:space="preserve">in climate and GEDSI (Gender </w:t>
      </w:r>
      <w:r w:rsidR="00361EA0">
        <w:rPr>
          <w:rFonts w:asciiTheme="majorHAnsi" w:hAnsiTheme="majorHAnsi" w:cstheme="majorHAnsi"/>
        </w:rPr>
        <w:t>e</w:t>
      </w:r>
      <w:r w:rsidRPr="004B5A82">
        <w:rPr>
          <w:rFonts w:asciiTheme="majorHAnsi" w:hAnsiTheme="majorHAnsi" w:cstheme="majorHAnsi"/>
        </w:rPr>
        <w:t xml:space="preserve">quality, </w:t>
      </w:r>
      <w:r w:rsidR="00361EA0">
        <w:rPr>
          <w:rFonts w:asciiTheme="majorHAnsi" w:hAnsiTheme="majorHAnsi" w:cstheme="majorHAnsi"/>
        </w:rPr>
        <w:t>d</w:t>
      </w:r>
      <w:r w:rsidRPr="004B5A82">
        <w:rPr>
          <w:rFonts w:asciiTheme="majorHAnsi" w:hAnsiTheme="majorHAnsi" w:cstheme="majorHAnsi"/>
        </w:rPr>
        <w:t>isability</w:t>
      </w:r>
      <w:r w:rsidR="00361EA0">
        <w:rPr>
          <w:rFonts w:asciiTheme="majorHAnsi" w:hAnsiTheme="majorHAnsi" w:cstheme="majorHAnsi"/>
        </w:rPr>
        <w:t xml:space="preserve"> and</w:t>
      </w:r>
      <w:r w:rsidRPr="004B5A82">
        <w:rPr>
          <w:rFonts w:asciiTheme="majorHAnsi" w:hAnsiTheme="majorHAnsi" w:cstheme="majorHAnsi"/>
        </w:rPr>
        <w:t xml:space="preserve"> </w:t>
      </w:r>
      <w:r w:rsidR="00361EA0">
        <w:rPr>
          <w:rFonts w:asciiTheme="majorHAnsi" w:hAnsiTheme="majorHAnsi" w:cstheme="majorHAnsi"/>
        </w:rPr>
        <w:t>s</w:t>
      </w:r>
      <w:r w:rsidRPr="004B5A82">
        <w:rPr>
          <w:rFonts w:asciiTheme="majorHAnsi" w:hAnsiTheme="majorHAnsi" w:cstheme="majorHAnsi"/>
        </w:rPr>
        <w:t xml:space="preserve">ocial </w:t>
      </w:r>
      <w:r w:rsidR="00361EA0">
        <w:rPr>
          <w:rFonts w:asciiTheme="majorHAnsi" w:hAnsiTheme="majorHAnsi" w:cstheme="majorHAnsi"/>
        </w:rPr>
        <w:t>i</w:t>
      </w:r>
      <w:r w:rsidRPr="004B5A82">
        <w:rPr>
          <w:rFonts w:asciiTheme="majorHAnsi" w:hAnsiTheme="majorHAnsi" w:cstheme="majorHAnsi"/>
        </w:rPr>
        <w:t>nclusion) shared their insights at national-level events.</w:t>
      </w:r>
    </w:p>
    <w:p w14:paraId="1FDC532E" w14:textId="616F6294" w:rsidR="004B5A82" w:rsidRPr="004B5A82" w:rsidRDefault="004B5A82" w:rsidP="004B5A82">
      <w:pPr>
        <w:spacing w:line="276" w:lineRule="auto"/>
        <w:rPr>
          <w:rFonts w:asciiTheme="majorHAnsi" w:hAnsiTheme="majorHAnsi" w:cstheme="majorHAnsi"/>
        </w:rPr>
      </w:pPr>
      <w:r w:rsidRPr="004B5A82">
        <w:rPr>
          <w:rFonts w:asciiTheme="majorHAnsi" w:hAnsiTheme="majorHAnsi" w:cstheme="majorHAnsi"/>
        </w:rPr>
        <w:lastRenderedPageBreak/>
        <w:t>A key lesson from the campaign was the importance of decentrali</w:t>
      </w:r>
      <w:r w:rsidR="00361EA0">
        <w:rPr>
          <w:rFonts w:asciiTheme="majorHAnsi" w:hAnsiTheme="majorHAnsi" w:cstheme="majorHAnsi"/>
        </w:rPr>
        <w:t>s</w:t>
      </w:r>
      <w:r w:rsidRPr="004B5A82">
        <w:rPr>
          <w:rFonts w:asciiTheme="majorHAnsi" w:hAnsiTheme="majorHAnsi" w:cstheme="majorHAnsi"/>
        </w:rPr>
        <w:t>ing PRISMA’s communications to enable sector teams to capitalise on opportunities for greater visibility. Templates were created for press releases, social media posts, market briefs, and policy briefs. Market briefs provided a concise template for summarizing</w:t>
      </w:r>
      <w:r w:rsidR="00690E61">
        <w:rPr>
          <w:rFonts w:asciiTheme="majorHAnsi" w:hAnsiTheme="majorHAnsi" w:cstheme="majorHAnsi"/>
        </w:rPr>
        <w:t>.</w:t>
      </w:r>
    </w:p>
    <w:p w14:paraId="6EBC2BAA" w14:textId="41B5B8C4" w:rsidR="00F4546E" w:rsidRPr="00F4546E" w:rsidRDefault="00F4546E" w:rsidP="00F63356">
      <w:pPr>
        <w:pStyle w:val="Head3"/>
        <w:rPr>
          <w:lang w:eastAsia="en-US"/>
        </w:rPr>
      </w:pPr>
      <w:bookmarkStart w:id="149" w:name="_Toc173318342"/>
      <w:bookmarkStart w:id="150" w:name="_Toc179192321"/>
      <w:bookmarkStart w:id="151" w:name="_Toc180155185"/>
      <w:r w:rsidRPr="00F4546E">
        <w:rPr>
          <w:lang w:eastAsia="en-US"/>
        </w:rPr>
        <w:t>What success looks like</w:t>
      </w:r>
      <w:bookmarkEnd w:id="149"/>
      <w:bookmarkEnd w:id="150"/>
      <w:bookmarkEnd w:id="151"/>
    </w:p>
    <w:p w14:paraId="43E40973" w14:textId="462836B6" w:rsidR="00F4546E" w:rsidRPr="00C64064" w:rsidRDefault="00F4546E" w:rsidP="00F4546E">
      <w:pPr>
        <w:spacing w:line="276" w:lineRule="auto"/>
        <w:rPr>
          <w:rFonts w:asciiTheme="majorHAnsi" w:hAnsiTheme="majorHAnsi" w:cstheme="majorHAnsi"/>
          <w:color w:val="FF0000"/>
        </w:rPr>
      </w:pPr>
      <w:r>
        <w:rPr>
          <w:rFonts w:asciiTheme="majorHAnsi" w:hAnsiTheme="majorHAnsi" w:cstheme="majorHAnsi"/>
        </w:rPr>
        <w:t xml:space="preserve">In addition to the metrics on digital reach, event attendees and media mentions (shared in the Executive Summary), PRISMA gathered qualitative data to gauge the level of influence of PRISMA’s events and activities. Quotes from event participants can be found throughout this report, providing an insight into the relevance of the information shared to market actors.  </w:t>
      </w:r>
    </w:p>
    <w:p w14:paraId="1E4B61D0" w14:textId="77777777" w:rsidR="00F4546E" w:rsidRDefault="00F4546E" w:rsidP="00F4546E">
      <w:pPr>
        <w:spacing w:after="0" w:line="300" w:lineRule="auto"/>
        <w:jc w:val="both"/>
        <w:rPr>
          <w:rFonts w:asciiTheme="majorHAnsi" w:hAnsiTheme="majorHAnsi" w:cstheme="majorHAnsi"/>
          <w:color w:val="FF0000"/>
        </w:rPr>
      </w:pPr>
    </w:p>
    <w:p w14:paraId="4CF424A8" w14:textId="4878EB89" w:rsidR="00F4546E" w:rsidRDefault="00F4546E" w:rsidP="00F4546E">
      <w:pPr>
        <w:spacing w:after="0" w:line="300" w:lineRule="auto"/>
        <w:jc w:val="both"/>
        <w:rPr>
          <w:rFonts w:asciiTheme="majorHAnsi" w:hAnsiTheme="majorHAnsi" w:cstheme="majorHAnsi"/>
          <w:color w:val="FF0000"/>
        </w:rPr>
      </w:pPr>
      <w:r>
        <w:rPr>
          <w:rFonts w:asciiTheme="majorHAnsi" w:hAnsiTheme="majorHAnsi" w:cstheme="majorHAnsi"/>
          <w:noProof/>
          <w:color w:val="FF0000"/>
        </w:rPr>
        <w:drawing>
          <wp:inline distT="0" distB="0" distL="0" distR="0" wp14:anchorId="1B67F84D" wp14:editId="4B3FC9BB">
            <wp:extent cx="5953760" cy="3349625"/>
            <wp:effectExtent l="0" t="0" r="8890" b="3175"/>
            <wp:docPr id="1226346337" name="Picture 24" descr="A photo of PRISMA’s crop protection event on customer education and women sales agents excellence in Jakar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346337" name="Picture 24" descr="A photo of PRISMA’s crop protection event on customer education and women sales agents excellence in Jakarta. "/>
                    <pic:cNvPicPr/>
                  </pic:nvPicPr>
                  <pic:blipFill>
                    <a:blip r:embed="rId143"/>
                    <a:stretch>
                      <a:fillRect/>
                    </a:stretch>
                  </pic:blipFill>
                  <pic:spPr>
                    <a:xfrm>
                      <a:off x="0" y="0"/>
                      <a:ext cx="5953760" cy="3349625"/>
                    </a:xfrm>
                    <a:prstGeom prst="rect">
                      <a:avLst/>
                    </a:prstGeom>
                  </pic:spPr>
                </pic:pic>
              </a:graphicData>
            </a:graphic>
          </wp:inline>
        </w:drawing>
      </w:r>
    </w:p>
    <w:p w14:paraId="4D2F0E6F" w14:textId="77777777" w:rsidR="00F4546E" w:rsidRDefault="00F4546E" w:rsidP="00F4546E">
      <w:pPr>
        <w:spacing w:after="0" w:line="300" w:lineRule="auto"/>
        <w:jc w:val="both"/>
        <w:rPr>
          <w:color w:val="02616F" w:themeColor="accent1" w:themeShade="80"/>
        </w:rPr>
      </w:pPr>
    </w:p>
    <w:p w14:paraId="21498427" w14:textId="59148912" w:rsidR="00F4546E" w:rsidRPr="00F4546E" w:rsidRDefault="00F4546E" w:rsidP="00F4546E">
      <w:pPr>
        <w:spacing w:after="0" w:line="300" w:lineRule="auto"/>
        <w:jc w:val="both"/>
        <w:rPr>
          <w:rFonts w:asciiTheme="majorHAnsi" w:hAnsiTheme="majorHAnsi" w:cstheme="majorHAnsi"/>
          <w:i/>
          <w:iCs/>
        </w:rPr>
      </w:pPr>
      <w:r w:rsidRPr="00F4546E">
        <w:rPr>
          <w:rFonts w:asciiTheme="majorHAnsi" w:hAnsiTheme="majorHAnsi" w:cstheme="majorHAnsi"/>
          <w:i/>
          <w:iCs/>
        </w:rPr>
        <w:t>“I think this event is excellent because it shows that women have a big opportunity in the agricultural industry. As a lecturer, I can tell my female students not to be pessimistic because agribusiness has initiated to provide designated space for women’s participation in the agricultural industry.”</w:t>
      </w:r>
      <w:r w:rsidR="002751C6" w:rsidRPr="002751C6">
        <w:rPr>
          <w:b/>
          <w:bCs/>
        </w:rPr>
        <w:t xml:space="preserve"> </w:t>
      </w:r>
      <w:r w:rsidR="002751C6" w:rsidRPr="000E2FA7">
        <w:rPr>
          <w:b/>
          <w:bCs/>
        </w:rPr>
        <w:t xml:space="preserve">Puji Lestari – Lecturer from </w:t>
      </w:r>
      <w:r w:rsidR="00891A91">
        <w:rPr>
          <w:b/>
          <w:bCs/>
        </w:rPr>
        <w:t xml:space="preserve">the </w:t>
      </w:r>
      <w:r w:rsidR="002751C6" w:rsidRPr="000E2FA7">
        <w:rPr>
          <w:b/>
          <w:bCs/>
        </w:rPr>
        <w:t>Faculty of Agriculture, Universitas Lampung</w:t>
      </w:r>
      <w:r w:rsidR="0047727C">
        <w:rPr>
          <w:b/>
          <w:bCs/>
        </w:rPr>
        <w:t xml:space="preserve"> at PRISMA’s crop protection event on customer education and women</w:t>
      </w:r>
      <w:r w:rsidR="00891A91">
        <w:rPr>
          <w:b/>
          <w:bCs/>
        </w:rPr>
        <w:t xml:space="preserve"> sales agents excellence in Jakarta. </w:t>
      </w:r>
    </w:p>
    <w:p w14:paraId="1C5F9F1E" w14:textId="77777777" w:rsidR="00F4546E" w:rsidRPr="00C64064" w:rsidRDefault="00F4546E" w:rsidP="00F4546E">
      <w:pPr>
        <w:rPr>
          <w:rFonts w:asciiTheme="majorHAnsi" w:hAnsiTheme="majorHAnsi" w:cstheme="majorHAnsi"/>
          <w:color w:val="FF0000"/>
        </w:rPr>
      </w:pPr>
    </w:p>
    <w:p w14:paraId="1C7E45BA" w14:textId="77777777" w:rsidR="004B5A82" w:rsidRPr="00F4546E" w:rsidRDefault="004B5A82" w:rsidP="00690E61">
      <w:pPr>
        <w:pStyle w:val="Head3"/>
        <w:rPr>
          <w:lang w:eastAsia="en-US"/>
        </w:rPr>
      </w:pPr>
      <w:bookmarkStart w:id="152" w:name="_Toc173318343"/>
      <w:bookmarkStart w:id="153" w:name="_Toc179192322"/>
      <w:bookmarkStart w:id="154" w:name="_Toc180155186"/>
      <w:r w:rsidRPr="00F4546E">
        <w:rPr>
          <w:lang w:eastAsia="en-US"/>
        </w:rPr>
        <w:t>End-of-program package</w:t>
      </w:r>
      <w:bookmarkEnd w:id="152"/>
      <w:bookmarkEnd w:id="153"/>
      <w:bookmarkEnd w:id="154"/>
      <w:r w:rsidRPr="00F4546E">
        <w:rPr>
          <w:lang w:eastAsia="en-US"/>
        </w:rPr>
        <w:t xml:space="preserve"> </w:t>
      </w:r>
    </w:p>
    <w:p w14:paraId="03A24F94" w14:textId="0E101B46" w:rsidR="002917CA" w:rsidRDefault="002917CA" w:rsidP="004B5A82">
      <w:pPr>
        <w:spacing w:line="276" w:lineRule="auto"/>
        <w:rPr>
          <w:rFonts w:asciiTheme="majorHAnsi" w:hAnsiTheme="majorHAnsi" w:cstheme="majorHAnsi"/>
        </w:rPr>
      </w:pPr>
      <w:r>
        <w:rPr>
          <w:rFonts w:asciiTheme="majorHAnsi" w:hAnsiTheme="majorHAnsi" w:cstheme="majorHAnsi"/>
        </w:rPr>
        <w:t>PRISMA will create a comprehensive "end-of-program" package containing its</w:t>
      </w:r>
      <w:r w:rsidR="00361EA0">
        <w:rPr>
          <w:rFonts w:asciiTheme="majorHAnsi" w:hAnsiTheme="majorHAnsi" w:cstheme="majorHAnsi"/>
        </w:rPr>
        <w:t xml:space="preserve"> key communication products </w:t>
      </w:r>
      <w:r>
        <w:rPr>
          <w:rFonts w:asciiTheme="majorHAnsi" w:hAnsiTheme="majorHAnsi" w:cstheme="majorHAnsi"/>
        </w:rPr>
        <w:t>to support its</w:t>
      </w:r>
      <w:r w:rsidR="004B5A82" w:rsidRPr="004B5A82">
        <w:rPr>
          <w:rFonts w:asciiTheme="majorHAnsi" w:hAnsiTheme="majorHAnsi" w:cstheme="majorHAnsi"/>
        </w:rPr>
        <w:t xml:space="preserve"> program legacy</w:t>
      </w:r>
      <w:r>
        <w:rPr>
          <w:rFonts w:asciiTheme="majorHAnsi" w:hAnsiTheme="majorHAnsi" w:cstheme="majorHAnsi"/>
        </w:rPr>
        <w:t xml:space="preserve">. This package </w:t>
      </w:r>
      <w:r w:rsidR="004B5A82" w:rsidRPr="004B5A82">
        <w:rPr>
          <w:rFonts w:asciiTheme="majorHAnsi" w:hAnsiTheme="majorHAnsi" w:cstheme="majorHAnsi"/>
        </w:rPr>
        <w:t xml:space="preserve">will be </w:t>
      </w:r>
      <w:r>
        <w:rPr>
          <w:rFonts w:asciiTheme="majorHAnsi" w:hAnsiTheme="majorHAnsi" w:cstheme="majorHAnsi"/>
        </w:rPr>
        <w:t xml:space="preserve">shared at the </w:t>
      </w:r>
      <w:r w:rsidR="004B5A82" w:rsidRPr="004B5A82">
        <w:rPr>
          <w:rFonts w:asciiTheme="majorHAnsi" w:hAnsiTheme="majorHAnsi" w:cstheme="majorHAnsi"/>
        </w:rPr>
        <w:t xml:space="preserve">closing event in September and </w:t>
      </w:r>
      <w:r>
        <w:rPr>
          <w:rFonts w:asciiTheme="majorHAnsi" w:hAnsiTheme="majorHAnsi" w:cstheme="majorHAnsi"/>
        </w:rPr>
        <w:t xml:space="preserve">made available </w:t>
      </w:r>
      <w:r w:rsidR="004B5A82" w:rsidRPr="004B5A82">
        <w:rPr>
          <w:rFonts w:asciiTheme="majorHAnsi" w:hAnsiTheme="majorHAnsi" w:cstheme="majorHAnsi"/>
        </w:rPr>
        <w:t xml:space="preserve">on the PRISMA website. </w:t>
      </w:r>
      <w:r>
        <w:rPr>
          <w:rFonts w:asciiTheme="majorHAnsi" w:hAnsiTheme="majorHAnsi" w:cstheme="majorHAnsi"/>
        </w:rPr>
        <w:t>Nearly</w:t>
      </w:r>
      <w:r w:rsidR="004B5A82" w:rsidRPr="004B5A82">
        <w:rPr>
          <w:rFonts w:asciiTheme="majorHAnsi" w:hAnsiTheme="majorHAnsi" w:cstheme="majorHAnsi"/>
        </w:rPr>
        <w:t xml:space="preserve"> three-quarters of the communication products have been completed</w:t>
      </w:r>
      <w:r>
        <w:rPr>
          <w:rFonts w:asciiTheme="majorHAnsi" w:hAnsiTheme="majorHAnsi" w:cstheme="majorHAnsi"/>
        </w:rPr>
        <w:t xml:space="preserve"> this semester. The package will include market briefs, GEDSI toolkits and studies, the business Q&amp;A series, climate-smart agriculture </w:t>
      </w:r>
      <w:r>
        <w:rPr>
          <w:rFonts w:asciiTheme="majorHAnsi" w:hAnsiTheme="majorHAnsi" w:cstheme="majorHAnsi"/>
        </w:rPr>
        <w:lastRenderedPageBreak/>
        <w:t>case studies, the already published learning series, Indonesia Market Watch series, and legacy impact briefs derived from the program's completion report.</w:t>
      </w:r>
    </w:p>
    <w:p w14:paraId="3345C3D1" w14:textId="784B810A" w:rsidR="004B5A82" w:rsidRPr="00F763F7" w:rsidRDefault="00F763F7" w:rsidP="004B5A82">
      <w:pPr>
        <w:spacing w:line="276" w:lineRule="auto"/>
        <w:rPr>
          <w:rFonts w:asciiTheme="majorHAnsi" w:hAnsiTheme="majorHAnsi" w:cstheme="majorHAnsi"/>
          <w:i/>
        </w:rPr>
      </w:pPr>
      <w:r w:rsidRPr="00F763F7">
        <w:rPr>
          <w:rFonts w:asciiTheme="majorHAnsi" w:hAnsiTheme="majorHAnsi" w:cstheme="majorHAnsi"/>
          <w:i/>
          <w:iCs/>
        </w:rPr>
        <w:t>Market briefs</w:t>
      </w:r>
      <w:r w:rsidR="008461DD" w:rsidRPr="00F763F7">
        <w:rPr>
          <w:rFonts w:asciiTheme="majorHAnsi" w:hAnsiTheme="majorHAnsi" w:cstheme="majorHAnsi"/>
          <w:i/>
          <w:iCs/>
        </w:rPr>
        <w:t xml:space="preserve"> </w:t>
      </w:r>
    </w:p>
    <w:p w14:paraId="054EC869" w14:textId="5FBDD3DB" w:rsidR="006D44CA" w:rsidRDefault="006D44CA" w:rsidP="004B5A82">
      <w:pPr>
        <w:spacing w:line="276" w:lineRule="auto"/>
        <w:rPr>
          <w:rFonts w:asciiTheme="majorHAnsi" w:hAnsiTheme="majorHAnsi" w:cstheme="majorHAnsi"/>
        </w:rPr>
      </w:pPr>
      <w:r>
        <w:t xml:space="preserve">This semester, PRISMA produced 8 market briefs from 6 sectors. The briefs were distributed at events and </w:t>
      </w:r>
      <w:r w:rsidR="001E6A2E">
        <w:t xml:space="preserve">sent directly to </w:t>
      </w:r>
      <w:r>
        <w:t>partners, academia, and relevant market actors. The briefs provided clear recommendations to businesses, drawing on PRISMA’s experiences. For example, one of the briefs focused on soil treatment and organic fertilizer, which was shared at PRISMA’s market resilience event. This event, titled "Education-Based Marketing to Support Sustainable Farming Practices in the Fertilizer Market," was held in Surabaya on July 23, 2024. The brief described effective marketing strategies for promoting organic fertilizer for business growth and sustainable agriculture. It addressed issues such as the national supply and demand gap of 53%, lack of company investment in developing the organic fertilizer business, and lack of farmer awareness about the use of organic fertilizer and balanced fertilization. The event participants responded positively to the shared market brief and the event, contributing to the strategizing of the marketing approach for organic fertilizer. PRISMA plans to continue developing and sharing market briefs into the second semester, with 12 events planned for disseminating the briefs and influencing market actors.</w:t>
      </w:r>
    </w:p>
    <w:p w14:paraId="39539678" w14:textId="7718D1A7" w:rsidR="00205442" w:rsidRPr="00F4546E" w:rsidRDefault="00205442" w:rsidP="00690E61">
      <w:pPr>
        <w:pStyle w:val="Head3"/>
        <w:rPr>
          <w:lang w:eastAsia="en-US"/>
        </w:rPr>
      </w:pPr>
      <w:bookmarkStart w:id="155" w:name="_Toc173318344"/>
      <w:bookmarkStart w:id="156" w:name="_Toc179192323"/>
      <w:bookmarkStart w:id="157" w:name="_Toc180155187"/>
      <w:r w:rsidRPr="00F4546E">
        <w:rPr>
          <w:lang w:eastAsia="en-US"/>
        </w:rPr>
        <w:t xml:space="preserve">Monitoring for </w:t>
      </w:r>
      <w:r w:rsidR="00797648" w:rsidRPr="00F4546E">
        <w:rPr>
          <w:lang w:eastAsia="en-US"/>
        </w:rPr>
        <w:t>insights</w:t>
      </w:r>
      <w:bookmarkEnd w:id="155"/>
      <w:bookmarkEnd w:id="156"/>
      <w:bookmarkEnd w:id="157"/>
    </w:p>
    <w:p w14:paraId="01A3510E" w14:textId="71803EB8" w:rsidR="00441A59" w:rsidRDefault="004B5A82" w:rsidP="5583D54B">
      <w:pPr>
        <w:spacing w:line="276" w:lineRule="auto"/>
        <w:rPr>
          <w:rFonts w:asciiTheme="majorHAnsi" w:hAnsiTheme="majorHAnsi" w:cstheme="majorBidi"/>
        </w:rPr>
      </w:pPr>
      <w:r w:rsidRPr="5583D54B">
        <w:rPr>
          <w:rFonts w:asciiTheme="majorHAnsi" w:hAnsiTheme="majorHAnsi" w:cstheme="majorBidi"/>
        </w:rPr>
        <w:t>PRISMA monitored its website traffic to determine which products attracted the most attention from visitors. The top three most visited pages were the Petani Maju campaign launch, the Climate Smart Agriculture Case Study on AgCoTech, and the news story on the disability inclusion national workshop. Each page held the reader's attention for</w:t>
      </w:r>
      <w:r w:rsidR="00361EA0" w:rsidRPr="5583D54B">
        <w:rPr>
          <w:rFonts w:asciiTheme="majorHAnsi" w:hAnsiTheme="majorHAnsi" w:cstheme="majorBidi"/>
        </w:rPr>
        <w:t xml:space="preserve"> between </w:t>
      </w:r>
      <w:r w:rsidRPr="5583D54B">
        <w:rPr>
          <w:rFonts w:asciiTheme="majorHAnsi" w:hAnsiTheme="majorHAnsi" w:cstheme="majorBidi"/>
        </w:rPr>
        <w:t>one</w:t>
      </w:r>
      <w:r w:rsidR="00361EA0" w:rsidRPr="5583D54B">
        <w:rPr>
          <w:rFonts w:asciiTheme="majorHAnsi" w:hAnsiTheme="majorHAnsi" w:cstheme="majorBidi"/>
        </w:rPr>
        <w:t xml:space="preserve"> </w:t>
      </w:r>
      <w:r w:rsidR="00797648" w:rsidRPr="5583D54B">
        <w:rPr>
          <w:rFonts w:asciiTheme="majorHAnsi" w:hAnsiTheme="majorHAnsi" w:cstheme="majorBidi"/>
        </w:rPr>
        <w:t>and</w:t>
      </w:r>
      <w:r w:rsidR="00361EA0" w:rsidRPr="5583D54B">
        <w:rPr>
          <w:rFonts w:asciiTheme="majorHAnsi" w:hAnsiTheme="majorHAnsi" w:cstheme="majorBidi"/>
        </w:rPr>
        <w:t xml:space="preserve"> two</w:t>
      </w:r>
      <w:r w:rsidRPr="5583D54B">
        <w:rPr>
          <w:rFonts w:asciiTheme="majorHAnsi" w:hAnsiTheme="majorHAnsi" w:cstheme="majorBidi"/>
        </w:rPr>
        <w:t xml:space="preserve"> minute</w:t>
      </w:r>
      <w:r w:rsidR="00361EA0" w:rsidRPr="5583D54B">
        <w:rPr>
          <w:rFonts w:asciiTheme="majorHAnsi" w:hAnsiTheme="majorHAnsi" w:cstheme="majorBidi"/>
        </w:rPr>
        <w:t>s</w:t>
      </w:r>
      <w:r w:rsidRPr="5583D54B">
        <w:rPr>
          <w:rFonts w:asciiTheme="majorHAnsi" w:hAnsiTheme="majorHAnsi" w:cstheme="majorBidi"/>
        </w:rPr>
        <w:t xml:space="preserve">. </w:t>
      </w:r>
      <w:r w:rsidR="001329E0" w:rsidRPr="5583D54B">
        <w:rPr>
          <w:rFonts w:asciiTheme="majorHAnsi" w:hAnsiTheme="majorHAnsi" w:cstheme="majorBidi"/>
        </w:rPr>
        <w:t xml:space="preserve">Suggesting </w:t>
      </w:r>
      <w:r w:rsidR="00227E50" w:rsidRPr="5583D54B">
        <w:rPr>
          <w:rFonts w:asciiTheme="majorHAnsi" w:hAnsiTheme="majorHAnsi" w:cstheme="majorBidi"/>
        </w:rPr>
        <w:t xml:space="preserve">the topics that are most interesting to PRISMA readers. </w:t>
      </w:r>
    </w:p>
    <w:p w14:paraId="244F9D37" w14:textId="5A26F98B" w:rsidR="005B3AF2" w:rsidRDefault="005B3AF2" w:rsidP="5583D54B">
      <w:pPr>
        <w:rPr>
          <w:rFonts w:asciiTheme="majorHAnsi" w:hAnsiTheme="majorHAnsi" w:cstheme="majorBidi"/>
          <w:color w:val="FF0000"/>
        </w:rPr>
      </w:pPr>
      <w:r w:rsidRPr="5583D54B">
        <w:rPr>
          <w:rFonts w:asciiTheme="majorHAnsi" w:hAnsiTheme="majorHAnsi" w:cstheme="majorBidi"/>
          <w:color w:val="FF0000"/>
        </w:rPr>
        <w:br w:type="page"/>
      </w:r>
    </w:p>
    <w:p w14:paraId="22561712" w14:textId="26B07218" w:rsidR="00357474" w:rsidRPr="00A52CB1" w:rsidRDefault="00357474" w:rsidP="00357474">
      <w:pPr>
        <w:pStyle w:val="Head1"/>
        <w:numPr>
          <w:ilvl w:val="0"/>
          <w:numId w:val="0"/>
        </w:numPr>
        <w:pBdr>
          <w:bottom w:val="none" w:sz="0" w:space="0" w:color="auto"/>
        </w:pBdr>
        <w:ind w:left="142"/>
        <w:rPr>
          <w:b/>
          <w:color w:val="3BB54A"/>
          <w:sz w:val="72"/>
          <w:szCs w:val="40"/>
        </w:rPr>
      </w:pPr>
      <w:bookmarkStart w:id="158" w:name="_Toc173318345"/>
      <w:bookmarkStart w:id="159" w:name="_Toc179192324"/>
      <w:bookmarkStart w:id="160" w:name="_Toc180155188"/>
      <w:r w:rsidRPr="00A52CB1">
        <w:rPr>
          <w:noProof/>
          <w:color w:val="3BB54A"/>
          <w:sz w:val="72"/>
          <w:szCs w:val="40"/>
        </w:rPr>
        <w:lastRenderedPageBreak/>
        <w:drawing>
          <wp:anchor distT="0" distB="0" distL="114300" distR="114300" simplePos="0" relativeHeight="251658307" behindDoc="0" locked="0" layoutInCell="1" allowOverlap="1" wp14:anchorId="5BBFE137" wp14:editId="692AF016">
            <wp:simplePos x="0" y="0"/>
            <wp:positionH relativeFrom="page">
              <wp:posOffset>-19050</wp:posOffset>
            </wp:positionH>
            <wp:positionV relativeFrom="paragraph">
              <wp:posOffset>5702300</wp:posOffset>
            </wp:positionV>
            <wp:extent cx="7560944" cy="4253031"/>
            <wp:effectExtent l="0" t="0" r="2540" b="0"/>
            <wp:wrapNone/>
            <wp:docPr id="688318834"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318834" name="Picture 58">
                      <a:extLst>
                        <a:ext uri="{C183D7F6-B498-43B3-948B-1728B52AA6E4}">
                          <adec:decorative xmlns:adec="http://schemas.microsoft.com/office/drawing/2017/decorative" val="1"/>
                        </a:ext>
                      </a:extLst>
                    </pic:cNvPr>
                    <pic:cNvPicPr>
                      <a:picLocks noChangeAspect="1" noChangeArrowheads="1"/>
                    </pic:cNvPicPr>
                  </pic:nvPicPr>
                  <pic:blipFill>
                    <a:blip r:embed="rId95"/>
                    <a:stretch>
                      <a:fillRect/>
                    </a:stretch>
                  </pic:blipFill>
                  <pic:spPr bwMode="auto">
                    <a:xfrm>
                      <a:off x="0" y="0"/>
                      <a:ext cx="7560944" cy="4253031"/>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58"/>
      <w:bookmarkEnd w:id="159"/>
      <w:bookmarkEnd w:id="160"/>
      <w:r w:rsidRPr="00A52CB1">
        <w:rPr>
          <w:color w:val="3BB54A"/>
          <w:sz w:val="72"/>
          <w:szCs w:val="40"/>
        </w:rPr>
        <w:t xml:space="preserve"> </w:t>
      </w:r>
      <w:r w:rsidRPr="00A52CB1">
        <w:rPr>
          <w:color w:val="3BB54A"/>
          <w:sz w:val="72"/>
          <w:szCs w:val="40"/>
        </w:rPr>
        <w:br w:type="page"/>
      </w:r>
    </w:p>
    <w:p w14:paraId="0094EC66" w14:textId="190828AB" w:rsidR="006B1CE8" w:rsidRPr="00C64064" w:rsidRDefault="006B1CE8" w:rsidP="00155BD6">
      <w:pPr>
        <w:pStyle w:val="Head1"/>
        <w:rPr>
          <w:rFonts w:asciiTheme="majorHAnsi" w:hAnsiTheme="majorHAnsi" w:cstheme="majorHAnsi"/>
        </w:rPr>
      </w:pPr>
      <w:r w:rsidRPr="00C64064">
        <w:rPr>
          <w:rFonts w:asciiTheme="majorHAnsi" w:hAnsiTheme="majorHAnsi" w:cstheme="majorHAnsi"/>
        </w:rPr>
        <w:lastRenderedPageBreak/>
        <w:br/>
      </w:r>
      <w:bookmarkStart w:id="161" w:name="_Toc172823299"/>
      <w:bookmarkStart w:id="162" w:name="_Toc180155189"/>
      <w:r w:rsidRPr="00C64064">
        <w:rPr>
          <w:rFonts w:asciiTheme="majorHAnsi" w:hAnsiTheme="majorHAnsi" w:cstheme="majorHAnsi"/>
        </w:rPr>
        <w:t>Operations</w:t>
      </w:r>
      <w:bookmarkEnd w:id="161"/>
      <w:bookmarkEnd w:id="162"/>
      <w:r w:rsidRPr="00C64064">
        <w:rPr>
          <w:rFonts w:asciiTheme="majorHAnsi" w:hAnsiTheme="majorHAnsi" w:cstheme="majorHAnsi"/>
        </w:rPr>
        <w:tab/>
      </w:r>
    </w:p>
    <w:p w14:paraId="07ADF4B0" w14:textId="333BEDEC" w:rsidR="006B1CE8" w:rsidRDefault="006B1CE8" w:rsidP="006B1CE8">
      <w:pPr>
        <w:pStyle w:val="Head2"/>
        <w:rPr>
          <w:rFonts w:cstheme="majorHAnsi"/>
        </w:rPr>
      </w:pPr>
      <w:bookmarkStart w:id="163" w:name="_Toc172823300"/>
      <w:bookmarkStart w:id="164" w:name="_Toc180155190"/>
      <w:r w:rsidRPr="00614243">
        <w:rPr>
          <w:rFonts w:cstheme="majorHAnsi"/>
        </w:rPr>
        <w:t xml:space="preserve">Human </w:t>
      </w:r>
      <w:r w:rsidR="008A5111" w:rsidRPr="00614243">
        <w:rPr>
          <w:rFonts w:cstheme="majorHAnsi"/>
        </w:rPr>
        <w:t>R</w:t>
      </w:r>
      <w:r w:rsidRPr="00614243">
        <w:rPr>
          <w:rFonts w:cstheme="majorHAnsi"/>
        </w:rPr>
        <w:t>esources</w:t>
      </w:r>
      <w:bookmarkEnd w:id="163"/>
      <w:bookmarkEnd w:id="164"/>
      <w:r w:rsidRPr="00C64064">
        <w:rPr>
          <w:rFonts w:cstheme="majorHAnsi"/>
        </w:rPr>
        <w:tab/>
      </w:r>
    </w:p>
    <w:p w14:paraId="7ECDDF48" w14:textId="3A509D6D" w:rsidR="00F54297" w:rsidRDefault="00F54297" w:rsidP="004A56DE">
      <w:r w:rsidRPr="00F54297">
        <w:t>During this semester, PRISMA has successfully filled the role of Chief Technical Officer (CTO). This became necessary when the former CTO was promoted to the CEO role in January 2024. The CTO position, which was previously held by an expatriate, has now been filled by a national candidate. While the recruitment process was open to the public, the chosen candidate was an internal talent. Additionally, two staff members were promoted from Principal Business Consultant to Head of Portfolio, and thirteen staff members resigned.</w:t>
      </w:r>
    </w:p>
    <w:p w14:paraId="1BF2E111" w14:textId="358D0A38" w:rsidR="00F54297" w:rsidRPr="00F54297" w:rsidRDefault="00F54297" w:rsidP="004A56DE">
      <w:r w:rsidRPr="00F54297">
        <w:t>The number of resignations has slightly increased compared to the last semester, a trend commonly observed at this stage of a program. Most resignations were due to individuals seeking job security because the program is ending this year.</w:t>
      </w:r>
    </w:p>
    <w:p w14:paraId="165BB0E7" w14:textId="7840BBFD" w:rsidR="006B1CE8" w:rsidRPr="009C2E05" w:rsidRDefault="006B1CE8" w:rsidP="009C2E05">
      <w:pPr>
        <w:pStyle w:val="Head2"/>
      </w:pPr>
      <w:bookmarkStart w:id="165" w:name="_Toc172823301"/>
      <w:bookmarkStart w:id="166" w:name="_Toc180155191"/>
      <w:r w:rsidRPr="00C64064">
        <w:rPr>
          <w:rFonts w:cstheme="majorHAnsi"/>
        </w:rPr>
        <w:t>Operations</w:t>
      </w:r>
      <w:bookmarkEnd w:id="165"/>
      <w:bookmarkEnd w:id="166"/>
      <w:r w:rsidRPr="00C64064">
        <w:rPr>
          <w:rFonts w:cstheme="majorHAnsi"/>
        </w:rPr>
        <w:tab/>
      </w:r>
    </w:p>
    <w:p w14:paraId="4A4D1EC6" w14:textId="77AF059A" w:rsidR="009C2E05" w:rsidRPr="009C2E05" w:rsidRDefault="009C2E05" w:rsidP="009C2E05">
      <w:r w:rsidRPr="009C2E05">
        <w:t xml:space="preserve">In this semester, the program activities focused on resilience and closing the PRISMA program, resulting in fewer collaboration agreements with partners. PRISMA processed 4 partnership agreements for implementation activities and one memorandum of understanding (MoU) for an activity in Papua. </w:t>
      </w:r>
    </w:p>
    <w:p w14:paraId="6FABA625" w14:textId="5B37DD17" w:rsidR="009C2E05" w:rsidRPr="009C2E05" w:rsidRDefault="009C2E05" w:rsidP="009C2E05">
      <w:r w:rsidRPr="009C2E05">
        <w:t>For resilience activities, cooperation with partners involved partnerships and subcontract agreements. There are 12 partnerships for resilience activities, 13 new subcontract agreements, and 2 subcontract agreements extended from 2023. PRISMA also cooperated with 29 new local short-term advisors (STAs) and extended 12 STA local contracts and 2 international STA contracts to support program activities in this semester.</w:t>
      </w:r>
    </w:p>
    <w:p w14:paraId="6E3FB5A8" w14:textId="67D866FE" w:rsidR="009C2E05" w:rsidRPr="009C2E05" w:rsidRDefault="009C2E05" w:rsidP="009C2E05">
      <w:r w:rsidRPr="009C2E05">
        <w:t>Operational cooperation with vendors supporting the program continued, with 59 agreements extended throughout the region to support operations in the field. The procurement process processed 846 procurements for operational and implementation activities. Operations also provided logistical support for 63 activities and 476 travel events this semester.</w:t>
      </w:r>
    </w:p>
    <w:p w14:paraId="422F14D3" w14:textId="12A67B4A" w:rsidR="009C2E05" w:rsidRPr="009C2E05" w:rsidRDefault="009C2E05" w:rsidP="009C2E05">
      <w:r w:rsidRPr="009C2E05">
        <w:t>Another focus was on processing the closure of the PRISMA program, including completing the handover document for DFAT and ensuring that every detail of the operational process has commenced. This was repeatedly communicated to all staff in each town hall meeting.</w:t>
      </w:r>
    </w:p>
    <w:p w14:paraId="364B3C8B" w14:textId="353D2F83" w:rsidR="009C2E05" w:rsidRPr="009C2E05" w:rsidRDefault="009C2E05" w:rsidP="009C2E05">
      <w:r w:rsidRPr="009C2E05">
        <w:t>During this period, the operations unit conducted internal spot checks under the guidance of the PRISMA Chief Operations Officer. The unit successfully completed 7 internal spot checks, addressing operational, financial, partner claim, assets, compliance, and safety standards. The findings mostly concerned incomplete administrative supporting documents during this reporting period, with no major findings leading to fraud.</w:t>
      </w:r>
    </w:p>
    <w:p w14:paraId="67F31C28" w14:textId="7F5E8067" w:rsidR="008D057E" w:rsidRPr="009C2E05" w:rsidRDefault="009C2E05" w:rsidP="009C2E05">
      <w:r w:rsidRPr="009C2E05">
        <w:t>The operations unit also prepared an accessible version of all operational guidelines for staff and began documenting the learning and best practices as a legacy for the end of the program, which will contribute to the lessons learned documentation for both DFAT and corporate Palladium.</w:t>
      </w:r>
    </w:p>
    <w:p w14:paraId="25D3F126" w14:textId="140863B4" w:rsidR="006E0DE4" w:rsidRDefault="006E0DE4" w:rsidP="00ED17A9"/>
    <w:p w14:paraId="2ADF5A60" w14:textId="20E5BCF8" w:rsidR="006E0DE4" w:rsidRDefault="006E0DE4">
      <w:pPr>
        <w:rPr>
          <w:rFonts w:asciiTheme="majorHAnsi" w:hAnsiTheme="majorHAnsi" w:cstheme="majorHAnsi"/>
        </w:rPr>
      </w:pPr>
    </w:p>
    <w:p w14:paraId="22A9E04F" w14:textId="5A15D1FE" w:rsidR="006E0DE4" w:rsidRPr="00A52CB1" w:rsidRDefault="006E0DE4" w:rsidP="006E0DE4">
      <w:pPr>
        <w:pStyle w:val="Head1"/>
        <w:numPr>
          <w:ilvl w:val="0"/>
          <w:numId w:val="0"/>
        </w:numPr>
        <w:pBdr>
          <w:bottom w:val="none" w:sz="0" w:space="0" w:color="auto"/>
        </w:pBdr>
        <w:ind w:left="142"/>
        <w:rPr>
          <w:b/>
          <w:color w:val="3BB54A"/>
          <w:sz w:val="72"/>
          <w:szCs w:val="40"/>
        </w:rPr>
      </w:pPr>
      <w:bookmarkStart w:id="167" w:name="_Toc173318350"/>
      <w:bookmarkStart w:id="168" w:name="_Toc179192329"/>
      <w:bookmarkStart w:id="169" w:name="_Toc180155192"/>
      <w:r w:rsidRPr="00A52CB1">
        <w:rPr>
          <w:noProof/>
          <w:color w:val="3BB54A"/>
          <w:sz w:val="72"/>
          <w:szCs w:val="40"/>
        </w:rPr>
        <w:drawing>
          <wp:anchor distT="0" distB="0" distL="114300" distR="114300" simplePos="0" relativeHeight="251658305" behindDoc="0" locked="0" layoutInCell="1" allowOverlap="1" wp14:anchorId="6A0EF470" wp14:editId="2F495E13">
            <wp:simplePos x="0" y="0"/>
            <wp:positionH relativeFrom="page">
              <wp:posOffset>-19050</wp:posOffset>
            </wp:positionH>
            <wp:positionV relativeFrom="paragraph">
              <wp:posOffset>5701665</wp:posOffset>
            </wp:positionV>
            <wp:extent cx="7560944" cy="4253031"/>
            <wp:effectExtent l="0" t="0" r="2540" b="0"/>
            <wp:wrapNone/>
            <wp:docPr id="59463882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638820" name="Picture 60">
                      <a:extLst>
                        <a:ext uri="{C183D7F6-B498-43B3-948B-1728B52AA6E4}">
                          <adec:decorative xmlns:adec="http://schemas.microsoft.com/office/drawing/2017/decorative" val="1"/>
                        </a:ext>
                      </a:extLst>
                    </pic:cNvPr>
                    <pic:cNvPicPr>
                      <a:picLocks noChangeAspect="1" noChangeArrowheads="1"/>
                    </pic:cNvPicPr>
                  </pic:nvPicPr>
                  <pic:blipFill>
                    <a:blip r:embed="rId144"/>
                    <a:stretch>
                      <a:fillRect/>
                    </a:stretch>
                  </pic:blipFill>
                  <pic:spPr bwMode="auto">
                    <a:xfrm>
                      <a:off x="0" y="0"/>
                      <a:ext cx="7560944" cy="4253031"/>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67"/>
      <w:bookmarkEnd w:id="168"/>
      <w:bookmarkEnd w:id="169"/>
      <w:r w:rsidRPr="00A52CB1">
        <w:rPr>
          <w:color w:val="3BB54A"/>
          <w:sz w:val="72"/>
          <w:szCs w:val="40"/>
        </w:rPr>
        <w:br w:type="page"/>
      </w:r>
    </w:p>
    <w:p w14:paraId="25F3B854" w14:textId="04D4DD22" w:rsidR="00D343A6" w:rsidRPr="00C64064" w:rsidRDefault="00D343A6" w:rsidP="00155BD6">
      <w:pPr>
        <w:pStyle w:val="Head1"/>
        <w:rPr>
          <w:rFonts w:asciiTheme="majorHAnsi" w:hAnsiTheme="majorHAnsi" w:cstheme="majorHAnsi"/>
        </w:rPr>
      </w:pPr>
      <w:r w:rsidRPr="00C64064">
        <w:rPr>
          <w:rFonts w:asciiTheme="majorHAnsi" w:hAnsiTheme="majorHAnsi" w:cstheme="majorHAnsi"/>
        </w:rPr>
        <w:lastRenderedPageBreak/>
        <w:br/>
      </w:r>
      <w:bookmarkStart w:id="170" w:name="_Toc172823303"/>
      <w:bookmarkStart w:id="171" w:name="_Toc180155193"/>
      <w:r w:rsidRPr="00C64064">
        <w:rPr>
          <w:rFonts w:asciiTheme="majorHAnsi" w:hAnsiTheme="majorHAnsi" w:cstheme="majorHAnsi"/>
        </w:rPr>
        <w:t>Annexures</w:t>
      </w:r>
      <w:bookmarkEnd w:id="170"/>
      <w:bookmarkEnd w:id="171"/>
      <w:r w:rsidRPr="00C64064">
        <w:rPr>
          <w:rFonts w:asciiTheme="majorHAnsi" w:hAnsiTheme="majorHAnsi" w:cstheme="majorHAnsi"/>
        </w:rPr>
        <w:tab/>
      </w:r>
    </w:p>
    <w:p w14:paraId="11F323B8" w14:textId="199D8066" w:rsidR="00D343A6" w:rsidRPr="00C64064" w:rsidRDefault="00D343A6" w:rsidP="00155BD6">
      <w:pPr>
        <w:pStyle w:val="Head2"/>
        <w:rPr>
          <w:rFonts w:cstheme="majorHAnsi"/>
        </w:rPr>
      </w:pPr>
      <w:bookmarkStart w:id="172" w:name="_Toc172823304"/>
      <w:bookmarkStart w:id="173" w:name="_Toc180155194"/>
      <w:r w:rsidRPr="00C64064">
        <w:rPr>
          <w:rFonts w:cstheme="majorHAnsi"/>
        </w:rPr>
        <w:t xml:space="preserve">Annex 1: </w:t>
      </w:r>
      <w:r w:rsidR="00D14D94">
        <w:rPr>
          <w:rFonts w:cstheme="majorHAnsi"/>
        </w:rPr>
        <w:t xml:space="preserve">Sectors </w:t>
      </w:r>
      <w:r w:rsidR="00775960" w:rsidRPr="00C64064">
        <w:rPr>
          <w:rFonts w:cstheme="majorHAnsi"/>
        </w:rPr>
        <w:t>Progress</w:t>
      </w:r>
      <w:bookmarkEnd w:id="172"/>
      <w:bookmarkEnd w:id="173"/>
    </w:p>
    <w:p w14:paraId="121ED39E" w14:textId="77777777" w:rsidR="00E675C7" w:rsidRPr="00C64064" w:rsidRDefault="00E675C7">
      <w:pPr>
        <w:rPr>
          <w:rFonts w:asciiTheme="majorHAnsi" w:hAnsiTheme="majorHAnsi" w:cstheme="majorHAnsi"/>
        </w:rPr>
      </w:pPr>
    </w:p>
    <w:p w14:paraId="0B9ED771" w14:textId="77777777" w:rsidR="00F7175D" w:rsidRPr="00C64064" w:rsidRDefault="00F7175D">
      <w:pPr>
        <w:rPr>
          <w:rFonts w:asciiTheme="majorHAnsi" w:hAnsiTheme="majorHAnsi" w:cstheme="majorHAnsi"/>
        </w:rPr>
      </w:pPr>
      <w:r w:rsidRPr="00C64064">
        <w:rPr>
          <w:rFonts w:asciiTheme="majorHAnsi" w:hAnsiTheme="majorHAnsi" w:cstheme="majorHAnsi"/>
        </w:rPr>
        <w:br w:type="page"/>
      </w:r>
    </w:p>
    <w:p w14:paraId="6F6D0727" w14:textId="77777777" w:rsidR="001670A9" w:rsidRPr="00C64064" w:rsidRDefault="001670A9">
      <w:pPr>
        <w:rPr>
          <w:rFonts w:asciiTheme="majorHAnsi" w:hAnsiTheme="majorHAnsi" w:cstheme="majorHAnsi"/>
        </w:rPr>
        <w:sectPr w:rsidR="001670A9" w:rsidRPr="00C64064" w:rsidSect="00096423">
          <w:footerReference w:type="default" r:id="rId145"/>
          <w:pgSz w:w="11906" w:h="16838"/>
          <w:pgMar w:top="1135" w:right="1196" w:bottom="1276" w:left="1334" w:header="576" w:footer="0" w:gutter="0"/>
          <w:cols w:space="708"/>
          <w:docGrid w:linePitch="360"/>
        </w:sectPr>
      </w:pPr>
    </w:p>
    <w:p w14:paraId="6BF116CC" w14:textId="550CE508" w:rsidR="00B30B11" w:rsidRPr="00B30B11" w:rsidRDefault="00E85D95" w:rsidP="00B30B11">
      <w:pPr>
        <w:keepNext/>
        <w:keepLines/>
        <w:spacing w:after="360" w:line="240" w:lineRule="auto"/>
        <w:ind w:left="993"/>
        <w:outlineLvl w:val="1"/>
        <w:rPr>
          <w:rFonts w:cs="Arial"/>
          <w:b/>
          <w:bCs/>
          <w:color w:val="252D65"/>
          <w:sz w:val="24"/>
          <w:szCs w:val="24"/>
          <w:lang w:val="en-ID" w:eastAsia="en-ID"/>
        </w:rPr>
      </w:pPr>
      <w:bookmarkStart w:id="174" w:name="_Toc173318353"/>
      <w:r w:rsidRPr="00B30B11">
        <w:rPr>
          <w:rFonts w:asciiTheme="majorHAnsi" w:eastAsia="Times New Roman" w:hAnsiTheme="majorHAnsi" w:cstheme="majorHAnsi"/>
          <w:b/>
          <w:bCs/>
          <w:noProof/>
          <w:color w:val="131632"/>
          <w:sz w:val="24"/>
          <w:szCs w:val="24"/>
          <w:lang w:val="en-ID" w:eastAsia="en-ID"/>
        </w:rPr>
        <w:lastRenderedPageBreak/>
        <w:drawing>
          <wp:anchor distT="0" distB="0" distL="114300" distR="114300" simplePos="0" relativeHeight="251658319" behindDoc="0" locked="0" layoutInCell="1" allowOverlap="1" wp14:anchorId="7DB4BACA" wp14:editId="3F2CD9EC">
            <wp:simplePos x="0" y="0"/>
            <wp:positionH relativeFrom="column">
              <wp:posOffset>-8890</wp:posOffset>
            </wp:positionH>
            <wp:positionV relativeFrom="paragraph">
              <wp:posOffset>-144498</wp:posOffset>
            </wp:positionV>
            <wp:extent cx="540000" cy="540000"/>
            <wp:effectExtent l="0" t="0" r="6350" b="0"/>
            <wp:wrapNone/>
            <wp:docPr id="242795687"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795687" name="Graphic 2">
                      <a:extLst>
                        <a:ext uri="{C183D7F6-B498-43B3-948B-1728B52AA6E4}">
                          <adec:decorative xmlns:adec="http://schemas.microsoft.com/office/drawing/2017/decorative" val="1"/>
                        </a:ext>
                      </a:extLst>
                    </pic:cNvPr>
                    <pic:cNvPicPr/>
                  </pic:nvPicPr>
                  <pic:blipFill>
                    <a:blip r:embed="rId146" cstate="email">
                      <a:extLst>
                        <a:ext uri="{28A0092B-C50C-407E-A947-70E740481C1C}">
                          <a14:useLocalDpi xmlns:a14="http://schemas.microsoft.com/office/drawing/2010/main"/>
                        </a:ext>
                        <a:ext uri="{C183D7F6-B498-43B3-948B-1728B52AA6E4}">
                          <adec:decorative xmlns:adec="http://schemas.microsoft.com/office/drawing/2017/decorative" xmlns:asvg="http://schemas.microsoft.com/office/drawing/2016/SVG/main"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xmlns:c="http://schemas.openxmlformats.org/drawingml/2006/chart" xmlns:a16="http://schemas.microsoft.com/office/drawing/2014/main" val="1"/>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321DBB">
        <w:rPr>
          <w:rFonts w:asciiTheme="majorHAnsi" w:eastAsia="Times New Roman" w:hAnsiTheme="majorHAnsi" w:cstheme="majorHAnsi"/>
          <w:b/>
          <w:bCs/>
          <w:color w:val="262C66"/>
          <w:sz w:val="24"/>
          <w:szCs w:val="24"/>
          <w:lang w:val="en-ID" w:eastAsia="en-ID"/>
        </w:rPr>
        <w:t>Progress</w:t>
      </w:r>
      <w:r w:rsidRPr="00B30B11">
        <w:rPr>
          <w:rFonts w:asciiTheme="majorHAnsi" w:eastAsia="Times New Roman" w:hAnsiTheme="majorHAnsi" w:cstheme="majorHAnsi"/>
          <w:b/>
          <w:bCs/>
          <w:color w:val="262C66"/>
          <w:sz w:val="24"/>
          <w:szCs w:val="24"/>
          <w:lang w:val="en-ID" w:eastAsia="en-ID"/>
        </w:rPr>
        <w:t>: Beef</w:t>
      </w:r>
      <w:bookmarkEnd w:id="174"/>
    </w:p>
    <w:p w14:paraId="1B049110" w14:textId="6955C369" w:rsidR="00B30B11" w:rsidRPr="0053072D" w:rsidRDefault="00B30B11" w:rsidP="00B30B11">
      <w:pPr>
        <w:keepNext/>
        <w:keepLines/>
        <w:spacing w:after="0" w:line="240" w:lineRule="auto"/>
        <w:outlineLvl w:val="1"/>
        <w:rPr>
          <w:rFonts w:cs="Arial"/>
          <w:b/>
          <w:bCs/>
          <w:color w:val="131632"/>
          <w:szCs w:val="20"/>
          <w:lang w:val="en-ID" w:eastAsia="en-ID"/>
        </w:rPr>
      </w:pPr>
      <w:bookmarkStart w:id="175" w:name="_Toc173318354"/>
      <w:r w:rsidRPr="0053072D">
        <w:rPr>
          <w:rFonts w:cs="Arial"/>
          <w:b/>
          <w:bCs/>
          <w:color w:val="131632"/>
          <w:szCs w:val="20"/>
          <w:lang w:val="en-ID" w:eastAsia="en-ID"/>
        </w:rPr>
        <w:t>Vision</w:t>
      </w:r>
      <w:bookmarkEnd w:id="175"/>
    </w:p>
    <w:p w14:paraId="193DDD85" w14:textId="718F2336" w:rsidR="00B30B11" w:rsidRPr="0053072D" w:rsidRDefault="00B30B11" w:rsidP="00B30B11">
      <w:pPr>
        <w:keepNext/>
        <w:keepLines/>
        <w:spacing w:after="0" w:line="240" w:lineRule="auto"/>
        <w:outlineLvl w:val="1"/>
        <w:rPr>
          <w:rFonts w:eastAsia="Times New Roman" w:cs="Arial"/>
          <w:color w:val="131632"/>
          <w:szCs w:val="20"/>
          <w:lang w:val="en-ID" w:eastAsia="en-ID"/>
        </w:rPr>
      </w:pPr>
      <w:bookmarkStart w:id="176" w:name="_Toc173318355"/>
      <w:r w:rsidRPr="0053072D">
        <w:rPr>
          <w:rFonts w:eastAsia="Times New Roman" w:cs="Arial"/>
          <w:color w:val="131632"/>
          <w:szCs w:val="20"/>
          <w:lang w:val="en-ID" w:eastAsia="en-ID"/>
        </w:rPr>
        <w:t>Small-scale beef producers in East and Central Java and West Nusa Tenggara (NTB) increase cattle productivity through improved livestock management practices. This will be achieved by introducing good quality and affordable cattle feed and pharmaceutical services through feed and animal pharma companies. This will be supported by changes to Indonesian national feed standards (SNI) and overarching regulations; the development of new industry guidelines and a capacity-building program provided by the Government of Indonesia (GOI) for feed producers, local government, and the Ministry of Agriculture’s (MoA) feed auditors; and improvements in the trading system for live cattle.</w:t>
      </w:r>
      <w:bookmarkEnd w:id="176"/>
    </w:p>
    <w:p w14:paraId="7567EE76" w14:textId="77777777" w:rsidR="00B30B11" w:rsidRPr="0053072D" w:rsidRDefault="00B30B11" w:rsidP="00B30B11">
      <w:pPr>
        <w:keepNext/>
        <w:keepLines/>
        <w:spacing w:after="0" w:line="240" w:lineRule="auto"/>
        <w:outlineLvl w:val="1"/>
        <w:rPr>
          <w:rFonts w:cs="Arial"/>
          <w:b/>
          <w:bCs/>
          <w:color w:val="131632"/>
          <w:szCs w:val="20"/>
          <w:lang w:val="en-ID" w:eastAsia="en-ID"/>
        </w:rPr>
      </w:pPr>
    </w:p>
    <w:tbl>
      <w:tblPr>
        <w:tblStyle w:val="TableGrid2"/>
        <w:tblpPr w:leftFromText="181" w:rightFromText="181" w:vertAnchor="text" w:tblpY="1"/>
        <w:tblW w:w="0" w:type="auto"/>
        <w:tblBorders>
          <w:top w:val="single" w:sz="2" w:space="0" w:color="272A5F"/>
          <w:left w:val="none" w:sz="0" w:space="0" w:color="auto"/>
          <w:bottom w:val="single" w:sz="2" w:space="0" w:color="272A5F"/>
          <w:right w:val="none" w:sz="0" w:space="0" w:color="auto"/>
          <w:insideH w:val="single" w:sz="2" w:space="0" w:color="272A5F"/>
          <w:insideV w:val="none" w:sz="0" w:space="0" w:color="auto"/>
        </w:tblBorders>
        <w:tblCellMar>
          <w:top w:w="57" w:type="dxa"/>
          <w:bottom w:w="57" w:type="dxa"/>
        </w:tblCellMar>
        <w:tblLook w:val="06A0" w:firstRow="1" w:lastRow="0" w:firstColumn="1" w:lastColumn="0" w:noHBand="1" w:noVBand="1"/>
      </w:tblPr>
      <w:tblGrid>
        <w:gridCol w:w="2122"/>
        <w:gridCol w:w="2835"/>
        <w:gridCol w:w="2698"/>
        <w:gridCol w:w="3118"/>
        <w:gridCol w:w="3787"/>
      </w:tblGrid>
      <w:tr w:rsidR="00B30B11" w:rsidRPr="0053072D" w14:paraId="435E38A9" w14:textId="77777777" w:rsidTr="5583D54B">
        <w:tc>
          <w:tcPr>
            <w:tcW w:w="2122" w:type="dxa"/>
            <w:tcBorders>
              <w:bottom w:val="single" w:sz="2" w:space="0" w:color="272A5F"/>
            </w:tcBorders>
            <w:shd w:val="clear" w:color="auto" w:fill="272A5F"/>
          </w:tcPr>
          <w:p w14:paraId="2F341915" w14:textId="2F15EA97" w:rsidR="00B30B11" w:rsidRPr="00B30B11" w:rsidRDefault="00B30B11" w:rsidP="00B30B11">
            <w:pPr>
              <w:keepNext/>
              <w:keepLines/>
              <w:spacing w:before="60" w:after="60"/>
              <w:ind w:left="11"/>
              <w:jc w:val="center"/>
              <w:outlineLvl w:val="1"/>
              <w:rPr>
                <w:rFonts w:eastAsia="Times New Roman" w:cs="Arial"/>
                <w:b/>
                <w:bCs/>
                <w:color w:val="FFFFFF"/>
                <w:lang w:val="en-ID" w:eastAsia="en-ID"/>
              </w:rPr>
            </w:pPr>
            <w:bookmarkStart w:id="177" w:name="_Toc173318356"/>
            <w:r w:rsidRPr="00B30B11">
              <w:rPr>
                <w:rFonts w:eastAsia="Times New Roman" w:cs="Arial"/>
                <w:b/>
                <w:bCs/>
                <w:color w:val="FFFFFF"/>
                <w:lang w:val="en-ID" w:eastAsia="en-ID"/>
              </w:rPr>
              <w:t>Exit strategies</w:t>
            </w:r>
            <w:bookmarkEnd w:id="177"/>
          </w:p>
        </w:tc>
        <w:tc>
          <w:tcPr>
            <w:tcW w:w="2835" w:type="dxa"/>
            <w:tcBorders>
              <w:bottom w:val="single" w:sz="2" w:space="0" w:color="272A5F"/>
            </w:tcBorders>
            <w:shd w:val="clear" w:color="auto" w:fill="272A5F"/>
          </w:tcPr>
          <w:p w14:paraId="7CB309F9" w14:textId="17288638" w:rsidR="00B30B11" w:rsidRPr="00B30B11" w:rsidRDefault="00B30B11" w:rsidP="00B30B11">
            <w:pPr>
              <w:keepNext/>
              <w:keepLines/>
              <w:spacing w:before="60" w:after="60"/>
              <w:ind w:left="11"/>
              <w:jc w:val="center"/>
              <w:outlineLvl w:val="1"/>
              <w:rPr>
                <w:rFonts w:eastAsia="Times New Roman" w:cs="Arial"/>
                <w:b/>
                <w:bCs/>
                <w:color w:val="FFFFFF"/>
                <w:lang w:val="en-ID" w:eastAsia="en-ID"/>
              </w:rPr>
            </w:pPr>
            <w:bookmarkStart w:id="178" w:name="_Toc173318357"/>
            <w:r w:rsidRPr="00B30B11">
              <w:rPr>
                <w:rFonts w:eastAsia="Times New Roman" w:cs="Arial"/>
                <w:b/>
                <w:bCs/>
                <w:color w:val="FFFFFF"/>
                <w:lang w:val="en-ID" w:eastAsia="en-ID"/>
              </w:rPr>
              <w:t>Focus areas</w:t>
            </w:r>
            <w:bookmarkEnd w:id="178"/>
          </w:p>
        </w:tc>
        <w:tc>
          <w:tcPr>
            <w:tcW w:w="2698" w:type="dxa"/>
            <w:shd w:val="clear" w:color="auto" w:fill="272A5F"/>
          </w:tcPr>
          <w:p w14:paraId="7B92A35E" w14:textId="372F5749" w:rsidR="00B30B11" w:rsidRPr="00B30B11" w:rsidRDefault="00B30B11" w:rsidP="00B30B11">
            <w:pPr>
              <w:keepNext/>
              <w:keepLines/>
              <w:spacing w:before="60" w:after="60"/>
              <w:ind w:left="11"/>
              <w:jc w:val="center"/>
              <w:outlineLvl w:val="1"/>
              <w:rPr>
                <w:rFonts w:eastAsia="Times New Roman" w:cs="Arial"/>
                <w:b/>
                <w:bCs/>
                <w:color w:val="FFFFFF"/>
                <w:lang w:val="en-ID" w:eastAsia="en-ID"/>
              </w:rPr>
            </w:pPr>
            <w:bookmarkStart w:id="179" w:name="_Toc173318358"/>
            <w:r w:rsidRPr="00B30B11">
              <w:rPr>
                <w:rFonts w:eastAsia="Times New Roman" w:cs="Arial"/>
                <w:b/>
                <w:bCs/>
                <w:color w:val="FFFFFF"/>
                <w:lang w:val="en-ID" w:eastAsia="en-ID"/>
              </w:rPr>
              <w:t>Planned initiatives</w:t>
            </w:r>
            <w:bookmarkEnd w:id="179"/>
          </w:p>
        </w:tc>
        <w:tc>
          <w:tcPr>
            <w:tcW w:w="3118" w:type="dxa"/>
            <w:shd w:val="clear" w:color="auto" w:fill="272A5F"/>
          </w:tcPr>
          <w:p w14:paraId="43924E8D" w14:textId="7045186F" w:rsidR="00B30B11" w:rsidRPr="00B30B11" w:rsidRDefault="00B30B11" w:rsidP="00B30B11">
            <w:pPr>
              <w:keepNext/>
              <w:keepLines/>
              <w:spacing w:before="60" w:after="60"/>
              <w:ind w:left="11"/>
              <w:jc w:val="center"/>
              <w:outlineLvl w:val="1"/>
              <w:rPr>
                <w:rFonts w:eastAsia="Times New Roman" w:cs="Arial"/>
                <w:b/>
                <w:bCs/>
                <w:color w:val="FFFFFF"/>
                <w:lang w:val="en-ID" w:eastAsia="en-ID"/>
              </w:rPr>
            </w:pPr>
            <w:bookmarkStart w:id="180" w:name="_Toc173318359"/>
            <w:r w:rsidRPr="00B30B11">
              <w:rPr>
                <w:rFonts w:eastAsia="Times New Roman" w:cs="Arial"/>
                <w:b/>
                <w:bCs/>
                <w:color w:val="FFFFFF"/>
                <w:lang w:val="en-ID" w:eastAsia="en-ID"/>
              </w:rPr>
              <w:t>Expected outputs</w:t>
            </w:r>
            <w:bookmarkEnd w:id="180"/>
          </w:p>
        </w:tc>
        <w:tc>
          <w:tcPr>
            <w:tcW w:w="3787" w:type="dxa"/>
            <w:shd w:val="clear" w:color="auto" w:fill="272A5F"/>
          </w:tcPr>
          <w:p w14:paraId="5EDC455F" w14:textId="03866994" w:rsidR="00B30B11" w:rsidRPr="00B30B11" w:rsidRDefault="00B30B11" w:rsidP="00B30B11">
            <w:pPr>
              <w:keepNext/>
              <w:keepLines/>
              <w:spacing w:before="60" w:after="60"/>
              <w:ind w:left="11"/>
              <w:jc w:val="center"/>
              <w:outlineLvl w:val="1"/>
              <w:rPr>
                <w:rFonts w:eastAsia="Times New Roman" w:cs="Arial"/>
                <w:b/>
                <w:bCs/>
                <w:color w:val="FFFFFF"/>
                <w:lang w:val="en-ID" w:eastAsia="en-ID"/>
              </w:rPr>
            </w:pPr>
            <w:bookmarkStart w:id="181" w:name="_Toc173318360"/>
            <w:r w:rsidRPr="00B30B11">
              <w:rPr>
                <w:rFonts w:eastAsia="Times New Roman" w:cs="Arial"/>
                <w:b/>
                <w:bCs/>
                <w:color w:val="FFFFFF"/>
                <w:lang w:val="en-ID" w:eastAsia="en-ID"/>
              </w:rPr>
              <w:t>Progress update</w:t>
            </w:r>
            <w:bookmarkEnd w:id="181"/>
          </w:p>
        </w:tc>
      </w:tr>
      <w:tr w:rsidR="00B821AB" w:rsidRPr="0053072D" w14:paraId="5E5B01D9" w14:textId="77777777" w:rsidTr="5583D54B">
        <w:tc>
          <w:tcPr>
            <w:tcW w:w="2122" w:type="dxa"/>
            <w:tcBorders>
              <w:bottom w:val="nil"/>
            </w:tcBorders>
          </w:tcPr>
          <w:p w14:paraId="10B07B7F" w14:textId="36C2A983" w:rsidR="00B821AB" w:rsidRPr="00B30B11" w:rsidRDefault="00B821AB" w:rsidP="00EE453C">
            <w:pPr>
              <w:keepNext/>
              <w:keepLines/>
              <w:spacing w:after="120"/>
              <w:ind w:left="11"/>
              <w:outlineLvl w:val="1"/>
              <w:rPr>
                <w:rFonts w:eastAsia="Times New Roman" w:cs="Arial"/>
                <w:color w:val="000000"/>
                <w:lang w:val="en-ID" w:eastAsia="en-ID"/>
              </w:rPr>
            </w:pPr>
            <w:bookmarkStart w:id="182" w:name="_Toc173318361"/>
            <w:r w:rsidRPr="00B30B11">
              <w:rPr>
                <w:rFonts w:eastAsia="Times New Roman" w:cs="Arial"/>
                <w:color w:val="000000"/>
                <w:lang w:val="en-ID" w:eastAsia="en-ID"/>
              </w:rPr>
              <w:t>Strategies towards ensuring greater sustainability</w:t>
            </w:r>
            <w:bookmarkEnd w:id="182"/>
          </w:p>
        </w:tc>
        <w:tc>
          <w:tcPr>
            <w:tcW w:w="2835" w:type="dxa"/>
            <w:tcBorders>
              <w:bottom w:val="nil"/>
            </w:tcBorders>
          </w:tcPr>
          <w:p w14:paraId="5D7E7148" w14:textId="23050709" w:rsidR="00B821AB" w:rsidRPr="00B30B11" w:rsidRDefault="00B821AB" w:rsidP="00EE453C">
            <w:pPr>
              <w:keepNext/>
              <w:keepLines/>
              <w:spacing w:after="120"/>
              <w:ind w:left="11"/>
              <w:outlineLvl w:val="1"/>
              <w:rPr>
                <w:rFonts w:eastAsia="Times New Roman" w:cs="Arial"/>
                <w:color w:val="000000"/>
                <w:lang w:val="en-ID" w:eastAsia="en-ID"/>
              </w:rPr>
            </w:pPr>
            <w:bookmarkStart w:id="183" w:name="_Toc173318362"/>
            <w:r w:rsidRPr="00B30B11">
              <w:rPr>
                <w:rFonts w:eastAsia="Times New Roman" w:cs="Arial"/>
                <w:color w:val="000000"/>
                <w:lang w:val="en-ID" w:eastAsia="en-ID"/>
              </w:rPr>
              <w:t>Supporting partners to increase the participation of farmers with disabilities and promote climate-smart cattle feed in their business strategies</w:t>
            </w:r>
            <w:bookmarkEnd w:id="183"/>
          </w:p>
        </w:tc>
        <w:tc>
          <w:tcPr>
            <w:tcW w:w="2698" w:type="dxa"/>
          </w:tcPr>
          <w:p w14:paraId="56CCAF32" w14:textId="4FED4D5D" w:rsidR="00B821AB" w:rsidRPr="00B30B11" w:rsidRDefault="00B821AB" w:rsidP="00EE453C">
            <w:pPr>
              <w:keepNext/>
              <w:keepLines/>
              <w:spacing w:after="120"/>
              <w:ind w:left="11"/>
              <w:outlineLvl w:val="1"/>
              <w:rPr>
                <w:rFonts w:eastAsia="Times New Roman" w:cs="Arial"/>
                <w:color w:val="000000"/>
                <w:lang w:val="en-ID" w:eastAsia="en-ID"/>
              </w:rPr>
            </w:pPr>
            <w:bookmarkStart w:id="184" w:name="_Toc173318363"/>
            <w:r w:rsidRPr="00B30B11">
              <w:rPr>
                <w:rFonts w:eastAsia="Times New Roman" w:cs="Arial"/>
                <w:color w:val="000000"/>
                <w:lang w:val="en-ID" w:eastAsia="en-ID"/>
              </w:rPr>
              <w:t>Promote the use of feed supplements to decrease methane emissions from beef cattle.</w:t>
            </w:r>
            <w:bookmarkEnd w:id="184"/>
          </w:p>
        </w:tc>
        <w:tc>
          <w:tcPr>
            <w:tcW w:w="3118" w:type="dxa"/>
          </w:tcPr>
          <w:p w14:paraId="0569FB6B" w14:textId="661F682E" w:rsidR="00B821AB" w:rsidRPr="00B30B11" w:rsidRDefault="00B821AB" w:rsidP="00B30B11">
            <w:pPr>
              <w:keepNext/>
              <w:keepLines/>
              <w:spacing w:after="80"/>
              <w:ind w:left="178"/>
              <w:outlineLvl w:val="1"/>
              <w:rPr>
                <w:rFonts w:cs="Arial"/>
                <w:lang w:val="en-ID" w:eastAsia="en-ID"/>
              </w:rPr>
            </w:pPr>
            <w:bookmarkStart w:id="185" w:name="_Toc173318364"/>
            <w:r w:rsidRPr="00B30B11">
              <w:rPr>
                <w:rFonts w:cs="Arial"/>
                <w:lang w:val="en-ID" w:eastAsia="en-ID"/>
              </w:rPr>
              <w:t>Molasses lick block (MLB) trials</w:t>
            </w:r>
            <w:bookmarkEnd w:id="185"/>
            <w:r w:rsidRPr="00B30B11">
              <w:rPr>
                <w:rFonts w:cs="Arial"/>
                <w:lang w:val="en-ID" w:eastAsia="en-ID"/>
              </w:rPr>
              <w:t xml:space="preserve"> </w:t>
            </w:r>
          </w:p>
          <w:p w14:paraId="4DDEDAB6" w14:textId="77777777" w:rsidR="00B821AB" w:rsidRPr="00B30B11" w:rsidRDefault="00B821AB" w:rsidP="00B30B11">
            <w:pPr>
              <w:keepNext/>
              <w:keepLines/>
              <w:spacing w:after="80"/>
              <w:ind w:left="178"/>
              <w:outlineLvl w:val="1"/>
              <w:rPr>
                <w:rFonts w:cs="Arial"/>
                <w:lang w:val="en-ID" w:eastAsia="en-ID"/>
              </w:rPr>
            </w:pPr>
            <w:bookmarkStart w:id="186" w:name="_Toc173318365"/>
            <w:r w:rsidRPr="00B30B11">
              <w:rPr>
                <w:rFonts w:cs="Arial"/>
                <w:lang w:val="en-ID" w:eastAsia="en-ID"/>
              </w:rPr>
              <w:t>A raw material study report</w:t>
            </w:r>
            <w:bookmarkEnd w:id="186"/>
            <w:r w:rsidRPr="00B30B11">
              <w:rPr>
                <w:rFonts w:cs="Arial"/>
                <w:lang w:val="en-ID" w:eastAsia="en-ID"/>
              </w:rPr>
              <w:t xml:space="preserve"> </w:t>
            </w:r>
          </w:p>
          <w:p w14:paraId="797963B6" w14:textId="77777777" w:rsidR="00B821AB" w:rsidRPr="00B30B11" w:rsidRDefault="00B821AB" w:rsidP="00B30B11">
            <w:pPr>
              <w:keepNext/>
              <w:keepLines/>
              <w:spacing w:after="80"/>
              <w:ind w:left="178"/>
              <w:outlineLvl w:val="1"/>
              <w:rPr>
                <w:rFonts w:eastAsia="Times New Roman" w:cs="Arial"/>
                <w:color w:val="000000"/>
                <w:lang w:val="en-ID" w:eastAsia="en-ID"/>
              </w:rPr>
            </w:pPr>
            <w:bookmarkStart w:id="187" w:name="_Toc173318366"/>
            <w:r w:rsidRPr="00B30B11">
              <w:rPr>
                <w:rFonts w:cs="Arial"/>
                <w:lang w:val="en-ID" w:eastAsia="en-ID"/>
              </w:rPr>
              <w:t>Publication on climate-smart livestock (CSL) trial result</w:t>
            </w:r>
            <w:bookmarkEnd w:id="187"/>
            <w:r w:rsidRPr="00B30B11">
              <w:rPr>
                <w:rFonts w:eastAsia="Times New Roman" w:cs="Arial"/>
                <w:color w:val="000000"/>
                <w:lang w:val="en-ID" w:eastAsia="en-ID"/>
              </w:rPr>
              <w:t xml:space="preserve"> </w:t>
            </w:r>
          </w:p>
        </w:tc>
        <w:tc>
          <w:tcPr>
            <w:tcW w:w="3787" w:type="dxa"/>
          </w:tcPr>
          <w:p w14:paraId="40F33707" w14:textId="77777777" w:rsidR="00B821AB" w:rsidRPr="00B30B11" w:rsidRDefault="00B821AB" w:rsidP="00B30B11">
            <w:pPr>
              <w:keepNext/>
              <w:keepLines/>
              <w:spacing w:after="120"/>
              <w:ind w:left="11"/>
              <w:outlineLvl w:val="1"/>
              <w:rPr>
                <w:rFonts w:cs="Arial"/>
                <w:lang w:val="en-ID" w:eastAsia="en-ID"/>
              </w:rPr>
            </w:pPr>
            <w:bookmarkStart w:id="188" w:name="_Toc173318367"/>
            <w:r w:rsidRPr="00B30B11">
              <w:rPr>
                <w:rFonts w:cs="Arial"/>
                <w:lang w:val="en-ID" w:eastAsia="en-ID"/>
              </w:rPr>
              <w:t>The Australian technology company AgCoTech was supported by PRISMA through ongoing trial activities for its MLB in Central Java. AgCoTech named the MLB an “emission control block” and trialled it using raw materials readily available in Indonesia. The MLB was tested with the methane laser, and the trials produced qualitative insights that aligned with last year’s Central Java trial results. The study proved highly beneficial for AgCoTech, and the results will be used to develop its business in Indonesia.</w:t>
            </w:r>
            <w:bookmarkEnd w:id="188"/>
            <w:r w:rsidRPr="00B30B11">
              <w:rPr>
                <w:rFonts w:cs="Arial"/>
                <w:lang w:val="en-ID" w:eastAsia="en-ID"/>
              </w:rPr>
              <w:t xml:space="preserve"> </w:t>
            </w:r>
          </w:p>
          <w:p w14:paraId="4D92CF66" w14:textId="0393B198" w:rsidR="00B821AB" w:rsidRPr="00B30B11" w:rsidRDefault="00B821AB" w:rsidP="00B30B11">
            <w:pPr>
              <w:keepNext/>
              <w:keepLines/>
              <w:spacing w:after="120"/>
              <w:ind w:left="11"/>
              <w:outlineLvl w:val="1"/>
              <w:rPr>
                <w:rFonts w:cs="Arial"/>
                <w:lang w:val="en-ID" w:eastAsia="en-ID"/>
              </w:rPr>
            </w:pPr>
            <w:bookmarkStart w:id="189" w:name="_Toc173318368"/>
            <w:r w:rsidRPr="00B30B11">
              <w:rPr>
                <w:rFonts w:cs="Arial"/>
                <w:lang w:val="en-ID" w:eastAsia="en-ID"/>
              </w:rPr>
              <w:t>The raw material study was dropped as the trial required more resources and was a higher priority for catalyzing AgCoTech’s work in Indonesia.</w:t>
            </w:r>
            <w:bookmarkEnd w:id="189"/>
          </w:p>
          <w:p w14:paraId="142B5D51" w14:textId="77777777" w:rsidR="00B821AB" w:rsidRPr="00B30B11" w:rsidRDefault="00B821AB" w:rsidP="00B30B11">
            <w:pPr>
              <w:keepNext/>
              <w:keepLines/>
              <w:spacing w:after="120"/>
              <w:outlineLvl w:val="1"/>
              <w:rPr>
                <w:rFonts w:cs="Arial"/>
                <w:lang w:val="en-ID" w:eastAsia="en-ID"/>
              </w:rPr>
            </w:pPr>
          </w:p>
          <w:p w14:paraId="5EA7970F" w14:textId="77777777" w:rsidR="00B821AB" w:rsidRPr="00B30B11" w:rsidRDefault="00B821AB" w:rsidP="00B30B11">
            <w:pPr>
              <w:keepNext/>
              <w:keepLines/>
              <w:spacing w:after="120"/>
              <w:outlineLvl w:val="1"/>
              <w:rPr>
                <w:rFonts w:cs="Arial"/>
                <w:lang w:val="en-ID" w:eastAsia="en-ID"/>
              </w:rPr>
            </w:pPr>
            <w:bookmarkStart w:id="190" w:name="_Toc173318369"/>
            <w:r w:rsidRPr="00B30B11">
              <w:rPr>
                <w:rFonts w:cs="Arial"/>
                <w:lang w:val="en-ID" w:eastAsia="en-ID"/>
              </w:rPr>
              <w:lastRenderedPageBreak/>
              <w:t>The publication on CSL will be finalised next semester.</w:t>
            </w:r>
            <w:bookmarkEnd w:id="190"/>
            <w:r w:rsidRPr="00B30B11">
              <w:rPr>
                <w:rFonts w:cs="Arial"/>
                <w:lang w:val="en-ID" w:eastAsia="en-ID"/>
              </w:rPr>
              <w:t xml:space="preserve">  </w:t>
            </w:r>
          </w:p>
        </w:tc>
      </w:tr>
      <w:tr w:rsidR="00B821AB" w:rsidRPr="0053072D" w14:paraId="39DE508F" w14:textId="77777777" w:rsidTr="5583D54B">
        <w:tc>
          <w:tcPr>
            <w:tcW w:w="2122" w:type="dxa"/>
            <w:tcBorders>
              <w:top w:val="nil"/>
              <w:bottom w:val="single" w:sz="2" w:space="0" w:color="272A5F"/>
            </w:tcBorders>
          </w:tcPr>
          <w:p w14:paraId="6462D525" w14:textId="77777777" w:rsidR="00B821AB" w:rsidRPr="00B30B11" w:rsidRDefault="00B821AB" w:rsidP="00EE453C">
            <w:pPr>
              <w:keepNext/>
              <w:keepLines/>
              <w:spacing w:after="120"/>
              <w:ind w:left="11"/>
              <w:outlineLvl w:val="1"/>
              <w:rPr>
                <w:rFonts w:eastAsia="Times New Roman" w:cs="Arial"/>
                <w:color w:val="000000"/>
                <w:lang w:val="en-ID" w:eastAsia="en-ID"/>
              </w:rPr>
            </w:pPr>
          </w:p>
        </w:tc>
        <w:tc>
          <w:tcPr>
            <w:tcW w:w="2835" w:type="dxa"/>
            <w:tcBorders>
              <w:top w:val="nil"/>
            </w:tcBorders>
          </w:tcPr>
          <w:p w14:paraId="3E97DB30" w14:textId="77777777" w:rsidR="00B821AB" w:rsidRPr="00B30B11" w:rsidRDefault="00B821AB" w:rsidP="00EE453C">
            <w:pPr>
              <w:keepNext/>
              <w:keepLines/>
              <w:spacing w:after="120"/>
              <w:ind w:left="11"/>
              <w:outlineLvl w:val="1"/>
              <w:rPr>
                <w:rFonts w:eastAsia="Times New Roman" w:cs="Arial"/>
                <w:color w:val="000000"/>
                <w:lang w:val="en-ID" w:eastAsia="en-ID"/>
              </w:rPr>
            </w:pPr>
          </w:p>
        </w:tc>
        <w:tc>
          <w:tcPr>
            <w:tcW w:w="2698" w:type="dxa"/>
          </w:tcPr>
          <w:p w14:paraId="62C085BF" w14:textId="77777777" w:rsidR="00B821AB" w:rsidRPr="00B30B11" w:rsidRDefault="00B821AB" w:rsidP="00EE453C">
            <w:pPr>
              <w:keepNext/>
              <w:keepLines/>
              <w:spacing w:after="120"/>
              <w:ind w:left="11"/>
              <w:outlineLvl w:val="1"/>
              <w:rPr>
                <w:rFonts w:eastAsia="Times New Roman" w:cs="Arial"/>
                <w:color w:val="000000"/>
                <w:lang w:val="en-ID" w:eastAsia="en-ID"/>
              </w:rPr>
            </w:pPr>
            <w:bookmarkStart w:id="191" w:name="_Toc173318370"/>
            <w:r w:rsidRPr="00B30B11">
              <w:rPr>
                <w:rFonts w:eastAsia="Times New Roman" w:cs="Arial"/>
                <w:color w:val="000000"/>
                <w:lang w:val="en-ID" w:eastAsia="en-ID"/>
              </w:rPr>
              <w:t>Pilot and develop a scaling-up strategy for mainstreaming disability inclusion in the partners' business strategies.</w:t>
            </w:r>
            <w:bookmarkEnd w:id="191"/>
            <w:r w:rsidRPr="00B30B11">
              <w:rPr>
                <w:rFonts w:eastAsia="Times New Roman" w:cs="Arial"/>
                <w:color w:val="000000"/>
                <w:lang w:val="en-ID" w:eastAsia="en-ID"/>
              </w:rPr>
              <w:t xml:space="preserve"> </w:t>
            </w:r>
          </w:p>
        </w:tc>
        <w:tc>
          <w:tcPr>
            <w:tcW w:w="3118" w:type="dxa"/>
          </w:tcPr>
          <w:p w14:paraId="0ED7CAE7" w14:textId="77777777" w:rsidR="00B821AB" w:rsidRPr="00B30B11" w:rsidRDefault="00B821AB" w:rsidP="00B30B11">
            <w:pPr>
              <w:keepNext/>
              <w:keepLines/>
              <w:spacing w:after="80"/>
              <w:ind w:left="178"/>
              <w:outlineLvl w:val="1"/>
              <w:rPr>
                <w:rFonts w:eastAsia="Times New Roman" w:cs="Arial"/>
                <w:color w:val="000000"/>
                <w:lang w:val="en-ID" w:eastAsia="en-ID"/>
              </w:rPr>
            </w:pPr>
            <w:bookmarkStart w:id="192" w:name="_Toc173318371"/>
            <w:r w:rsidRPr="00B30B11">
              <w:rPr>
                <w:rFonts w:eastAsia="Times New Roman" w:cs="Arial"/>
                <w:color w:val="000000"/>
                <w:lang w:val="en-ID" w:eastAsia="en-ID"/>
              </w:rPr>
              <w:t>Disability inclusion trials and reports on them</w:t>
            </w:r>
            <w:r w:rsidRPr="00B30B11">
              <w:rPr>
                <w:rFonts w:eastAsia="Times New Roman" w:cs="Arial"/>
                <w:color w:val="000000"/>
                <w:lang w:val="en-ID" w:eastAsia="en-ID"/>
              </w:rPr>
              <w:br/>
              <w:t>The private sector adopts disability inclusion practices.</w:t>
            </w:r>
            <w:bookmarkEnd w:id="192"/>
            <w:r w:rsidRPr="00B30B11">
              <w:rPr>
                <w:rFonts w:eastAsia="Times New Roman" w:cs="Arial"/>
                <w:color w:val="000000"/>
                <w:lang w:val="en-ID" w:eastAsia="en-ID"/>
              </w:rPr>
              <w:t xml:space="preserve">  </w:t>
            </w:r>
          </w:p>
        </w:tc>
        <w:tc>
          <w:tcPr>
            <w:tcW w:w="3787" w:type="dxa"/>
          </w:tcPr>
          <w:p w14:paraId="078FC395" w14:textId="7EDB9724" w:rsidR="00B821AB" w:rsidRPr="00B30B11" w:rsidRDefault="00B821AB" w:rsidP="00B30B11">
            <w:pPr>
              <w:keepNext/>
              <w:keepLines/>
              <w:spacing w:after="120"/>
              <w:ind w:left="11"/>
              <w:outlineLvl w:val="1"/>
              <w:rPr>
                <w:rFonts w:eastAsia="Times New Roman" w:cs="Arial"/>
                <w:color w:val="000000"/>
                <w:lang w:val="en-ID" w:eastAsia="en-ID"/>
              </w:rPr>
            </w:pPr>
            <w:bookmarkStart w:id="193" w:name="_Toc173318372"/>
            <w:r w:rsidRPr="00B30B11">
              <w:rPr>
                <w:rFonts w:eastAsia="Times New Roman" w:cs="Arial"/>
                <w:color w:val="000000"/>
                <w:lang w:val="en-ID" w:eastAsia="en-ID"/>
              </w:rPr>
              <w:t>PRISMA assisted KJUB Puspetasari, an animal feed company, in conducting a pilot program for disability inclusion. This involved setting up a demonstration plot specifically designed for farmers with disabilities. The pilot program has been successfully completed, and now a farmer from the demonstration plot is selling the feed to other farmers.</w:t>
            </w:r>
            <w:bookmarkEnd w:id="193"/>
          </w:p>
          <w:p w14:paraId="314EDF6E" w14:textId="31BDBF41" w:rsidR="00B821AB" w:rsidRPr="00B30B11" w:rsidRDefault="00B821AB" w:rsidP="00B30B11">
            <w:pPr>
              <w:keepNext/>
              <w:keepLines/>
              <w:spacing w:after="120"/>
              <w:ind w:left="11"/>
              <w:outlineLvl w:val="1"/>
              <w:rPr>
                <w:rFonts w:eastAsia="Times New Roman" w:cs="Arial"/>
                <w:color w:val="000000"/>
                <w:lang w:val="en-ID" w:eastAsia="en-ID"/>
              </w:rPr>
            </w:pPr>
            <w:bookmarkStart w:id="194" w:name="_Toc173318373"/>
            <w:r w:rsidRPr="00B30B11">
              <w:rPr>
                <w:rFonts w:eastAsia="Times New Roman" w:cs="Arial"/>
                <w:color w:val="000000"/>
                <w:lang w:val="en-ID" w:eastAsia="en-ID"/>
              </w:rPr>
              <w:t>Obtaining data on farmers with disabilities, even from government sources such as the Department of Social Services, is quite challenging. Having more detailed information or a centralised database would be extremely beneficial for companies looking to enhance their inclusive practices.</w:t>
            </w:r>
            <w:bookmarkEnd w:id="194"/>
          </w:p>
        </w:tc>
      </w:tr>
      <w:tr w:rsidR="003F5EF0" w:rsidRPr="0053072D" w14:paraId="31586BAF" w14:textId="77777777" w:rsidTr="5583D54B">
        <w:tc>
          <w:tcPr>
            <w:tcW w:w="2122" w:type="dxa"/>
            <w:tcBorders>
              <w:bottom w:val="nil"/>
            </w:tcBorders>
          </w:tcPr>
          <w:p w14:paraId="20C5505F" w14:textId="78BB0C8F" w:rsidR="003F5EF0" w:rsidRPr="00B30B11" w:rsidRDefault="003F5EF0" w:rsidP="00EE453C">
            <w:pPr>
              <w:keepNext/>
              <w:keepLines/>
              <w:spacing w:after="120"/>
              <w:ind w:left="11"/>
              <w:outlineLvl w:val="1"/>
              <w:rPr>
                <w:rFonts w:eastAsia="Times New Roman" w:cs="Arial"/>
                <w:color w:val="000000"/>
                <w:lang w:val="en-ID" w:eastAsia="en-ID"/>
              </w:rPr>
            </w:pPr>
            <w:bookmarkStart w:id="195" w:name="_Toc173318374"/>
            <w:r w:rsidRPr="00B30B11">
              <w:rPr>
                <w:rFonts w:eastAsia="Times New Roman" w:cs="Arial"/>
                <w:color w:val="000000"/>
                <w:lang w:val="en-ID" w:eastAsia="en-ID"/>
              </w:rPr>
              <w:t xml:space="preserve">Policy initiatives (which may include support to the </w:t>
            </w:r>
            <w:r w:rsidRPr="00B30B11">
              <w:rPr>
                <w:rFonts w:eastAsia="Times New Roman" w:cs="Arial"/>
                <w:color w:val="000000"/>
                <w:lang w:eastAsia="en-ID"/>
              </w:rPr>
              <w:t>National Development Planning Agency (</w:t>
            </w:r>
            <w:r w:rsidRPr="00B30B11">
              <w:rPr>
                <w:rFonts w:eastAsia="Times New Roman" w:cs="Arial"/>
                <w:color w:val="000000"/>
                <w:lang w:val="en-ID" w:eastAsia="en-ID"/>
              </w:rPr>
              <w:t>Bappenas)/the MoA</w:t>
            </w:r>
            <w:bookmarkEnd w:id="195"/>
          </w:p>
        </w:tc>
        <w:tc>
          <w:tcPr>
            <w:tcW w:w="2835" w:type="dxa"/>
          </w:tcPr>
          <w:p w14:paraId="4CA91EDC" w14:textId="38F6D0DC" w:rsidR="003F5EF0" w:rsidRPr="00B30B11" w:rsidRDefault="003F5EF0" w:rsidP="00EE453C">
            <w:pPr>
              <w:keepNext/>
              <w:keepLines/>
              <w:spacing w:after="120"/>
              <w:ind w:left="11"/>
              <w:outlineLvl w:val="1"/>
              <w:rPr>
                <w:rFonts w:eastAsia="Times New Roman" w:cs="Arial"/>
                <w:color w:val="000000"/>
                <w:lang w:val="en-ID" w:eastAsia="en-ID"/>
              </w:rPr>
            </w:pPr>
            <w:bookmarkStart w:id="196" w:name="_Toc173318375"/>
            <w:r w:rsidRPr="00B30B11">
              <w:rPr>
                <w:rFonts w:eastAsia="Times New Roman" w:cs="Arial"/>
                <w:color w:val="000000"/>
                <w:lang w:val="en-ID" w:eastAsia="en-ID"/>
              </w:rPr>
              <w:t>Nudging companies to expand their distribution networks into NTB</w:t>
            </w:r>
            <w:bookmarkEnd w:id="196"/>
          </w:p>
        </w:tc>
        <w:tc>
          <w:tcPr>
            <w:tcW w:w="2698" w:type="dxa"/>
          </w:tcPr>
          <w:p w14:paraId="0F11A94E" w14:textId="77777777" w:rsidR="003F5EF0" w:rsidRPr="00B30B11" w:rsidRDefault="003F5EF0" w:rsidP="00EE453C">
            <w:pPr>
              <w:keepNext/>
              <w:keepLines/>
              <w:spacing w:after="120"/>
              <w:ind w:left="11"/>
              <w:outlineLvl w:val="1"/>
              <w:rPr>
                <w:rFonts w:eastAsia="Times New Roman" w:cs="Arial"/>
                <w:color w:val="000000"/>
                <w:lang w:val="en-ID" w:eastAsia="en-ID"/>
              </w:rPr>
            </w:pPr>
            <w:bookmarkStart w:id="197" w:name="_Toc173318376"/>
            <w:r w:rsidRPr="00B30B11">
              <w:rPr>
                <w:rFonts w:eastAsia="Times New Roman" w:cs="Arial"/>
                <w:color w:val="000000"/>
                <w:lang w:val="en-ID" w:eastAsia="en-ID"/>
              </w:rPr>
              <w:t>Conduct policy dialogue on the cattle development sector in NTB to develop policy options and action plans.</w:t>
            </w:r>
            <w:bookmarkEnd w:id="197"/>
            <w:r w:rsidRPr="00B30B11">
              <w:rPr>
                <w:rFonts w:eastAsia="Times New Roman" w:cs="Arial"/>
                <w:color w:val="000000"/>
                <w:lang w:val="en-ID" w:eastAsia="en-ID"/>
              </w:rPr>
              <w:t xml:space="preserve"> </w:t>
            </w:r>
          </w:p>
        </w:tc>
        <w:tc>
          <w:tcPr>
            <w:tcW w:w="3118" w:type="dxa"/>
          </w:tcPr>
          <w:p w14:paraId="3398BE79" w14:textId="682824C3" w:rsidR="003F5EF0" w:rsidRPr="00B30B11" w:rsidRDefault="003F5EF0" w:rsidP="00B30B11">
            <w:pPr>
              <w:keepNext/>
              <w:keepLines/>
              <w:spacing w:after="80"/>
              <w:ind w:left="178"/>
              <w:outlineLvl w:val="1"/>
              <w:rPr>
                <w:rFonts w:eastAsia="Times New Roman" w:cs="Arial"/>
                <w:color w:val="000000"/>
                <w:lang w:val="en-ID" w:eastAsia="en-ID"/>
              </w:rPr>
            </w:pPr>
            <w:bookmarkStart w:id="198" w:name="_Toc173318377"/>
            <w:r w:rsidRPr="00B30B11">
              <w:rPr>
                <w:rFonts w:eastAsia="Times New Roman" w:cs="Arial"/>
                <w:color w:val="000000"/>
                <w:lang w:val="en-ID" w:eastAsia="en-ID"/>
              </w:rPr>
              <w:t>Policy dialogue workshops</w:t>
            </w:r>
            <w:bookmarkEnd w:id="198"/>
          </w:p>
          <w:p w14:paraId="05CFF716" w14:textId="57636C74" w:rsidR="003F5EF0" w:rsidRPr="00B30B11" w:rsidRDefault="003F5EF0" w:rsidP="00B30B11">
            <w:pPr>
              <w:keepNext/>
              <w:keepLines/>
              <w:spacing w:after="80"/>
              <w:ind w:left="178"/>
              <w:outlineLvl w:val="1"/>
              <w:rPr>
                <w:rFonts w:eastAsia="Times New Roman" w:cs="Arial"/>
                <w:color w:val="000000"/>
                <w:lang w:val="en-ID" w:eastAsia="en-ID"/>
              </w:rPr>
            </w:pPr>
            <w:bookmarkStart w:id="199" w:name="_Toc173318378"/>
            <w:r w:rsidRPr="00B30B11">
              <w:rPr>
                <w:rFonts w:eastAsia="Times New Roman" w:cs="Arial"/>
                <w:color w:val="000000"/>
                <w:lang w:val="en-ID" w:eastAsia="en-ID"/>
              </w:rPr>
              <w:t>Policy briefs and action plans</w:t>
            </w:r>
            <w:bookmarkEnd w:id="199"/>
          </w:p>
        </w:tc>
        <w:tc>
          <w:tcPr>
            <w:tcW w:w="3787" w:type="dxa"/>
          </w:tcPr>
          <w:p w14:paraId="1646B347" w14:textId="14B66EF9" w:rsidR="003F5EF0" w:rsidRPr="00B30B11" w:rsidRDefault="003F5EF0" w:rsidP="00B30B11">
            <w:pPr>
              <w:keepNext/>
              <w:keepLines/>
              <w:spacing w:after="120"/>
              <w:ind w:left="11"/>
              <w:outlineLvl w:val="1"/>
              <w:rPr>
                <w:rFonts w:eastAsia="Times New Roman" w:cs="Arial"/>
                <w:color w:val="000000"/>
                <w:lang w:val="en-ID" w:eastAsia="en-ID"/>
              </w:rPr>
            </w:pPr>
            <w:bookmarkStart w:id="200" w:name="_Toc173318379"/>
            <w:r w:rsidRPr="00B30B11">
              <w:rPr>
                <w:rFonts w:eastAsia="Times New Roman" w:cs="Arial"/>
                <w:color w:val="000000"/>
                <w:lang w:val="en-ID" w:eastAsia="en-ID"/>
              </w:rPr>
              <w:t>Progress on this activity, including new opportunities with universities (Nadhlatul Wathan University [UNW] and Brawijaya), is documented in Section 2.5.1: High-priority policy initiatives.</w:t>
            </w:r>
            <w:bookmarkEnd w:id="200"/>
          </w:p>
        </w:tc>
      </w:tr>
      <w:tr w:rsidR="003F5EF0" w:rsidRPr="0053072D" w14:paraId="1E605D86" w14:textId="77777777" w:rsidTr="5583D54B">
        <w:tc>
          <w:tcPr>
            <w:tcW w:w="2122" w:type="dxa"/>
            <w:tcBorders>
              <w:top w:val="nil"/>
              <w:bottom w:val="nil"/>
            </w:tcBorders>
          </w:tcPr>
          <w:p w14:paraId="2827D797" w14:textId="77777777" w:rsidR="003F5EF0" w:rsidRPr="00B30B11" w:rsidRDefault="003F5EF0" w:rsidP="00EE453C">
            <w:pPr>
              <w:keepNext/>
              <w:keepLines/>
              <w:spacing w:after="120"/>
              <w:ind w:left="11"/>
              <w:outlineLvl w:val="1"/>
              <w:rPr>
                <w:rFonts w:eastAsia="Times New Roman" w:cs="Arial"/>
                <w:color w:val="000000"/>
                <w:lang w:val="en-ID" w:eastAsia="en-ID"/>
              </w:rPr>
            </w:pPr>
          </w:p>
        </w:tc>
        <w:tc>
          <w:tcPr>
            <w:tcW w:w="2835" w:type="dxa"/>
            <w:tcBorders>
              <w:bottom w:val="single" w:sz="2" w:space="0" w:color="272A5F"/>
            </w:tcBorders>
          </w:tcPr>
          <w:p w14:paraId="1B868C7B" w14:textId="77777777" w:rsidR="003F5EF0" w:rsidRPr="00B30B11" w:rsidRDefault="003F5EF0" w:rsidP="00EE453C">
            <w:pPr>
              <w:keepNext/>
              <w:keepLines/>
              <w:spacing w:after="120"/>
              <w:ind w:left="11"/>
              <w:outlineLvl w:val="1"/>
              <w:rPr>
                <w:rFonts w:eastAsia="Times New Roman" w:cs="Arial"/>
                <w:color w:val="000000"/>
                <w:lang w:val="en-ID" w:eastAsia="en-ID"/>
              </w:rPr>
            </w:pPr>
            <w:bookmarkStart w:id="201" w:name="_Toc173318380"/>
            <w:r w:rsidRPr="00B30B11">
              <w:rPr>
                <w:rFonts w:eastAsia="Times New Roman" w:cs="Arial"/>
                <w:color w:val="000000"/>
                <w:lang w:val="en-ID" w:eastAsia="en-ID"/>
              </w:rPr>
              <w:t xml:space="preserve">Supporting the East Nusa Tenggara (NTT) </w:t>
            </w:r>
            <w:r w:rsidRPr="00B30B11">
              <w:rPr>
                <w:rFonts w:eastAsia="Times New Roman" w:cs="Arial"/>
                <w:color w:val="000000"/>
                <w:lang w:val="en-ID" w:eastAsia="en-ID"/>
              </w:rPr>
              <w:lastRenderedPageBreak/>
              <w:t>government in developing an enabling environment to induce private sector investment in the cattle sector</w:t>
            </w:r>
            <w:bookmarkEnd w:id="201"/>
            <w:r w:rsidRPr="00B30B11">
              <w:rPr>
                <w:rFonts w:eastAsia="Times New Roman" w:cs="Arial"/>
                <w:color w:val="000000"/>
                <w:lang w:val="en-ID" w:eastAsia="en-ID"/>
              </w:rPr>
              <w:t xml:space="preserve"> </w:t>
            </w:r>
          </w:p>
        </w:tc>
        <w:tc>
          <w:tcPr>
            <w:tcW w:w="2698" w:type="dxa"/>
          </w:tcPr>
          <w:p w14:paraId="13C80F3F" w14:textId="1206D4CA" w:rsidR="003F5EF0" w:rsidRPr="00B30B11" w:rsidRDefault="003F5EF0" w:rsidP="00EE453C">
            <w:pPr>
              <w:keepNext/>
              <w:keepLines/>
              <w:spacing w:after="120"/>
              <w:ind w:left="11"/>
              <w:outlineLvl w:val="1"/>
              <w:rPr>
                <w:rFonts w:eastAsia="Times New Roman" w:cs="Arial"/>
                <w:color w:val="000000"/>
                <w:lang w:val="en-ID" w:eastAsia="en-ID"/>
              </w:rPr>
            </w:pPr>
            <w:bookmarkStart w:id="202" w:name="_Toc173318381"/>
            <w:r w:rsidRPr="00B30B11">
              <w:rPr>
                <w:rFonts w:eastAsia="Times New Roman" w:cs="Arial"/>
                <w:color w:val="000000"/>
                <w:lang w:val="en-ID" w:eastAsia="en-ID"/>
              </w:rPr>
              <w:lastRenderedPageBreak/>
              <w:t xml:space="preserve">Organise workshops and coordination meetings </w:t>
            </w:r>
            <w:r w:rsidRPr="00B30B11">
              <w:rPr>
                <w:rFonts w:eastAsia="Times New Roman" w:cs="Arial"/>
                <w:color w:val="000000"/>
                <w:lang w:val="en-ID" w:eastAsia="en-ID"/>
              </w:rPr>
              <w:lastRenderedPageBreak/>
              <w:t>with various stakeholders to translate the NTT 2021-2029 cattle sector development roadmap and grand design into practical policy options and action plans.</w:t>
            </w:r>
            <w:bookmarkEnd w:id="202"/>
          </w:p>
        </w:tc>
        <w:tc>
          <w:tcPr>
            <w:tcW w:w="3118" w:type="dxa"/>
          </w:tcPr>
          <w:p w14:paraId="7CFD9F14" w14:textId="46CF2500" w:rsidR="003F5EF0" w:rsidRPr="00B30B11" w:rsidRDefault="003F5EF0" w:rsidP="00B30B11">
            <w:pPr>
              <w:keepNext/>
              <w:keepLines/>
              <w:spacing w:after="80"/>
              <w:ind w:left="178"/>
              <w:outlineLvl w:val="1"/>
              <w:rPr>
                <w:rFonts w:eastAsia="Times New Roman" w:cs="Arial"/>
                <w:color w:val="000000"/>
                <w:lang w:val="en-ID" w:eastAsia="en-ID"/>
              </w:rPr>
            </w:pPr>
            <w:bookmarkStart w:id="203" w:name="_Toc173318382"/>
            <w:r w:rsidRPr="00B30B11">
              <w:rPr>
                <w:rFonts w:eastAsia="Times New Roman" w:cs="Arial"/>
                <w:color w:val="000000"/>
                <w:lang w:val="en-ID" w:eastAsia="en-ID"/>
              </w:rPr>
              <w:lastRenderedPageBreak/>
              <w:t>Workshops and coordination meetings</w:t>
            </w:r>
            <w:bookmarkEnd w:id="203"/>
          </w:p>
          <w:p w14:paraId="28CCAF23" w14:textId="77777777" w:rsidR="003F5EF0" w:rsidRPr="00B30B11" w:rsidRDefault="003F5EF0" w:rsidP="00B30B11">
            <w:pPr>
              <w:keepNext/>
              <w:keepLines/>
              <w:spacing w:after="80"/>
              <w:ind w:left="178"/>
              <w:outlineLvl w:val="1"/>
              <w:rPr>
                <w:rFonts w:eastAsia="Times New Roman" w:cs="Arial"/>
                <w:color w:val="000000"/>
                <w:lang w:val="en-ID" w:eastAsia="en-ID"/>
              </w:rPr>
            </w:pPr>
            <w:bookmarkStart w:id="204" w:name="_Toc173318383"/>
            <w:r w:rsidRPr="00B30B11">
              <w:rPr>
                <w:rFonts w:eastAsia="Times New Roman" w:cs="Arial"/>
                <w:color w:val="000000"/>
                <w:lang w:val="en-ID" w:eastAsia="en-ID"/>
              </w:rPr>
              <w:lastRenderedPageBreak/>
              <w:t>Policy briefs and action plans</w:t>
            </w:r>
            <w:bookmarkEnd w:id="204"/>
            <w:r w:rsidRPr="00B30B11">
              <w:rPr>
                <w:rFonts w:eastAsia="Times New Roman" w:cs="Arial"/>
                <w:color w:val="000000"/>
                <w:lang w:val="en-ID" w:eastAsia="en-ID"/>
              </w:rPr>
              <w:t xml:space="preserve"> </w:t>
            </w:r>
          </w:p>
        </w:tc>
        <w:tc>
          <w:tcPr>
            <w:tcW w:w="3787" w:type="dxa"/>
          </w:tcPr>
          <w:p w14:paraId="4F67A8B5" w14:textId="499B6E0E" w:rsidR="003F5EF0" w:rsidRPr="00B30B11" w:rsidRDefault="003F5EF0" w:rsidP="00B30B11">
            <w:pPr>
              <w:keepNext/>
              <w:keepLines/>
              <w:spacing w:after="120"/>
              <w:ind w:left="11"/>
              <w:outlineLvl w:val="1"/>
              <w:rPr>
                <w:rFonts w:eastAsia="Times New Roman" w:cs="Arial"/>
                <w:color w:val="000000"/>
                <w:lang w:val="en-ID" w:eastAsia="en-ID"/>
              </w:rPr>
            </w:pPr>
            <w:bookmarkStart w:id="205" w:name="_Toc173318384"/>
            <w:r w:rsidRPr="00B30B11">
              <w:rPr>
                <w:rFonts w:eastAsia="Times New Roman" w:cs="Arial"/>
                <w:color w:val="000000"/>
                <w:lang w:val="en-ID" w:eastAsia="en-ID"/>
              </w:rPr>
              <w:lastRenderedPageBreak/>
              <w:t xml:space="preserve">PRISMA supported the NTT government in organizing a study </w:t>
            </w:r>
            <w:r w:rsidRPr="00B30B11">
              <w:rPr>
                <w:rFonts w:eastAsia="Times New Roman" w:cs="Arial"/>
                <w:color w:val="000000"/>
                <w:lang w:val="en-ID" w:eastAsia="en-ID"/>
              </w:rPr>
              <w:lastRenderedPageBreak/>
              <w:t>and focus group discussion (FGD) in Kupang with multiple stakeholders, including national, provincial, and district governments, as well as the private sector. Consultants are currently developing policy briefs and action plans to support evidence-based policy.</w:t>
            </w:r>
            <w:bookmarkEnd w:id="205"/>
          </w:p>
          <w:p w14:paraId="56BFFD2C" w14:textId="13E13BEF" w:rsidR="003F5EF0" w:rsidRPr="00B30B11" w:rsidRDefault="003F5EF0" w:rsidP="00B30B11">
            <w:pPr>
              <w:keepNext/>
              <w:keepLines/>
              <w:spacing w:after="120"/>
              <w:ind w:left="11"/>
              <w:outlineLvl w:val="1"/>
              <w:rPr>
                <w:rFonts w:eastAsia="Times New Roman" w:cs="Arial"/>
                <w:color w:val="000000"/>
                <w:lang w:val="en-ID" w:eastAsia="en-ID"/>
              </w:rPr>
            </w:pPr>
            <w:bookmarkStart w:id="206" w:name="_Toc173318385"/>
            <w:r w:rsidRPr="00B30B11">
              <w:rPr>
                <w:rFonts w:eastAsia="Times New Roman" w:cs="Arial"/>
                <w:color w:val="000000"/>
                <w:lang w:val="en-ID" w:eastAsia="en-ID"/>
              </w:rPr>
              <w:t>The government faces a challenge in aligning its goals with the private sector. The private sector is seeking a more affordable buying price at the farmer level, while the local government aims to increase the buying price at the farmer level through a more regulated market for price and cattle minimum requirements. The policy is seeking a compromise that allows farmers to benefit while enabling the private sector to continue driving growth.</w:t>
            </w:r>
            <w:bookmarkEnd w:id="206"/>
          </w:p>
        </w:tc>
      </w:tr>
      <w:tr w:rsidR="003F5EF0" w:rsidRPr="0053072D" w14:paraId="12DDAC9E" w14:textId="77777777" w:rsidTr="5583D54B">
        <w:tc>
          <w:tcPr>
            <w:tcW w:w="2122" w:type="dxa"/>
            <w:tcBorders>
              <w:top w:val="nil"/>
              <w:bottom w:val="nil"/>
            </w:tcBorders>
          </w:tcPr>
          <w:p w14:paraId="71F09DAA" w14:textId="77777777" w:rsidR="003F5EF0" w:rsidRPr="00B30B11" w:rsidRDefault="003F5EF0" w:rsidP="00EE453C">
            <w:pPr>
              <w:keepNext/>
              <w:keepLines/>
              <w:spacing w:after="120"/>
              <w:ind w:left="11"/>
              <w:outlineLvl w:val="1"/>
              <w:rPr>
                <w:rFonts w:eastAsia="Times New Roman" w:cs="Arial"/>
                <w:color w:val="000000"/>
                <w:lang w:val="en-ID" w:eastAsia="en-ID"/>
              </w:rPr>
            </w:pPr>
          </w:p>
        </w:tc>
        <w:tc>
          <w:tcPr>
            <w:tcW w:w="2835" w:type="dxa"/>
            <w:tcBorders>
              <w:bottom w:val="nil"/>
            </w:tcBorders>
          </w:tcPr>
          <w:p w14:paraId="36DD879B" w14:textId="77777777" w:rsidR="003F5EF0" w:rsidRPr="00B30B11" w:rsidRDefault="003F5EF0" w:rsidP="00EE453C">
            <w:pPr>
              <w:keepNext/>
              <w:keepLines/>
              <w:spacing w:after="120"/>
              <w:ind w:left="11"/>
              <w:outlineLvl w:val="1"/>
              <w:rPr>
                <w:rFonts w:eastAsia="Times New Roman" w:cs="Arial"/>
                <w:color w:val="000000"/>
                <w:lang w:val="en-ID" w:eastAsia="en-ID"/>
              </w:rPr>
            </w:pPr>
            <w:bookmarkStart w:id="207" w:name="_Toc173318386"/>
            <w:r w:rsidRPr="00B30B11">
              <w:rPr>
                <w:rFonts w:eastAsia="Times New Roman" w:cs="Arial"/>
                <w:color w:val="000000"/>
                <w:lang w:val="en-ID" w:eastAsia="en-ID"/>
              </w:rPr>
              <w:t>Improving feed producers’ capacity to comply with the SNI and good feed manufacturing practices (GFMP)</w:t>
            </w:r>
            <w:bookmarkEnd w:id="207"/>
            <w:r w:rsidRPr="00B30B11">
              <w:rPr>
                <w:rFonts w:eastAsia="Times New Roman" w:cs="Arial"/>
                <w:color w:val="000000"/>
                <w:lang w:val="en-ID" w:eastAsia="en-ID"/>
              </w:rPr>
              <w:t xml:space="preserve"> </w:t>
            </w:r>
          </w:p>
        </w:tc>
        <w:tc>
          <w:tcPr>
            <w:tcW w:w="2698" w:type="dxa"/>
          </w:tcPr>
          <w:p w14:paraId="6BA82118" w14:textId="238119FB" w:rsidR="003F5EF0" w:rsidRPr="00B30B11" w:rsidRDefault="003F5EF0" w:rsidP="00EE453C">
            <w:pPr>
              <w:keepNext/>
              <w:keepLines/>
              <w:spacing w:after="120"/>
              <w:ind w:left="11"/>
              <w:outlineLvl w:val="1"/>
              <w:rPr>
                <w:rFonts w:eastAsia="Times New Roman" w:cs="Arial"/>
                <w:color w:val="000000"/>
                <w:lang w:val="en-ID" w:eastAsia="en-ID"/>
              </w:rPr>
            </w:pPr>
            <w:bookmarkStart w:id="208" w:name="_Toc173318387"/>
            <w:r w:rsidRPr="00B30B11">
              <w:rPr>
                <w:rFonts w:eastAsia="Times New Roman" w:cs="Arial"/>
                <w:color w:val="000000"/>
                <w:lang w:val="en-ID" w:eastAsia="en-ID"/>
              </w:rPr>
              <w:t>Develop operational guidelines and training modules on SNI and GFMP through collaborations with the MoA, industry associations and universities.</w:t>
            </w:r>
            <w:bookmarkEnd w:id="208"/>
          </w:p>
        </w:tc>
        <w:tc>
          <w:tcPr>
            <w:tcW w:w="3118" w:type="dxa"/>
          </w:tcPr>
          <w:p w14:paraId="2C0A831E" w14:textId="491612F1" w:rsidR="003F5EF0" w:rsidRPr="00B30B11" w:rsidRDefault="003F5EF0" w:rsidP="00B30B11">
            <w:pPr>
              <w:keepNext/>
              <w:keepLines/>
              <w:spacing w:after="80"/>
              <w:ind w:left="178"/>
              <w:outlineLvl w:val="1"/>
              <w:rPr>
                <w:rFonts w:eastAsia="Times New Roman" w:cs="Arial"/>
                <w:color w:val="000000"/>
                <w:lang w:val="en-ID" w:eastAsia="en-ID"/>
              </w:rPr>
            </w:pPr>
            <w:bookmarkStart w:id="209" w:name="_Toc173318388"/>
            <w:r w:rsidRPr="00B30B11">
              <w:rPr>
                <w:rFonts w:eastAsia="Times New Roman" w:cs="Arial"/>
                <w:color w:val="000000"/>
                <w:lang w:val="en-ID" w:eastAsia="en-ID"/>
              </w:rPr>
              <w:t xml:space="preserve">Workshops </w:t>
            </w:r>
            <w:r w:rsidRPr="00B30B11">
              <w:rPr>
                <w:rFonts w:eastAsia="Times New Roman" w:cs="Arial"/>
                <w:color w:val="000000"/>
                <w:lang w:val="en-ID" w:eastAsia="en-ID"/>
              </w:rPr>
              <w:br/>
              <w:t>operational guidelines and training modules (booklet and video)</w:t>
            </w:r>
            <w:bookmarkEnd w:id="209"/>
          </w:p>
        </w:tc>
        <w:tc>
          <w:tcPr>
            <w:tcW w:w="3787" w:type="dxa"/>
          </w:tcPr>
          <w:p w14:paraId="2A54D0DE" w14:textId="21C26530" w:rsidR="003F5EF0" w:rsidRPr="00B30B11" w:rsidRDefault="003F5EF0" w:rsidP="00B30B11">
            <w:pPr>
              <w:keepNext/>
              <w:keepLines/>
              <w:spacing w:after="120"/>
              <w:ind w:left="11"/>
              <w:outlineLvl w:val="1"/>
              <w:rPr>
                <w:rFonts w:eastAsia="Times New Roman" w:cs="Arial"/>
                <w:color w:val="000000"/>
                <w:lang w:val="en-ID" w:eastAsia="en-ID"/>
              </w:rPr>
            </w:pPr>
            <w:bookmarkStart w:id="210" w:name="_Toc173318389"/>
            <w:r w:rsidRPr="00B30B11">
              <w:rPr>
                <w:rFonts w:eastAsia="Times New Roman" w:cs="Arial"/>
                <w:color w:val="000000"/>
                <w:lang w:val="en-ID" w:eastAsia="en-ID"/>
              </w:rPr>
              <w:t xml:space="preserve">PRISMA assisted the Ministry of Agriculture in creating guidelines through a comprehensive process involving multiple teams within the ministry and feed industry representatives from October 2023 to February 2024. This effort resulted in the launch of the guidelines and training modules. It signifies PRISMA's continued commitment to promoting systemic change and sustainability in the </w:t>
            </w:r>
            <w:r w:rsidRPr="00B30B11">
              <w:rPr>
                <w:rFonts w:eastAsia="Times New Roman" w:cs="Arial"/>
                <w:color w:val="000000"/>
                <w:lang w:val="en-ID" w:eastAsia="en-ID"/>
              </w:rPr>
              <w:lastRenderedPageBreak/>
              <w:t>production, sale, and use of high-quality feed in the beef sector.</w:t>
            </w:r>
            <w:bookmarkEnd w:id="210"/>
          </w:p>
        </w:tc>
      </w:tr>
      <w:tr w:rsidR="003F5EF0" w:rsidRPr="0053072D" w14:paraId="3DF02D95" w14:textId="77777777" w:rsidTr="5583D54B">
        <w:tc>
          <w:tcPr>
            <w:tcW w:w="2122" w:type="dxa"/>
            <w:tcBorders>
              <w:top w:val="nil"/>
              <w:bottom w:val="nil"/>
            </w:tcBorders>
          </w:tcPr>
          <w:p w14:paraId="5D33E650" w14:textId="77777777" w:rsidR="003F5EF0" w:rsidRPr="00B30B11" w:rsidRDefault="003F5EF0" w:rsidP="00EE453C">
            <w:pPr>
              <w:keepNext/>
              <w:keepLines/>
              <w:spacing w:after="120"/>
              <w:ind w:left="11"/>
              <w:outlineLvl w:val="1"/>
              <w:rPr>
                <w:rFonts w:eastAsia="Times New Roman" w:cs="Arial"/>
                <w:color w:val="000000"/>
                <w:lang w:val="en-ID" w:eastAsia="en-ID"/>
              </w:rPr>
            </w:pPr>
          </w:p>
        </w:tc>
        <w:tc>
          <w:tcPr>
            <w:tcW w:w="2835" w:type="dxa"/>
            <w:tcBorders>
              <w:top w:val="nil"/>
              <w:bottom w:val="nil"/>
            </w:tcBorders>
          </w:tcPr>
          <w:p w14:paraId="2B177EC1" w14:textId="77777777" w:rsidR="003F5EF0" w:rsidRPr="00B30B11" w:rsidRDefault="003F5EF0" w:rsidP="00EE453C">
            <w:pPr>
              <w:keepNext/>
              <w:keepLines/>
              <w:spacing w:after="120"/>
              <w:ind w:left="11"/>
              <w:outlineLvl w:val="1"/>
              <w:rPr>
                <w:rFonts w:eastAsia="Times New Roman" w:cs="Arial"/>
                <w:color w:val="000000"/>
                <w:lang w:val="en-ID" w:eastAsia="en-ID"/>
              </w:rPr>
            </w:pPr>
          </w:p>
        </w:tc>
        <w:tc>
          <w:tcPr>
            <w:tcW w:w="2698" w:type="dxa"/>
          </w:tcPr>
          <w:p w14:paraId="3F6676F9" w14:textId="7AC9FB12" w:rsidR="003F5EF0" w:rsidRPr="00B30B11" w:rsidRDefault="003F5EF0" w:rsidP="00EE453C">
            <w:pPr>
              <w:keepNext/>
              <w:keepLines/>
              <w:spacing w:after="120"/>
              <w:ind w:left="11"/>
              <w:outlineLvl w:val="1"/>
              <w:rPr>
                <w:rFonts w:eastAsia="Times New Roman" w:cs="Arial"/>
                <w:color w:val="000000"/>
                <w:lang w:val="en-ID" w:eastAsia="en-ID"/>
              </w:rPr>
            </w:pPr>
            <w:bookmarkStart w:id="211" w:name="_Toc173318390"/>
            <w:r w:rsidRPr="00B30B11">
              <w:rPr>
                <w:rFonts w:eastAsia="Times New Roman" w:cs="Arial"/>
                <w:color w:val="000000"/>
                <w:lang w:val="en-ID" w:eastAsia="en-ID"/>
              </w:rPr>
              <w:t>Conduct capacity building through training of trainers (ToT) for the MoA, industry associations, and university master trainers, and auditor training for feed certification.</w:t>
            </w:r>
            <w:bookmarkEnd w:id="211"/>
          </w:p>
        </w:tc>
        <w:tc>
          <w:tcPr>
            <w:tcW w:w="3118" w:type="dxa"/>
          </w:tcPr>
          <w:p w14:paraId="58EF0586" w14:textId="77777777" w:rsidR="003F5EF0" w:rsidRPr="00B30B11" w:rsidRDefault="003F5EF0" w:rsidP="00B30B11">
            <w:pPr>
              <w:keepNext/>
              <w:keepLines/>
              <w:spacing w:after="80"/>
              <w:ind w:left="178"/>
              <w:outlineLvl w:val="1"/>
              <w:rPr>
                <w:rFonts w:eastAsia="Times New Roman" w:cs="Arial"/>
                <w:color w:val="000000"/>
                <w:lang w:val="en-ID" w:eastAsia="en-ID"/>
              </w:rPr>
            </w:pPr>
            <w:bookmarkStart w:id="212" w:name="_Toc173318391"/>
            <w:r w:rsidRPr="00B30B11">
              <w:rPr>
                <w:rFonts w:eastAsia="Times New Roman" w:cs="Arial"/>
                <w:color w:val="000000"/>
                <w:lang w:val="en-ID" w:eastAsia="en-ID"/>
              </w:rPr>
              <w:t>ToT and auditor training</w:t>
            </w:r>
            <w:bookmarkEnd w:id="212"/>
            <w:r w:rsidRPr="00B30B11">
              <w:rPr>
                <w:rFonts w:eastAsia="Times New Roman" w:cs="Arial"/>
                <w:color w:val="000000"/>
                <w:lang w:val="en-ID" w:eastAsia="en-ID"/>
              </w:rPr>
              <w:t xml:space="preserve"> </w:t>
            </w:r>
          </w:p>
        </w:tc>
        <w:tc>
          <w:tcPr>
            <w:tcW w:w="3787" w:type="dxa"/>
          </w:tcPr>
          <w:p w14:paraId="64B3C210" w14:textId="792DDE7F" w:rsidR="003F5EF0" w:rsidRPr="00174A3E" w:rsidRDefault="003F5EF0" w:rsidP="00B30B11">
            <w:pPr>
              <w:keepNext/>
              <w:keepLines/>
              <w:spacing w:after="120"/>
              <w:ind w:left="11"/>
              <w:outlineLvl w:val="1"/>
              <w:rPr>
                <w:rFonts w:eastAsia="Times New Roman" w:cs="Arial"/>
                <w:color w:val="000000"/>
                <w:lang w:val="en-ID" w:eastAsia="en-ID"/>
              </w:rPr>
            </w:pPr>
            <w:bookmarkStart w:id="213" w:name="_Toc173318392"/>
            <w:r w:rsidRPr="00B30B11">
              <w:rPr>
                <w:rFonts w:eastAsia="Times New Roman" w:cs="Arial"/>
                <w:color w:val="000000"/>
                <w:lang w:val="en-ID" w:eastAsia="en-ID"/>
              </w:rPr>
              <w:t xml:space="preserve">PRISMA supported the Ministry of Agriculture (MoA) in conducting lead auditor training and certification for 12 master feed quality assessors from the MoA. In March, a hybrid Training of Trainers (ToT) for feed quality assessors (Wastukan) was held in Semarang and Surabaya, as well as online, allowing over 350 participants to join the training. The participants provided positive feedback, with approximately 94.2% stating that the training benefited their work, and 84.1% confirming that they are now more confident in guiding </w:t>
            </w:r>
            <w:r w:rsidRPr="00174A3E">
              <w:rPr>
                <w:rFonts w:eastAsia="Times New Roman" w:cs="Arial"/>
                <w:color w:val="000000"/>
                <w:lang w:val="en-ID" w:eastAsia="en-ID"/>
              </w:rPr>
              <w:t>feed producers through the feed registration process.</w:t>
            </w:r>
            <w:bookmarkEnd w:id="213"/>
          </w:p>
          <w:p w14:paraId="5F28DE97" w14:textId="5FF315BF" w:rsidR="003F5EF0" w:rsidRPr="00B30B11" w:rsidRDefault="76FB5796" w:rsidP="00B30B11">
            <w:pPr>
              <w:keepNext/>
              <w:keepLines/>
              <w:spacing w:after="120"/>
              <w:ind w:left="11"/>
              <w:outlineLvl w:val="1"/>
              <w:rPr>
                <w:rFonts w:eastAsia="Times New Roman" w:cs="Arial"/>
                <w:color w:val="000000"/>
                <w:lang w:val="en-ID" w:eastAsia="en-ID"/>
              </w:rPr>
            </w:pPr>
            <w:bookmarkStart w:id="214" w:name="_Toc173318393"/>
            <w:r w:rsidRPr="00174A3E">
              <w:rPr>
                <w:rFonts w:eastAsia="Times New Roman" w:cs="Arial"/>
                <w:color w:val="000000" w:themeColor="text2"/>
                <w:lang w:val="en-ID" w:eastAsia="en-ID"/>
              </w:rPr>
              <w:t xml:space="preserve">One of the challenges of this activity was </w:t>
            </w:r>
            <w:r w:rsidR="003B5943" w:rsidRPr="00174A3E">
              <w:rPr>
                <w:rFonts w:eastAsia="Times New Roman" w:cs="Arial"/>
                <w:color w:val="000000" w:themeColor="text2"/>
                <w:lang w:val="en-ID" w:eastAsia="en-ID"/>
              </w:rPr>
              <w:t xml:space="preserve">to ensure </w:t>
            </w:r>
            <w:r w:rsidR="0018777F" w:rsidRPr="00174A3E">
              <w:rPr>
                <w:rFonts w:eastAsia="Times New Roman" w:cs="Arial"/>
                <w:color w:val="000000" w:themeColor="text2"/>
                <w:lang w:val="en-ID" w:eastAsia="en-ID"/>
              </w:rPr>
              <w:t xml:space="preserve">the alignment on the needs, interest, and schedule </w:t>
            </w:r>
            <w:r w:rsidRPr="00174A3E">
              <w:rPr>
                <w:rFonts w:eastAsia="Times New Roman" w:cs="Arial"/>
                <w:color w:val="000000" w:themeColor="text2"/>
                <w:lang w:val="en-ID" w:eastAsia="en-ID"/>
              </w:rPr>
              <w:t>of multiple stakeholders from various internal MoA divisions, as well as livestock agencies at provincial and district levels. PRISMA and the MoA Feed Directorate had to maintain close communication</w:t>
            </w:r>
            <w:r w:rsidR="001C58AF" w:rsidRPr="00174A3E">
              <w:rPr>
                <w:rFonts w:eastAsia="Times New Roman" w:cs="Arial"/>
                <w:color w:val="000000" w:themeColor="text2"/>
                <w:lang w:val="en-ID" w:eastAsia="en-ID"/>
              </w:rPr>
              <w:t xml:space="preserve"> and coordination</w:t>
            </w:r>
            <w:r w:rsidRPr="00174A3E">
              <w:rPr>
                <w:rFonts w:eastAsia="Times New Roman" w:cs="Arial"/>
                <w:color w:val="000000" w:themeColor="text2"/>
                <w:lang w:val="en-ID" w:eastAsia="en-ID"/>
              </w:rPr>
              <w:t xml:space="preserve"> with all stakeholders</w:t>
            </w:r>
            <w:r w:rsidRPr="5583D54B">
              <w:rPr>
                <w:rFonts w:eastAsia="Times New Roman" w:cs="Arial"/>
                <w:color w:val="000000" w:themeColor="text2"/>
                <w:lang w:val="en-ID" w:eastAsia="en-ID"/>
              </w:rPr>
              <w:t xml:space="preserve"> to ensure mutual understanding regarding the training.</w:t>
            </w:r>
            <w:bookmarkEnd w:id="214"/>
          </w:p>
        </w:tc>
      </w:tr>
      <w:tr w:rsidR="003F5EF0" w:rsidRPr="0053072D" w14:paraId="269B5D5D" w14:textId="77777777" w:rsidTr="5583D54B">
        <w:tc>
          <w:tcPr>
            <w:tcW w:w="2122" w:type="dxa"/>
            <w:tcBorders>
              <w:top w:val="nil"/>
              <w:bottom w:val="nil"/>
            </w:tcBorders>
          </w:tcPr>
          <w:p w14:paraId="42118818" w14:textId="77777777" w:rsidR="003F5EF0" w:rsidRPr="00B30B11" w:rsidRDefault="003F5EF0" w:rsidP="00EE453C">
            <w:pPr>
              <w:keepNext/>
              <w:keepLines/>
              <w:spacing w:after="120"/>
              <w:ind w:left="11"/>
              <w:outlineLvl w:val="1"/>
              <w:rPr>
                <w:rFonts w:eastAsia="Times New Roman" w:cs="Arial"/>
                <w:color w:val="000000"/>
                <w:lang w:val="en-ID" w:eastAsia="en-ID"/>
              </w:rPr>
            </w:pPr>
          </w:p>
        </w:tc>
        <w:tc>
          <w:tcPr>
            <w:tcW w:w="2835" w:type="dxa"/>
            <w:tcBorders>
              <w:top w:val="nil"/>
              <w:bottom w:val="nil"/>
            </w:tcBorders>
          </w:tcPr>
          <w:p w14:paraId="359EC7D4" w14:textId="77777777" w:rsidR="003F5EF0" w:rsidRPr="00B30B11" w:rsidRDefault="003F5EF0" w:rsidP="00EE453C">
            <w:pPr>
              <w:keepNext/>
              <w:keepLines/>
              <w:spacing w:after="120"/>
              <w:outlineLvl w:val="1"/>
              <w:rPr>
                <w:rFonts w:eastAsia="Times New Roman" w:cs="Arial"/>
                <w:color w:val="000000"/>
                <w:lang w:val="en-ID" w:eastAsia="en-ID"/>
              </w:rPr>
            </w:pPr>
          </w:p>
        </w:tc>
        <w:tc>
          <w:tcPr>
            <w:tcW w:w="2698" w:type="dxa"/>
          </w:tcPr>
          <w:p w14:paraId="2764D1F4" w14:textId="77777777" w:rsidR="003F5EF0" w:rsidRPr="00B30B11" w:rsidRDefault="003F5EF0" w:rsidP="00EE453C">
            <w:pPr>
              <w:keepNext/>
              <w:keepLines/>
              <w:spacing w:after="120"/>
              <w:ind w:left="11"/>
              <w:outlineLvl w:val="1"/>
              <w:rPr>
                <w:rFonts w:eastAsia="Times New Roman" w:cs="Arial"/>
                <w:color w:val="000000"/>
                <w:lang w:val="en-ID" w:eastAsia="en-ID"/>
              </w:rPr>
            </w:pPr>
            <w:bookmarkStart w:id="215" w:name="_Toc173318394"/>
            <w:r w:rsidRPr="00B30B11">
              <w:rPr>
                <w:rFonts w:eastAsia="Times New Roman" w:cs="Arial"/>
                <w:color w:val="000000"/>
                <w:lang w:val="en-ID" w:eastAsia="en-ID"/>
              </w:rPr>
              <w:t xml:space="preserve">Pilot the training for technical guidance for </w:t>
            </w:r>
            <w:r w:rsidRPr="00B30B11">
              <w:rPr>
                <w:rFonts w:eastAsia="Times New Roman" w:cs="Arial"/>
                <w:color w:val="000000"/>
                <w:lang w:val="en-ID" w:eastAsia="en-ID"/>
              </w:rPr>
              <w:lastRenderedPageBreak/>
              <w:t>feed producers in selected regions, including assessing non-protein nitrogen (NPN) compliance feasibility.</w:t>
            </w:r>
            <w:bookmarkEnd w:id="215"/>
            <w:r w:rsidRPr="00B30B11">
              <w:rPr>
                <w:rFonts w:eastAsia="Times New Roman" w:cs="Arial"/>
                <w:color w:val="000000"/>
                <w:lang w:val="en-ID" w:eastAsia="en-ID"/>
              </w:rPr>
              <w:t xml:space="preserve"> </w:t>
            </w:r>
          </w:p>
        </w:tc>
        <w:tc>
          <w:tcPr>
            <w:tcW w:w="3118" w:type="dxa"/>
          </w:tcPr>
          <w:p w14:paraId="61D7517C" w14:textId="4E0F8392" w:rsidR="003F5EF0" w:rsidRPr="00B30B11" w:rsidRDefault="003F5EF0" w:rsidP="00B30B11">
            <w:pPr>
              <w:keepNext/>
              <w:keepLines/>
              <w:spacing w:after="80"/>
              <w:ind w:left="178"/>
              <w:outlineLvl w:val="1"/>
              <w:rPr>
                <w:rFonts w:eastAsia="Times New Roman" w:cs="Arial"/>
                <w:color w:val="000000"/>
                <w:lang w:val="en-ID" w:eastAsia="en-ID"/>
              </w:rPr>
            </w:pPr>
            <w:bookmarkStart w:id="216" w:name="_Toc173318395"/>
            <w:r w:rsidRPr="00B30B11">
              <w:rPr>
                <w:rFonts w:eastAsia="Times New Roman" w:cs="Arial"/>
                <w:color w:val="000000"/>
                <w:lang w:val="en-ID" w:eastAsia="en-ID"/>
              </w:rPr>
              <w:lastRenderedPageBreak/>
              <w:t>Technical guidance provided to feed producers</w:t>
            </w:r>
            <w:bookmarkEnd w:id="216"/>
          </w:p>
        </w:tc>
        <w:tc>
          <w:tcPr>
            <w:tcW w:w="3787" w:type="dxa"/>
          </w:tcPr>
          <w:p w14:paraId="47F1E999" w14:textId="77777777" w:rsidR="003F5EF0" w:rsidRPr="00B30B11" w:rsidRDefault="003F5EF0" w:rsidP="00B30B11">
            <w:pPr>
              <w:keepNext/>
              <w:keepLines/>
              <w:spacing w:after="120"/>
              <w:ind w:left="11"/>
              <w:outlineLvl w:val="1"/>
              <w:rPr>
                <w:rFonts w:cs="Arial"/>
                <w:color w:val="000000"/>
                <w:lang w:val="en-ID" w:eastAsia="en-ID"/>
              </w:rPr>
            </w:pPr>
          </w:p>
        </w:tc>
      </w:tr>
      <w:tr w:rsidR="003F5EF0" w:rsidRPr="0053072D" w14:paraId="79E97FBE" w14:textId="77777777" w:rsidTr="5583D54B">
        <w:tc>
          <w:tcPr>
            <w:tcW w:w="2122" w:type="dxa"/>
            <w:tcBorders>
              <w:top w:val="nil"/>
            </w:tcBorders>
          </w:tcPr>
          <w:p w14:paraId="315976E7" w14:textId="77777777" w:rsidR="003F5EF0" w:rsidRPr="00B30B11" w:rsidRDefault="003F5EF0" w:rsidP="00EE453C">
            <w:pPr>
              <w:keepNext/>
              <w:keepLines/>
              <w:spacing w:after="120"/>
              <w:ind w:left="11"/>
              <w:outlineLvl w:val="1"/>
              <w:rPr>
                <w:rFonts w:eastAsia="Times New Roman" w:cs="Arial"/>
                <w:color w:val="000000"/>
                <w:lang w:val="en-ID" w:eastAsia="en-ID"/>
              </w:rPr>
            </w:pPr>
          </w:p>
        </w:tc>
        <w:tc>
          <w:tcPr>
            <w:tcW w:w="2835" w:type="dxa"/>
            <w:tcBorders>
              <w:top w:val="nil"/>
            </w:tcBorders>
          </w:tcPr>
          <w:p w14:paraId="503345A6" w14:textId="77777777" w:rsidR="003F5EF0" w:rsidRPr="00B30B11" w:rsidRDefault="003F5EF0" w:rsidP="00EE453C">
            <w:pPr>
              <w:keepNext/>
              <w:keepLines/>
              <w:spacing w:after="120"/>
              <w:ind w:left="11"/>
              <w:outlineLvl w:val="1"/>
              <w:rPr>
                <w:rFonts w:eastAsia="Times New Roman" w:cs="Arial"/>
                <w:color w:val="000000"/>
                <w:lang w:val="en-ID" w:eastAsia="en-ID"/>
              </w:rPr>
            </w:pPr>
          </w:p>
        </w:tc>
        <w:tc>
          <w:tcPr>
            <w:tcW w:w="2698" w:type="dxa"/>
          </w:tcPr>
          <w:p w14:paraId="5A03C0F4" w14:textId="77777777" w:rsidR="003F5EF0" w:rsidRPr="00B30B11" w:rsidRDefault="003F5EF0" w:rsidP="00EE453C">
            <w:pPr>
              <w:keepNext/>
              <w:keepLines/>
              <w:spacing w:after="120"/>
              <w:ind w:left="11"/>
              <w:outlineLvl w:val="1"/>
              <w:rPr>
                <w:rFonts w:eastAsia="Times New Roman" w:cs="Arial"/>
                <w:color w:val="000000"/>
                <w:lang w:val="en-ID" w:eastAsia="en-ID"/>
              </w:rPr>
            </w:pPr>
            <w:bookmarkStart w:id="217" w:name="_Toc173318398"/>
            <w:r w:rsidRPr="00B30B11">
              <w:rPr>
                <w:rFonts w:eastAsia="Times New Roman" w:cs="Arial"/>
                <w:color w:val="000000"/>
                <w:lang w:val="en-ID" w:eastAsia="en-ID"/>
              </w:rPr>
              <w:t>Continue influencing the MoA to roll out training on SNI for its staff.</w:t>
            </w:r>
            <w:bookmarkEnd w:id="217"/>
            <w:r w:rsidRPr="00B30B11">
              <w:rPr>
                <w:rFonts w:eastAsia="Times New Roman" w:cs="Arial"/>
                <w:color w:val="000000"/>
                <w:lang w:val="en-ID" w:eastAsia="en-ID"/>
              </w:rPr>
              <w:t xml:space="preserve">  </w:t>
            </w:r>
          </w:p>
        </w:tc>
        <w:tc>
          <w:tcPr>
            <w:tcW w:w="3118" w:type="dxa"/>
          </w:tcPr>
          <w:p w14:paraId="5D0E2DB3" w14:textId="77777777" w:rsidR="003F5EF0" w:rsidRPr="00B30B11" w:rsidRDefault="003F5EF0" w:rsidP="00B30B11">
            <w:pPr>
              <w:keepNext/>
              <w:keepLines/>
              <w:spacing w:after="80"/>
              <w:ind w:left="178"/>
              <w:outlineLvl w:val="1"/>
              <w:rPr>
                <w:rFonts w:eastAsia="Times New Roman" w:cs="Arial"/>
                <w:color w:val="000000"/>
                <w:lang w:val="en-ID" w:eastAsia="en-ID"/>
              </w:rPr>
            </w:pPr>
            <w:bookmarkStart w:id="218" w:name="_Toc173318399"/>
            <w:r w:rsidRPr="00B30B11">
              <w:rPr>
                <w:rFonts w:eastAsia="Times New Roman" w:cs="Arial"/>
                <w:color w:val="000000"/>
                <w:lang w:val="en-ID" w:eastAsia="en-ID"/>
              </w:rPr>
              <w:t>A MoA training plan</w:t>
            </w:r>
            <w:bookmarkEnd w:id="218"/>
            <w:r w:rsidRPr="00B30B11">
              <w:rPr>
                <w:rFonts w:eastAsia="Times New Roman" w:cs="Arial"/>
                <w:color w:val="000000"/>
                <w:lang w:val="en-ID" w:eastAsia="en-ID"/>
              </w:rPr>
              <w:t xml:space="preserve"> </w:t>
            </w:r>
          </w:p>
        </w:tc>
        <w:tc>
          <w:tcPr>
            <w:tcW w:w="3787" w:type="dxa"/>
          </w:tcPr>
          <w:p w14:paraId="03FC1CCC" w14:textId="49426057" w:rsidR="003F5EF0" w:rsidRPr="00B30B11" w:rsidRDefault="003F5EF0" w:rsidP="00B30B11">
            <w:pPr>
              <w:keepNext/>
              <w:keepLines/>
              <w:spacing w:after="120"/>
              <w:ind w:left="11"/>
              <w:outlineLvl w:val="1"/>
              <w:rPr>
                <w:rFonts w:eastAsia="Times New Roman" w:cs="Arial"/>
                <w:color w:val="000000"/>
                <w:lang w:val="en-ID" w:eastAsia="en-ID"/>
              </w:rPr>
            </w:pPr>
            <w:bookmarkStart w:id="219" w:name="_Toc173318400"/>
            <w:r w:rsidRPr="00B30B11">
              <w:rPr>
                <w:rFonts w:cs="Arial"/>
                <w:color w:val="000000"/>
                <w:lang w:val="en-ID" w:eastAsia="en-ID"/>
              </w:rPr>
              <w:t>The MoA has indicated that it already has plans to distribute the Operational Guidelines module to all wastukan. Many government agencies have shown full support and appreciation for the ToT (Training of Trainers) and technical guidance training series. This includes the head of the East Java Livestock Agency, who mentioned that the agency plans to improve support to the wastukan, including providing them with regular ToT.</w:t>
            </w:r>
            <w:bookmarkEnd w:id="219"/>
          </w:p>
        </w:tc>
      </w:tr>
      <w:tr w:rsidR="00B30B11" w:rsidRPr="0053072D" w14:paraId="7362CF7C" w14:textId="77777777" w:rsidTr="5583D54B">
        <w:tc>
          <w:tcPr>
            <w:tcW w:w="2122" w:type="dxa"/>
          </w:tcPr>
          <w:p w14:paraId="0DD6A0BA" w14:textId="72958AA3" w:rsidR="00B30B11" w:rsidRPr="00B30B11" w:rsidRDefault="00B30B11" w:rsidP="00EE453C">
            <w:pPr>
              <w:keepNext/>
              <w:keepLines/>
              <w:spacing w:after="120"/>
              <w:ind w:left="11"/>
              <w:outlineLvl w:val="1"/>
              <w:rPr>
                <w:rFonts w:eastAsia="Times New Roman" w:cs="Arial"/>
                <w:color w:val="000000"/>
                <w:lang w:val="en-ID" w:eastAsia="en-ID"/>
              </w:rPr>
            </w:pPr>
            <w:bookmarkStart w:id="220" w:name="_Toc173318401"/>
            <w:r w:rsidRPr="00B30B11">
              <w:rPr>
                <w:rFonts w:eastAsia="Times New Roman" w:cs="Arial"/>
                <w:color w:val="000000"/>
                <w:lang w:val="en-ID" w:eastAsia="en-ID"/>
              </w:rPr>
              <w:t>Knowledge harvesting and dissemination</w:t>
            </w:r>
            <w:bookmarkEnd w:id="220"/>
          </w:p>
        </w:tc>
        <w:tc>
          <w:tcPr>
            <w:tcW w:w="2835" w:type="dxa"/>
          </w:tcPr>
          <w:p w14:paraId="7DE0A70E" w14:textId="5F018545" w:rsidR="00B30B11" w:rsidRPr="00B30B11" w:rsidRDefault="00B30B11" w:rsidP="00EE453C">
            <w:pPr>
              <w:keepNext/>
              <w:keepLines/>
              <w:spacing w:after="120"/>
              <w:ind w:left="11"/>
              <w:outlineLvl w:val="1"/>
              <w:rPr>
                <w:rFonts w:eastAsia="Times New Roman" w:cs="Arial"/>
                <w:color w:val="000000"/>
                <w:lang w:val="en-ID" w:eastAsia="en-ID"/>
              </w:rPr>
            </w:pPr>
            <w:bookmarkStart w:id="221" w:name="_Toc173318402"/>
            <w:r w:rsidRPr="00B30B11">
              <w:rPr>
                <w:rFonts w:eastAsia="Times New Roman" w:cs="Arial"/>
                <w:color w:val="000000"/>
                <w:lang w:val="en-ID" w:eastAsia="en-ID"/>
              </w:rPr>
              <w:t>Harvesting and sharing good practices, learnings, and challenges in the beef cattle sector (CSL practices and disability inclusion initiatives)</w:t>
            </w:r>
            <w:bookmarkEnd w:id="221"/>
          </w:p>
        </w:tc>
        <w:tc>
          <w:tcPr>
            <w:tcW w:w="2698" w:type="dxa"/>
          </w:tcPr>
          <w:p w14:paraId="2E75B9BA" w14:textId="675FBD02" w:rsidR="00B30B11" w:rsidRPr="00B30B11" w:rsidRDefault="00B30B11" w:rsidP="00EE453C">
            <w:pPr>
              <w:keepNext/>
              <w:keepLines/>
              <w:spacing w:after="120"/>
              <w:ind w:left="11"/>
              <w:outlineLvl w:val="1"/>
              <w:rPr>
                <w:rFonts w:eastAsia="Times New Roman" w:cs="Arial"/>
                <w:color w:val="000000"/>
                <w:lang w:val="en-ID" w:eastAsia="en-ID"/>
              </w:rPr>
            </w:pPr>
            <w:bookmarkStart w:id="222" w:name="_Toc173318403"/>
            <w:r w:rsidRPr="00B30B11">
              <w:rPr>
                <w:rFonts w:eastAsia="Times New Roman" w:cs="Arial"/>
                <w:color w:val="000000"/>
                <w:lang w:val="en-ID" w:eastAsia="en-ID"/>
              </w:rPr>
              <w:t>Produce evidence-based knowledge on CSL practices (feed, tools, methodologies, and protocols) to measure and estimate beef cattle emissions and disability inclusion.</w:t>
            </w:r>
            <w:bookmarkEnd w:id="222"/>
          </w:p>
        </w:tc>
        <w:tc>
          <w:tcPr>
            <w:tcW w:w="3118" w:type="dxa"/>
          </w:tcPr>
          <w:p w14:paraId="7562CEF0" w14:textId="77777777" w:rsidR="00B30B11" w:rsidRPr="00B30B11" w:rsidRDefault="00B30B11" w:rsidP="00B30B11">
            <w:pPr>
              <w:keepNext/>
              <w:keepLines/>
              <w:spacing w:after="80"/>
              <w:ind w:left="178"/>
              <w:outlineLvl w:val="1"/>
              <w:rPr>
                <w:rFonts w:eastAsia="Times New Roman" w:cs="Arial"/>
                <w:color w:val="000000"/>
                <w:lang w:val="en-ID" w:eastAsia="en-ID"/>
              </w:rPr>
            </w:pPr>
            <w:bookmarkStart w:id="223" w:name="_Toc173318404"/>
            <w:r w:rsidRPr="00B30B11">
              <w:rPr>
                <w:rFonts w:eastAsia="Times New Roman" w:cs="Arial"/>
                <w:color w:val="000000"/>
                <w:lang w:val="en-ID" w:eastAsia="en-ID"/>
              </w:rPr>
              <w:t>A CSL practices market brief</w:t>
            </w:r>
            <w:bookmarkEnd w:id="223"/>
            <w:r w:rsidRPr="00B30B11">
              <w:rPr>
                <w:rFonts w:eastAsia="Times New Roman" w:cs="Arial"/>
                <w:color w:val="000000"/>
                <w:lang w:val="en-ID" w:eastAsia="en-ID"/>
              </w:rPr>
              <w:t xml:space="preserve"> </w:t>
            </w:r>
          </w:p>
          <w:p w14:paraId="6AA9BA22" w14:textId="77777777" w:rsidR="00B30B11" w:rsidRPr="00B30B11" w:rsidRDefault="00B30B11" w:rsidP="00B30B11">
            <w:pPr>
              <w:keepNext/>
              <w:keepLines/>
              <w:spacing w:after="80"/>
              <w:ind w:left="178"/>
              <w:outlineLvl w:val="1"/>
              <w:rPr>
                <w:rFonts w:eastAsia="Times New Roman" w:cs="Arial"/>
                <w:color w:val="000000"/>
                <w:lang w:val="en-ID" w:eastAsia="en-ID"/>
              </w:rPr>
            </w:pPr>
            <w:bookmarkStart w:id="224" w:name="_Toc173318405"/>
            <w:r w:rsidRPr="00B30B11">
              <w:rPr>
                <w:rFonts w:eastAsia="Times New Roman" w:cs="Arial"/>
                <w:color w:val="000000"/>
                <w:lang w:val="en-ID" w:eastAsia="en-ID"/>
              </w:rPr>
              <w:t>A disability inclusion practices market brief – both for the beef and dairy sector</w:t>
            </w:r>
            <w:bookmarkEnd w:id="224"/>
            <w:r w:rsidRPr="00B30B11">
              <w:rPr>
                <w:rFonts w:eastAsia="Times New Roman" w:cs="Arial"/>
                <w:color w:val="000000"/>
                <w:lang w:val="en-ID" w:eastAsia="en-ID"/>
              </w:rPr>
              <w:t xml:space="preserve">  </w:t>
            </w:r>
          </w:p>
        </w:tc>
        <w:tc>
          <w:tcPr>
            <w:tcW w:w="3787" w:type="dxa"/>
          </w:tcPr>
          <w:p w14:paraId="54F919E2" w14:textId="77777777" w:rsidR="00B30B11" w:rsidRPr="00B30B11" w:rsidRDefault="00B30B11" w:rsidP="00B30B11">
            <w:pPr>
              <w:keepNext/>
              <w:keepLines/>
              <w:spacing w:after="120"/>
              <w:ind w:left="11"/>
              <w:outlineLvl w:val="1"/>
              <w:rPr>
                <w:rFonts w:cs="Arial"/>
                <w:color w:val="000000"/>
                <w:lang w:val="en-ID" w:eastAsia="en-ID"/>
              </w:rPr>
            </w:pPr>
          </w:p>
        </w:tc>
      </w:tr>
    </w:tbl>
    <w:p w14:paraId="0E02662E" w14:textId="77777777" w:rsidR="001246DD" w:rsidRDefault="001246DD" w:rsidP="00B30B11">
      <w:pPr>
        <w:keepNext/>
        <w:keepLines/>
        <w:spacing w:after="360" w:line="240" w:lineRule="auto"/>
        <w:outlineLvl w:val="1"/>
        <w:rPr>
          <w:rFonts w:eastAsia="Times New Roman" w:cs="Arial"/>
          <w:b/>
          <w:bCs/>
          <w:color w:val="262C66"/>
          <w:sz w:val="24"/>
          <w:szCs w:val="24"/>
          <w:lang w:val="en-ID" w:eastAsia="en-ID"/>
        </w:rPr>
      </w:pPr>
    </w:p>
    <w:p w14:paraId="39FAC536" w14:textId="77777777" w:rsidR="001246DD" w:rsidRDefault="001246DD">
      <w:pPr>
        <w:rPr>
          <w:rFonts w:eastAsia="Times New Roman" w:cs="Arial"/>
          <w:b/>
          <w:bCs/>
          <w:color w:val="262C66"/>
          <w:sz w:val="24"/>
          <w:szCs w:val="24"/>
          <w:lang w:val="en-ID" w:eastAsia="en-ID"/>
        </w:rPr>
      </w:pPr>
      <w:r>
        <w:rPr>
          <w:rFonts w:eastAsia="Times New Roman" w:cs="Arial"/>
          <w:b/>
          <w:bCs/>
          <w:color w:val="262C66"/>
          <w:sz w:val="24"/>
          <w:szCs w:val="24"/>
          <w:lang w:val="en-ID" w:eastAsia="en-ID"/>
        </w:rPr>
        <w:br w:type="page"/>
      </w:r>
    </w:p>
    <w:p w14:paraId="6DFD2B33" w14:textId="7831322D" w:rsidR="00B30B11" w:rsidRPr="00B30B11" w:rsidRDefault="00B30B11" w:rsidP="00B30B11">
      <w:pPr>
        <w:keepNext/>
        <w:keepLines/>
        <w:spacing w:after="360" w:line="240" w:lineRule="auto"/>
        <w:outlineLvl w:val="1"/>
        <w:rPr>
          <w:rFonts w:eastAsia="Times New Roman" w:cs="Arial"/>
          <w:b/>
          <w:bCs/>
          <w:color w:val="262C66"/>
          <w:szCs w:val="20"/>
          <w:lang w:val="en-ID" w:eastAsia="en-ID"/>
        </w:rPr>
      </w:pPr>
      <w:bookmarkStart w:id="225" w:name="_Toc173318409"/>
      <w:r w:rsidRPr="0053072D">
        <w:rPr>
          <w:rFonts w:eastAsia="Times New Roman" w:cs="Arial"/>
          <w:b/>
          <w:bCs/>
          <w:noProof/>
          <w:color w:val="131632"/>
          <w:szCs w:val="20"/>
          <w:lang w:val="en-ID" w:eastAsia="en-ID"/>
        </w:rPr>
        <w:lastRenderedPageBreak/>
        <w:drawing>
          <wp:inline distT="0" distB="0" distL="0" distR="0" wp14:anchorId="66C553ED" wp14:editId="361245EE">
            <wp:extent cx="360000" cy="360000"/>
            <wp:effectExtent l="0" t="0" r="2540" b="2540"/>
            <wp:docPr id="1404756617"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756617" name="Graphic 3">
                      <a:extLst>
                        <a:ext uri="{C183D7F6-B498-43B3-948B-1728B52AA6E4}">
                          <adec:decorative xmlns:adec="http://schemas.microsoft.com/office/drawing/2017/decorative" val="1"/>
                        </a:ext>
                      </a:extLst>
                    </pic:cNvPr>
                    <pic:cNvPicPr/>
                  </pic:nvPicPr>
                  <pic:blipFill>
                    <a:blip r:embed="rId147">
                      <a:extLst>
                        <a:ext uri="{C183D7F6-B498-43B3-948B-1728B52AA6E4}">
                          <adec:decorative xmlns:arto="http://schemas.microsoft.com/office/word/2006/arto" xmlns:adec="http://schemas.microsoft.com/office/drawing/2017/decorative" xmlns:asvg="http://schemas.microsoft.com/office/drawing/2016/SVG/main" xmlns:a14="http://schemas.microsoft.com/office/drawing/2010/main" xmlns:w="http://schemas.openxmlformats.org/wordprocessingml/2006/main" xmlns:w10="urn:schemas-microsoft-com:office:word" xmlns:v="urn:schemas-microsoft-com:vml" xmlns:o="urn:schemas-microsoft-com:office:office" xmlns="" xmlns:c="http://schemas.openxmlformats.org/drawingml/2006/chart" xmlns:a16="http://schemas.microsoft.com/office/drawing/2014/main" val="1"/>
                        </a:ext>
                      </a:extLst>
                    </a:blip>
                    <a:stretch>
                      <a:fillRect/>
                    </a:stretch>
                  </pic:blipFill>
                  <pic:spPr>
                    <a:xfrm>
                      <a:off x="0" y="0"/>
                      <a:ext cx="360000" cy="360000"/>
                    </a:xfrm>
                    <a:prstGeom prst="rect">
                      <a:avLst/>
                    </a:prstGeom>
                  </pic:spPr>
                </pic:pic>
              </a:graphicData>
            </a:graphic>
          </wp:inline>
        </w:drawing>
      </w:r>
      <w:r w:rsidR="00321DBB">
        <w:rPr>
          <w:rFonts w:eastAsia="Times New Roman" w:cs="Arial"/>
          <w:b/>
          <w:bCs/>
          <w:color w:val="262C66"/>
          <w:sz w:val="24"/>
          <w:szCs w:val="24"/>
          <w:lang w:val="en-ID" w:eastAsia="en-ID"/>
        </w:rPr>
        <w:t>Progress</w:t>
      </w:r>
      <w:r w:rsidRPr="00B30B11">
        <w:rPr>
          <w:rFonts w:eastAsia="Times New Roman" w:cs="Arial"/>
          <w:b/>
          <w:bCs/>
          <w:color w:val="262C66"/>
          <w:sz w:val="24"/>
          <w:szCs w:val="24"/>
          <w:lang w:val="en-ID" w:eastAsia="en-ID"/>
        </w:rPr>
        <w:t>: Crop Protection</w:t>
      </w:r>
      <w:bookmarkEnd w:id="225"/>
    </w:p>
    <w:p w14:paraId="246F3100" w14:textId="77777777" w:rsidR="00B30B11" w:rsidRPr="0053072D" w:rsidRDefault="00B30B11" w:rsidP="00B30B11">
      <w:pPr>
        <w:keepNext/>
        <w:keepLines/>
        <w:spacing w:before="120" w:after="120" w:line="240" w:lineRule="auto"/>
        <w:contextualSpacing/>
        <w:outlineLvl w:val="1"/>
        <w:rPr>
          <w:rFonts w:eastAsia="Yu Gothic" w:cs="Arial"/>
          <w:b/>
          <w:bCs/>
          <w:color w:val="252D65"/>
          <w:szCs w:val="20"/>
          <w:lang w:val="en-ID"/>
        </w:rPr>
      </w:pPr>
      <w:bookmarkStart w:id="226" w:name="_Toc173318410"/>
      <w:r w:rsidRPr="0053072D">
        <w:rPr>
          <w:rFonts w:eastAsia="Yu Gothic" w:cs="Arial"/>
          <w:b/>
          <w:bCs/>
          <w:color w:val="252D65"/>
          <w:szCs w:val="20"/>
          <w:lang w:val="en-ID"/>
        </w:rPr>
        <w:t>Vision</w:t>
      </w:r>
      <w:bookmarkEnd w:id="226"/>
      <w:r w:rsidRPr="0053072D">
        <w:rPr>
          <w:rFonts w:eastAsia="Yu Gothic" w:cs="Arial"/>
          <w:b/>
          <w:bCs/>
          <w:color w:val="252D65"/>
          <w:szCs w:val="20"/>
          <w:lang w:val="en-ID"/>
        </w:rPr>
        <w:t xml:space="preserve"> </w:t>
      </w:r>
    </w:p>
    <w:p w14:paraId="58B78F03" w14:textId="5C937A1F" w:rsidR="00B30B11" w:rsidRDefault="00B30B11" w:rsidP="00B30B11">
      <w:pPr>
        <w:keepNext/>
        <w:keepLines/>
        <w:spacing w:after="500" w:line="276" w:lineRule="auto"/>
        <w:ind w:right="-6"/>
        <w:contextualSpacing/>
        <w:outlineLvl w:val="1"/>
        <w:rPr>
          <w:rFonts w:eastAsia="Yu Gothic" w:cs="Arial"/>
          <w:color w:val="000000"/>
          <w:szCs w:val="20"/>
        </w:rPr>
      </w:pPr>
      <w:bookmarkStart w:id="227" w:name="_Toc173318411"/>
      <w:r w:rsidRPr="0053072D">
        <w:rPr>
          <w:rFonts w:eastAsia="Yu Gothic" w:cs="Arial"/>
          <w:color w:val="000000"/>
          <w:szCs w:val="20"/>
        </w:rPr>
        <w:t>Smallholder rice and maize farmers in East and Central Java reduce their harvest loss by appropriately using safer crop protection products. To ensure the promotion of safer crop protection products and good crop protection practices (GCP), PRISMA will improve the marketing and communication strategies of crop protection companies.</w:t>
      </w:r>
      <w:bookmarkEnd w:id="227"/>
    </w:p>
    <w:p w14:paraId="3A5E85B5" w14:textId="77777777" w:rsidR="00B30B11" w:rsidRPr="0053072D" w:rsidRDefault="00B30B11" w:rsidP="00B30B11">
      <w:pPr>
        <w:keepNext/>
        <w:keepLines/>
        <w:spacing w:after="500" w:line="276" w:lineRule="auto"/>
        <w:ind w:right="-6"/>
        <w:contextualSpacing/>
        <w:outlineLvl w:val="1"/>
        <w:rPr>
          <w:rFonts w:eastAsia="Yu Gothic" w:cs="Arial"/>
          <w:color w:val="000000"/>
          <w:szCs w:val="20"/>
        </w:rPr>
      </w:pPr>
    </w:p>
    <w:tbl>
      <w:tblPr>
        <w:tblStyle w:val="TableGrid1"/>
        <w:tblpPr w:leftFromText="181" w:rightFromText="181" w:vertAnchor="text" w:tblpY="1"/>
        <w:tblOverlap w:val="never"/>
        <w:tblW w:w="0" w:type="auto"/>
        <w:tblBorders>
          <w:top w:val="none" w:sz="0" w:space="0" w:color="auto"/>
          <w:left w:val="none" w:sz="0" w:space="0" w:color="auto"/>
          <w:bottom w:val="single" w:sz="4" w:space="0" w:color="000000"/>
          <w:right w:val="none" w:sz="0" w:space="0" w:color="auto"/>
          <w:insideH w:val="single" w:sz="4" w:space="0" w:color="000000"/>
          <w:insideV w:val="none" w:sz="0" w:space="0" w:color="auto"/>
        </w:tblBorders>
        <w:tblCellMar>
          <w:top w:w="170" w:type="dxa"/>
          <w:bottom w:w="113" w:type="dxa"/>
          <w:right w:w="170" w:type="dxa"/>
        </w:tblCellMar>
        <w:tblLook w:val="06A0" w:firstRow="1" w:lastRow="0" w:firstColumn="1" w:lastColumn="0" w:noHBand="1" w:noVBand="1"/>
      </w:tblPr>
      <w:tblGrid>
        <w:gridCol w:w="2122"/>
        <w:gridCol w:w="2835"/>
        <w:gridCol w:w="2698"/>
        <w:gridCol w:w="3118"/>
        <w:gridCol w:w="3787"/>
      </w:tblGrid>
      <w:tr w:rsidR="00B30B11" w:rsidRPr="0053072D" w14:paraId="2B3D5220" w14:textId="77777777" w:rsidTr="00EE453C">
        <w:tc>
          <w:tcPr>
            <w:tcW w:w="2122" w:type="dxa"/>
            <w:tcBorders>
              <w:top w:val="nil"/>
              <w:right w:val="single" w:sz="4" w:space="0" w:color="FFFFFF"/>
            </w:tcBorders>
            <w:shd w:val="clear" w:color="auto" w:fill="262C66"/>
          </w:tcPr>
          <w:p w14:paraId="14F640E8" w14:textId="0630F1D9" w:rsidR="00B30B11" w:rsidRPr="0053072D" w:rsidRDefault="00B30B11" w:rsidP="00EE453C">
            <w:pPr>
              <w:keepNext/>
              <w:keepLines/>
              <w:spacing w:before="60" w:after="60"/>
              <w:ind w:left="11"/>
              <w:outlineLvl w:val="1"/>
              <w:rPr>
                <w:rFonts w:eastAsia="Times New Roman" w:cs="Arial"/>
                <w:b/>
                <w:bCs/>
                <w:color w:val="FFFFFF"/>
                <w:sz w:val="20"/>
                <w:szCs w:val="20"/>
                <w:lang w:val="en-ID" w:eastAsia="en-ID"/>
              </w:rPr>
            </w:pPr>
            <w:bookmarkStart w:id="228" w:name="_Toc173318412"/>
            <w:r w:rsidRPr="0053072D">
              <w:rPr>
                <w:rFonts w:eastAsia="Times New Roman" w:cs="Arial"/>
                <w:b/>
                <w:bCs/>
                <w:color w:val="FFFFFF"/>
                <w:sz w:val="20"/>
                <w:szCs w:val="20"/>
                <w:lang w:val="en-ID" w:eastAsia="en-ID"/>
              </w:rPr>
              <w:t>Exit strategies</w:t>
            </w:r>
            <w:bookmarkEnd w:id="228"/>
          </w:p>
        </w:tc>
        <w:tc>
          <w:tcPr>
            <w:tcW w:w="2835" w:type="dxa"/>
            <w:tcBorders>
              <w:top w:val="nil"/>
              <w:left w:val="single" w:sz="4" w:space="0" w:color="FFFFFF"/>
              <w:right w:val="single" w:sz="4" w:space="0" w:color="FFFFFF"/>
            </w:tcBorders>
            <w:shd w:val="clear" w:color="auto" w:fill="262C66"/>
          </w:tcPr>
          <w:p w14:paraId="4624BD74" w14:textId="624E1412" w:rsidR="00B30B11" w:rsidRPr="0053072D" w:rsidRDefault="00B30B11" w:rsidP="00EE453C">
            <w:pPr>
              <w:keepNext/>
              <w:keepLines/>
              <w:spacing w:before="60" w:after="60"/>
              <w:ind w:left="11"/>
              <w:outlineLvl w:val="1"/>
              <w:rPr>
                <w:rFonts w:eastAsia="Times New Roman" w:cs="Arial"/>
                <w:b/>
                <w:bCs/>
                <w:color w:val="FFFFFF"/>
                <w:sz w:val="20"/>
                <w:szCs w:val="20"/>
                <w:lang w:val="en-ID" w:eastAsia="en-ID"/>
              </w:rPr>
            </w:pPr>
            <w:bookmarkStart w:id="229" w:name="_Toc173318413"/>
            <w:r w:rsidRPr="0053072D">
              <w:rPr>
                <w:rFonts w:eastAsia="Times New Roman" w:cs="Arial"/>
                <w:b/>
                <w:bCs/>
                <w:color w:val="FFFFFF"/>
                <w:sz w:val="20"/>
                <w:szCs w:val="20"/>
                <w:lang w:val="en-ID" w:eastAsia="en-ID"/>
              </w:rPr>
              <w:t>Focus areas</w:t>
            </w:r>
            <w:bookmarkEnd w:id="229"/>
          </w:p>
        </w:tc>
        <w:tc>
          <w:tcPr>
            <w:tcW w:w="2698" w:type="dxa"/>
            <w:tcBorders>
              <w:top w:val="nil"/>
              <w:left w:val="single" w:sz="4" w:space="0" w:color="FFFFFF"/>
              <w:right w:val="single" w:sz="4" w:space="0" w:color="FFFFFF"/>
            </w:tcBorders>
            <w:shd w:val="clear" w:color="auto" w:fill="262C66"/>
          </w:tcPr>
          <w:p w14:paraId="0A84D553" w14:textId="137C0D10" w:rsidR="00B30B11" w:rsidRPr="0053072D" w:rsidRDefault="00B30B11" w:rsidP="00EE453C">
            <w:pPr>
              <w:keepNext/>
              <w:keepLines/>
              <w:spacing w:before="60" w:after="60"/>
              <w:ind w:left="11"/>
              <w:outlineLvl w:val="1"/>
              <w:rPr>
                <w:rFonts w:eastAsia="Times New Roman" w:cs="Arial"/>
                <w:b/>
                <w:bCs/>
                <w:color w:val="FFFFFF"/>
                <w:sz w:val="20"/>
                <w:szCs w:val="20"/>
                <w:lang w:val="en-ID" w:eastAsia="en-ID"/>
              </w:rPr>
            </w:pPr>
            <w:bookmarkStart w:id="230" w:name="_Toc173318414"/>
            <w:r w:rsidRPr="0053072D">
              <w:rPr>
                <w:rFonts w:eastAsia="Times New Roman" w:cs="Arial"/>
                <w:b/>
                <w:bCs/>
                <w:color w:val="FFFFFF"/>
                <w:sz w:val="20"/>
                <w:szCs w:val="20"/>
                <w:lang w:val="en-ID" w:eastAsia="en-ID"/>
              </w:rPr>
              <w:t>Planned initiatives</w:t>
            </w:r>
            <w:bookmarkEnd w:id="230"/>
          </w:p>
        </w:tc>
        <w:tc>
          <w:tcPr>
            <w:tcW w:w="3118" w:type="dxa"/>
            <w:tcBorders>
              <w:top w:val="nil"/>
              <w:left w:val="single" w:sz="4" w:space="0" w:color="FFFFFF"/>
              <w:right w:val="single" w:sz="4" w:space="0" w:color="FFFFFF"/>
            </w:tcBorders>
            <w:shd w:val="clear" w:color="auto" w:fill="262C66"/>
          </w:tcPr>
          <w:p w14:paraId="24F87DE3" w14:textId="38694972" w:rsidR="00B30B11" w:rsidRPr="0053072D" w:rsidRDefault="00B30B11" w:rsidP="00EE453C">
            <w:pPr>
              <w:keepNext/>
              <w:keepLines/>
              <w:spacing w:before="60" w:after="60"/>
              <w:ind w:left="11"/>
              <w:outlineLvl w:val="1"/>
              <w:rPr>
                <w:rFonts w:eastAsia="Times New Roman" w:cs="Arial"/>
                <w:b/>
                <w:bCs/>
                <w:color w:val="FFFFFF"/>
                <w:sz w:val="20"/>
                <w:szCs w:val="20"/>
                <w:lang w:val="en-ID" w:eastAsia="en-ID"/>
              </w:rPr>
            </w:pPr>
            <w:bookmarkStart w:id="231" w:name="_Toc173318415"/>
            <w:r w:rsidRPr="0053072D">
              <w:rPr>
                <w:rFonts w:eastAsia="Times New Roman" w:cs="Arial"/>
                <w:b/>
                <w:bCs/>
                <w:color w:val="FFFFFF"/>
                <w:sz w:val="20"/>
                <w:szCs w:val="20"/>
                <w:lang w:val="en-ID" w:eastAsia="en-ID"/>
              </w:rPr>
              <w:t>Expected outputs</w:t>
            </w:r>
            <w:bookmarkEnd w:id="231"/>
          </w:p>
        </w:tc>
        <w:tc>
          <w:tcPr>
            <w:tcW w:w="3787" w:type="dxa"/>
            <w:tcBorders>
              <w:top w:val="nil"/>
              <w:left w:val="single" w:sz="4" w:space="0" w:color="FFFFFF"/>
            </w:tcBorders>
            <w:shd w:val="clear" w:color="auto" w:fill="262C66"/>
          </w:tcPr>
          <w:p w14:paraId="6C0231CC" w14:textId="77777777" w:rsidR="00B30B11" w:rsidRPr="0053072D" w:rsidRDefault="00B30B11" w:rsidP="00EE453C">
            <w:pPr>
              <w:keepNext/>
              <w:keepLines/>
              <w:spacing w:before="60" w:after="60"/>
              <w:ind w:left="11"/>
              <w:outlineLvl w:val="1"/>
              <w:rPr>
                <w:rFonts w:eastAsia="Times New Roman" w:cs="Arial"/>
                <w:b/>
                <w:bCs/>
                <w:color w:val="FFFFFF"/>
                <w:sz w:val="20"/>
                <w:szCs w:val="20"/>
                <w:lang w:val="en-ID" w:eastAsia="en-ID"/>
              </w:rPr>
            </w:pPr>
            <w:bookmarkStart w:id="232" w:name="_Toc173318416"/>
            <w:r w:rsidRPr="0053072D">
              <w:rPr>
                <w:rFonts w:eastAsia="Times New Roman" w:cs="Arial"/>
                <w:b/>
                <w:bCs/>
                <w:color w:val="FFFFFF"/>
                <w:sz w:val="20"/>
                <w:szCs w:val="20"/>
                <w:lang w:val="en-ID" w:eastAsia="en-ID"/>
              </w:rPr>
              <w:t>Progress update</w:t>
            </w:r>
            <w:bookmarkEnd w:id="232"/>
            <w:r w:rsidRPr="0053072D">
              <w:rPr>
                <w:rFonts w:eastAsia="Times New Roman" w:cs="Arial"/>
                <w:b/>
                <w:bCs/>
                <w:color w:val="FFFFFF"/>
                <w:sz w:val="20"/>
                <w:szCs w:val="20"/>
                <w:lang w:val="en-ID" w:eastAsia="en-ID"/>
              </w:rPr>
              <w:t xml:space="preserve"> </w:t>
            </w:r>
          </w:p>
        </w:tc>
      </w:tr>
      <w:tr w:rsidR="00B30B11" w:rsidRPr="0053072D" w14:paraId="1F3AE8AC" w14:textId="77777777" w:rsidTr="00EE453C">
        <w:tc>
          <w:tcPr>
            <w:tcW w:w="2122" w:type="dxa"/>
            <w:vMerge w:val="restart"/>
          </w:tcPr>
          <w:p w14:paraId="6A846891" w14:textId="471D1BF0"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233" w:name="_Toc173318417"/>
            <w:r w:rsidRPr="0053072D">
              <w:rPr>
                <w:rFonts w:eastAsia="Times New Roman" w:cs="Aptos"/>
                <w:color w:val="000000"/>
                <w:sz w:val="20"/>
                <w:szCs w:val="20"/>
                <w:lang w:val="en-ID" w:eastAsia="en-ID"/>
              </w:rPr>
              <w:t>Knowledge harvesting and dissemination</w:t>
            </w:r>
            <w:bookmarkEnd w:id="233"/>
          </w:p>
        </w:tc>
        <w:tc>
          <w:tcPr>
            <w:tcW w:w="2835" w:type="dxa"/>
            <w:vMerge w:val="restart"/>
          </w:tcPr>
          <w:p w14:paraId="74AC85CC" w14:textId="611F5554"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234" w:name="_Toc173318418"/>
            <w:r w:rsidRPr="0053072D">
              <w:rPr>
                <w:rFonts w:eastAsia="Times New Roman" w:cs="Aptos"/>
                <w:color w:val="000000"/>
                <w:sz w:val="20"/>
                <w:szCs w:val="20"/>
                <w:lang w:val="en-ID" w:eastAsia="en-ID"/>
              </w:rPr>
              <w:t>Improving the private sector’s (crop protection [CP] companies) delivery of educational messages</w:t>
            </w:r>
            <w:bookmarkEnd w:id="234"/>
          </w:p>
        </w:tc>
        <w:tc>
          <w:tcPr>
            <w:tcW w:w="2698" w:type="dxa"/>
          </w:tcPr>
          <w:p w14:paraId="1995DE5E" w14:textId="24757315"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235" w:name="_Toc173318419"/>
            <w:r w:rsidRPr="0053072D">
              <w:rPr>
                <w:rFonts w:eastAsia="Times New Roman" w:cs="Aptos"/>
                <w:color w:val="000000"/>
                <w:sz w:val="20"/>
                <w:szCs w:val="20"/>
                <w:lang w:val="en-ID" w:eastAsia="en-ID"/>
              </w:rPr>
              <w:t>Conduct a comparison study to understand the difference between traditional and education-based marketing.</w:t>
            </w:r>
            <w:bookmarkEnd w:id="235"/>
          </w:p>
        </w:tc>
        <w:tc>
          <w:tcPr>
            <w:tcW w:w="3118" w:type="dxa"/>
          </w:tcPr>
          <w:p w14:paraId="25808E59" w14:textId="3580D81C" w:rsidR="00B30B11" w:rsidRPr="0053072D" w:rsidRDefault="00B30B11" w:rsidP="00EE453C">
            <w:pPr>
              <w:keepNext/>
              <w:keepLines/>
              <w:spacing w:after="80"/>
              <w:ind w:left="731" w:hanging="360"/>
              <w:outlineLvl w:val="1"/>
              <w:rPr>
                <w:rFonts w:eastAsia="Times New Roman" w:cs="Arial"/>
                <w:color w:val="000000"/>
                <w:sz w:val="20"/>
                <w:szCs w:val="20"/>
                <w:lang w:val="en-ID" w:eastAsia="en-ID"/>
              </w:rPr>
            </w:pPr>
            <w:bookmarkStart w:id="236" w:name="_Toc173318420"/>
            <w:r w:rsidRPr="0053072D">
              <w:rPr>
                <w:rFonts w:eastAsia="Times New Roman" w:cs="Arial"/>
                <w:color w:val="000000"/>
                <w:sz w:val="20"/>
                <w:szCs w:val="20"/>
                <w:lang w:val="en-ID" w:eastAsia="en-ID"/>
              </w:rPr>
              <w:t>The comparison study report is delivered by Q1 and shows the commercial impact of education-based marketing.</w:t>
            </w:r>
            <w:bookmarkEnd w:id="236"/>
          </w:p>
        </w:tc>
        <w:tc>
          <w:tcPr>
            <w:tcW w:w="3787" w:type="dxa"/>
          </w:tcPr>
          <w:p w14:paraId="4FE1A9C6" w14:textId="1E9DF479" w:rsidR="00B30B11" w:rsidRPr="0053072D" w:rsidRDefault="00B30B11" w:rsidP="00EE453C">
            <w:pPr>
              <w:keepNext/>
              <w:keepLines/>
              <w:spacing w:after="120"/>
              <w:ind w:left="11"/>
              <w:outlineLvl w:val="1"/>
              <w:rPr>
                <w:rFonts w:cs="Arial"/>
                <w:color w:val="000000"/>
                <w:sz w:val="20"/>
                <w:szCs w:val="20"/>
                <w:lang w:val="en-ID" w:eastAsia="en-ID"/>
              </w:rPr>
            </w:pPr>
            <w:bookmarkStart w:id="237" w:name="_Toc173318421"/>
            <w:r w:rsidRPr="0053072D">
              <w:rPr>
                <w:rFonts w:cs="Arial"/>
                <w:color w:val="000000"/>
                <w:sz w:val="20"/>
                <w:szCs w:val="20"/>
                <w:lang w:val="en-ID" w:eastAsia="en-ID"/>
              </w:rPr>
              <w:t>PRISMA conducted a study to compare the commercial outcomes of education-based marketing and hard-selling strategies in crop protection. The study analysed the marketing approaches of 14 CP companies and their impact on farmers. Over 350 farmers from 7 provinces took part in the survey. The analysis showed that companies focusing on education-based marketing tend to achieve better commercial outcomes, including a higher revenue-per-field-staff ratio. The study also revealed that educating farmers increases their awareness and willingness to purchase. Education helps farmers better understand pests and diseases, leading to higher product satisfaction and loyalty, and positive word-of-mouth promotion among farmers. PRISMA plans to share the study results with CP companies and associations at a dissemination event scheduled for July in Jakarta.</w:t>
            </w:r>
            <w:bookmarkEnd w:id="237"/>
          </w:p>
        </w:tc>
      </w:tr>
      <w:tr w:rsidR="00B30B11" w:rsidRPr="0053072D" w14:paraId="467D2BF1" w14:textId="77777777" w:rsidTr="00EE453C">
        <w:tc>
          <w:tcPr>
            <w:tcW w:w="2122" w:type="dxa"/>
            <w:vMerge/>
          </w:tcPr>
          <w:p w14:paraId="31FCDCDC"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835" w:type="dxa"/>
            <w:vMerge/>
          </w:tcPr>
          <w:p w14:paraId="4CB1BD9C"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98" w:type="dxa"/>
          </w:tcPr>
          <w:p w14:paraId="59C3F3C5" w14:textId="767E1DBC"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238" w:name="_Toc173318422"/>
            <w:r w:rsidRPr="0053072D">
              <w:rPr>
                <w:rFonts w:eastAsia="Times New Roman" w:cs="Aptos"/>
                <w:color w:val="000000"/>
                <w:sz w:val="20"/>
                <w:szCs w:val="20"/>
                <w:lang w:val="en-ID" w:eastAsia="en-ID"/>
              </w:rPr>
              <w:t>Share study findings and support business-to-business (B2B) engagements between training providers and CP companies.</w:t>
            </w:r>
            <w:bookmarkEnd w:id="238"/>
          </w:p>
        </w:tc>
        <w:tc>
          <w:tcPr>
            <w:tcW w:w="3118" w:type="dxa"/>
          </w:tcPr>
          <w:p w14:paraId="4D6BAE33" w14:textId="336ED8F2" w:rsidR="00B30B11" w:rsidRPr="0053072D" w:rsidRDefault="00B30B11" w:rsidP="00EE453C">
            <w:pPr>
              <w:keepNext/>
              <w:keepLines/>
              <w:spacing w:after="80"/>
              <w:ind w:left="731" w:hanging="360"/>
              <w:outlineLvl w:val="1"/>
              <w:rPr>
                <w:rFonts w:eastAsia="Times New Roman" w:cs="Arial"/>
                <w:color w:val="000000"/>
                <w:sz w:val="20"/>
                <w:szCs w:val="20"/>
                <w:lang w:val="en-ID" w:eastAsia="en-ID"/>
              </w:rPr>
            </w:pPr>
            <w:bookmarkStart w:id="239" w:name="_Toc173318423"/>
            <w:r w:rsidRPr="0053072D">
              <w:rPr>
                <w:rFonts w:eastAsia="Times New Roman" w:cs="Aptos"/>
                <w:color w:val="000000"/>
                <w:sz w:val="20"/>
                <w:szCs w:val="20"/>
                <w:lang w:val="en-ID" w:eastAsia="en-ID"/>
              </w:rPr>
              <w:t>A dissemination workshop in Jakarta for CP companies (partners and non-partners)</w:t>
            </w:r>
            <w:bookmarkEnd w:id="239"/>
          </w:p>
          <w:p w14:paraId="3706A801" w14:textId="2C97DEE8" w:rsidR="00B30B11" w:rsidRPr="0053072D" w:rsidRDefault="00B30B11" w:rsidP="00EE453C">
            <w:pPr>
              <w:keepNext/>
              <w:keepLines/>
              <w:spacing w:after="80"/>
              <w:ind w:left="731" w:hanging="360"/>
              <w:outlineLvl w:val="1"/>
              <w:rPr>
                <w:rFonts w:eastAsia="Times New Roman" w:cs="Arial"/>
                <w:color w:val="000000"/>
                <w:sz w:val="20"/>
                <w:szCs w:val="20"/>
                <w:lang w:val="en-ID" w:eastAsia="en-ID"/>
              </w:rPr>
            </w:pPr>
            <w:bookmarkStart w:id="240" w:name="_Toc173318424"/>
            <w:r w:rsidRPr="0053072D">
              <w:rPr>
                <w:rFonts w:eastAsia="Times New Roman" w:cs="Aptos"/>
                <w:color w:val="000000"/>
                <w:sz w:val="20"/>
                <w:szCs w:val="20"/>
                <w:lang w:val="en-ID" w:eastAsia="en-ID"/>
              </w:rPr>
              <w:t>The comparison study results are shared with 6 CP companies.</w:t>
            </w:r>
            <w:bookmarkEnd w:id="240"/>
          </w:p>
          <w:p w14:paraId="15680129" w14:textId="5B3A9AAB" w:rsidR="00B30B11" w:rsidRPr="0053072D" w:rsidRDefault="00B30B11" w:rsidP="00EE453C">
            <w:pPr>
              <w:keepNext/>
              <w:keepLines/>
              <w:spacing w:after="80"/>
              <w:ind w:left="731" w:hanging="360"/>
              <w:outlineLvl w:val="1"/>
              <w:rPr>
                <w:rFonts w:eastAsia="Times New Roman" w:cs="Arial"/>
                <w:color w:val="000000"/>
                <w:sz w:val="20"/>
                <w:szCs w:val="20"/>
                <w:lang w:val="en-ID" w:eastAsia="en-ID"/>
              </w:rPr>
            </w:pPr>
            <w:bookmarkStart w:id="241" w:name="_Toc173318425"/>
            <w:r w:rsidRPr="0053072D">
              <w:rPr>
                <w:rFonts w:eastAsia="Times New Roman" w:cs="Aptos"/>
                <w:color w:val="000000"/>
                <w:sz w:val="20"/>
                <w:szCs w:val="20"/>
                <w:lang w:val="en-ID" w:eastAsia="en-ID"/>
              </w:rPr>
              <w:t>Training providers attend the dissemination workshop and engage with CP companies.</w:t>
            </w:r>
            <w:bookmarkEnd w:id="241"/>
          </w:p>
        </w:tc>
        <w:tc>
          <w:tcPr>
            <w:tcW w:w="3787" w:type="dxa"/>
          </w:tcPr>
          <w:p w14:paraId="520150B8" w14:textId="410BDC3C" w:rsidR="00B30B11" w:rsidRDefault="00B30B11" w:rsidP="00EE453C">
            <w:pPr>
              <w:keepNext/>
              <w:keepLines/>
              <w:spacing w:after="120"/>
              <w:ind w:left="11"/>
              <w:outlineLvl w:val="1"/>
              <w:rPr>
                <w:rFonts w:cs="Arial"/>
                <w:color w:val="000000"/>
                <w:sz w:val="20"/>
                <w:szCs w:val="20"/>
                <w:lang w:val="en-ID" w:eastAsia="en-ID"/>
              </w:rPr>
            </w:pPr>
            <w:bookmarkStart w:id="242" w:name="_Toc173318426"/>
            <w:r w:rsidRPr="0053072D">
              <w:rPr>
                <w:rFonts w:cs="Arial"/>
                <w:color w:val="000000"/>
                <w:sz w:val="20"/>
                <w:szCs w:val="20"/>
                <w:lang w:val="en-ID" w:eastAsia="en-ID"/>
              </w:rPr>
              <w:t>A dissemination workshop in Jakarta was held to encourage CP companies to adopt education-based marketing and optimise the potential of women sales agents. The event was co-hosted by CropLife, a pesticide association.</w:t>
            </w:r>
            <w:bookmarkEnd w:id="242"/>
          </w:p>
          <w:p w14:paraId="17827FFB" w14:textId="77777777" w:rsidR="00B30B11" w:rsidRDefault="00B30B11" w:rsidP="00EE453C">
            <w:pPr>
              <w:keepNext/>
              <w:keepLines/>
              <w:spacing w:after="120"/>
              <w:ind w:left="11"/>
              <w:outlineLvl w:val="1"/>
              <w:rPr>
                <w:rFonts w:cs="Arial"/>
                <w:color w:val="000000"/>
                <w:sz w:val="20"/>
                <w:szCs w:val="20"/>
                <w:lang w:val="en-ID" w:eastAsia="en-ID"/>
              </w:rPr>
            </w:pPr>
          </w:p>
          <w:p w14:paraId="0474918F" w14:textId="77777777" w:rsidR="00B30B11" w:rsidRDefault="00B30B11" w:rsidP="00EE453C">
            <w:pPr>
              <w:keepNext/>
              <w:keepLines/>
              <w:spacing w:after="120"/>
              <w:outlineLvl w:val="1"/>
              <w:rPr>
                <w:rFonts w:cs="Arial"/>
                <w:color w:val="000000"/>
                <w:sz w:val="20"/>
                <w:szCs w:val="20"/>
                <w:lang w:val="en-ID" w:eastAsia="en-ID"/>
              </w:rPr>
            </w:pPr>
            <w:bookmarkStart w:id="243" w:name="_Toc173318427"/>
            <w:r>
              <w:rPr>
                <w:rFonts w:cs="Arial"/>
                <w:color w:val="000000"/>
                <w:sz w:val="20"/>
                <w:szCs w:val="20"/>
                <w:lang w:val="en-ID" w:eastAsia="en-ID"/>
              </w:rPr>
              <w:t>The comparison study results were presented at the workshop with CP companies.</w:t>
            </w:r>
            <w:bookmarkEnd w:id="243"/>
            <w:r>
              <w:rPr>
                <w:rFonts w:cs="Arial"/>
                <w:color w:val="000000"/>
                <w:sz w:val="20"/>
                <w:szCs w:val="20"/>
                <w:lang w:val="en-ID" w:eastAsia="en-ID"/>
              </w:rPr>
              <w:t xml:space="preserve"> </w:t>
            </w:r>
          </w:p>
          <w:p w14:paraId="0700D878" w14:textId="77777777" w:rsidR="00B30B11" w:rsidRPr="0053072D" w:rsidRDefault="00B30B11" w:rsidP="00EE453C">
            <w:pPr>
              <w:keepNext/>
              <w:keepLines/>
              <w:spacing w:after="120"/>
              <w:outlineLvl w:val="1"/>
              <w:rPr>
                <w:rFonts w:eastAsia="Times New Roman" w:cs="Arial"/>
                <w:color w:val="000000"/>
                <w:sz w:val="20"/>
                <w:szCs w:val="20"/>
                <w:lang w:val="en-ID" w:eastAsia="en-ID"/>
              </w:rPr>
            </w:pPr>
            <w:bookmarkStart w:id="244" w:name="_Toc173318428"/>
            <w:r>
              <w:rPr>
                <w:rFonts w:cs="Arial"/>
                <w:color w:val="000000"/>
                <w:sz w:val="20"/>
                <w:szCs w:val="20"/>
                <w:lang w:val="en-ID" w:eastAsia="en-ID"/>
              </w:rPr>
              <w:t>Training providers attended the event and engaged with CP companies.</w:t>
            </w:r>
            <w:bookmarkEnd w:id="244"/>
            <w:r>
              <w:rPr>
                <w:rFonts w:cs="Arial"/>
                <w:color w:val="000000"/>
                <w:sz w:val="20"/>
                <w:szCs w:val="20"/>
                <w:lang w:val="en-ID" w:eastAsia="en-ID"/>
              </w:rPr>
              <w:t xml:space="preserve"> </w:t>
            </w:r>
          </w:p>
        </w:tc>
      </w:tr>
      <w:tr w:rsidR="00B30B11" w:rsidRPr="0053072D" w14:paraId="0082035F" w14:textId="77777777" w:rsidTr="00EE453C">
        <w:tc>
          <w:tcPr>
            <w:tcW w:w="2122" w:type="dxa"/>
            <w:vMerge/>
          </w:tcPr>
          <w:p w14:paraId="4B0B86CE"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835" w:type="dxa"/>
            <w:vMerge/>
          </w:tcPr>
          <w:p w14:paraId="143F66E7"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98" w:type="dxa"/>
          </w:tcPr>
          <w:p w14:paraId="5F5B6C21" w14:textId="7C85D91D"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245" w:name="_Toc173318429"/>
            <w:r w:rsidRPr="0053072D">
              <w:rPr>
                <w:rFonts w:eastAsia="Times New Roman" w:cs="Aptos"/>
                <w:color w:val="000000"/>
                <w:sz w:val="20"/>
                <w:szCs w:val="20"/>
                <w:lang w:val="en-ID" w:eastAsia="en-ID"/>
              </w:rPr>
              <w:t>Harvest best practices for women sales agents and disseminate them to relevant companies.</w:t>
            </w:r>
            <w:bookmarkEnd w:id="245"/>
          </w:p>
        </w:tc>
        <w:tc>
          <w:tcPr>
            <w:tcW w:w="3118" w:type="dxa"/>
          </w:tcPr>
          <w:p w14:paraId="51502161" w14:textId="1C699C0A" w:rsidR="00B30B11" w:rsidRPr="0053072D" w:rsidRDefault="00B30B11" w:rsidP="00EE453C">
            <w:pPr>
              <w:keepNext/>
              <w:keepLines/>
              <w:spacing w:after="80"/>
              <w:ind w:left="731" w:hanging="360"/>
              <w:outlineLvl w:val="1"/>
              <w:rPr>
                <w:rFonts w:eastAsia="Times New Roman" w:cs="Arial"/>
                <w:color w:val="000000"/>
                <w:sz w:val="20"/>
                <w:szCs w:val="20"/>
                <w:lang w:val="en-ID" w:eastAsia="en-ID"/>
              </w:rPr>
            </w:pPr>
            <w:bookmarkStart w:id="246" w:name="_Toc173318430"/>
            <w:r w:rsidRPr="0053072D">
              <w:rPr>
                <w:rFonts w:eastAsia="Times New Roman" w:cs="Aptos"/>
                <w:color w:val="000000"/>
                <w:sz w:val="20"/>
                <w:szCs w:val="20"/>
                <w:lang w:val="en-ID" w:eastAsia="en-ID"/>
              </w:rPr>
              <w:t>A report on best practices for women sales agents is delivered by Q1.</w:t>
            </w:r>
            <w:bookmarkEnd w:id="246"/>
          </w:p>
          <w:p w14:paraId="0A1D5597" w14:textId="77777777" w:rsidR="00B30B11" w:rsidRPr="0053072D" w:rsidRDefault="00B30B11" w:rsidP="00EE453C">
            <w:pPr>
              <w:keepNext/>
              <w:keepLines/>
              <w:spacing w:after="80"/>
              <w:ind w:left="731" w:hanging="360"/>
              <w:outlineLvl w:val="1"/>
              <w:rPr>
                <w:rFonts w:eastAsia="Times New Roman" w:cs="Arial"/>
                <w:color w:val="000000"/>
                <w:sz w:val="20"/>
                <w:szCs w:val="20"/>
                <w:lang w:val="en-ID" w:eastAsia="en-ID"/>
              </w:rPr>
            </w:pPr>
            <w:bookmarkStart w:id="247" w:name="_Toc173318431"/>
            <w:r w:rsidRPr="0053072D">
              <w:rPr>
                <w:rFonts w:eastAsia="Times New Roman" w:cs="Aptos"/>
                <w:color w:val="000000"/>
                <w:sz w:val="20"/>
                <w:szCs w:val="20"/>
                <w:lang w:val="en-ID" w:eastAsia="en-ID"/>
              </w:rPr>
              <w:t>Dissemination events for CP companies (expected to be held in Jakarta)</w:t>
            </w:r>
            <w:bookmarkEnd w:id="247"/>
            <w:r w:rsidRPr="0053072D">
              <w:rPr>
                <w:rFonts w:eastAsia="Times New Roman" w:cs="Aptos"/>
                <w:color w:val="000000"/>
                <w:sz w:val="20"/>
                <w:szCs w:val="20"/>
                <w:lang w:val="en-ID" w:eastAsia="en-ID"/>
              </w:rPr>
              <w:t xml:space="preserve"> </w:t>
            </w:r>
          </w:p>
          <w:p w14:paraId="2269430C" w14:textId="48D05BEA" w:rsidR="00B30B11" w:rsidRPr="0053072D" w:rsidRDefault="00B30B11" w:rsidP="00EE453C">
            <w:pPr>
              <w:keepNext/>
              <w:keepLines/>
              <w:spacing w:after="80"/>
              <w:ind w:left="731" w:hanging="360"/>
              <w:outlineLvl w:val="1"/>
              <w:rPr>
                <w:rFonts w:eastAsia="Times New Roman" w:cs="Arial"/>
                <w:color w:val="000000"/>
                <w:sz w:val="20"/>
                <w:szCs w:val="20"/>
                <w:lang w:val="en-ID" w:eastAsia="en-ID"/>
              </w:rPr>
            </w:pPr>
            <w:bookmarkStart w:id="248" w:name="_Toc173318432"/>
            <w:r w:rsidRPr="0053072D">
              <w:rPr>
                <w:rFonts w:eastAsia="Times New Roman" w:cs="Aptos"/>
                <w:color w:val="000000"/>
                <w:sz w:val="20"/>
                <w:szCs w:val="20"/>
                <w:lang w:val="en-ID" w:eastAsia="en-ID"/>
              </w:rPr>
              <w:t>The report on best practices for women sales agents is shared with 5 CP companies.</w:t>
            </w:r>
            <w:bookmarkEnd w:id="248"/>
          </w:p>
        </w:tc>
        <w:tc>
          <w:tcPr>
            <w:tcW w:w="3787" w:type="dxa"/>
          </w:tcPr>
          <w:p w14:paraId="3B3DD7E2" w14:textId="77777777" w:rsidR="00B30B11" w:rsidRDefault="00B30B11" w:rsidP="00EE453C">
            <w:pPr>
              <w:keepNext/>
              <w:keepLines/>
              <w:spacing w:after="120"/>
              <w:ind w:left="11"/>
              <w:outlineLvl w:val="1"/>
              <w:rPr>
                <w:rFonts w:cs="Arial"/>
                <w:color w:val="000000"/>
                <w:sz w:val="20"/>
                <w:szCs w:val="20"/>
                <w:lang w:val="en-ID" w:eastAsia="en-ID"/>
              </w:rPr>
            </w:pPr>
            <w:bookmarkStart w:id="249" w:name="_Toc173318433"/>
            <w:r w:rsidRPr="0053072D">
              <w:rPr>
                <w:rFonts w:cs="Arial"/>
                <w:color w:val="000000"/>
                <w:sz w:val="20"/>
                <w:szCs w:val="20"/>
                <w:lang w:val="en-ID" w:eastAsia="en-ID"/>
              </w:rPr>
              <w:t>A qualitative study to explore the potential of hiring women sales agents (WSAs) for CP companies was completed. The team conducted field observations and interviews with 23 field agents, 7 companies' representatives, 30 farmers, and 18 kiosk owners in East and Central Java.</w:t>
            </w:r>
            <w:bookmarkEnd w:id="249"/>
            <w:r w:rsidRPr="0053072D">
              <w:rPr>
                <w:rFonts w:cs="Arial"/>
                <w:color w:val="000000"/>
                <w:sz w:val="20"/>
                <w:szCs w:val="20"/>
                <w:lang w:val="en-ID" w:eastAsia="en-ID"/>
              </w:rPr>
              <w:t xml:space="preserve"> </w:t>
            </w:r>
          </w:p>
          <w:p w14:paraId="4E8FDF9A" w14:textId="06046642" w:rsidR="00B30B11" w:rsidRPr="0053072D" w:rsidRDefault="00B30B11" w:rsidP="00EE453C">
            <w:pPr>
              <w:keepNext/>
              <w:keepLines/>
              <w:spacing w:after="120"/>
              <w:ind w:left="11"/>
              <w:outlineLvl w:val="1"/>
              <w:rPr>
                <w:rFonts w:cs="Arial"/>
                <w:color w:val="000000"/>
                <w:sz w:val="20"/>
                <w:szCs w:val="20"/>
                <w:lang w:val="en-ID" w:eastAsia="en-ID"/>
              </w:rPr>
            </w:pPr>
            <w:bookmarkStart w:id="250" w:name="_Toc173318434"/>
            <w:r w:rsidRPr="0053072D">
              <w:rPr>
                <w:rFonts w:cs="Arial"/>
                <w:color w:val="000000"/>
                <w:sz w:val="20"/>
                <w:szCs w:val="20"/>
                <w:lang w:val="en-ID" w:eastAsia="en-ID"/>
              </w:rPr>
              <w:t>The study revealed that WSAs are perceived to have better negotiation skills than their male counterparts. Additionally, WSAs have a better reception among women kiosk owners, senior farmers, and women farmers. With the benefits that WSAs potentially bring to the CP companies, PRISMA  share</w:t>
            </w:r>
            <w:r>
              <w:rPr>
                <w:rFonts w:cs="Arial"/>
                <w:color w:val="000000"/>
                <w:sz w:val="20"/>
                <w:szCs w:val="20"/>
                <w:lang w:val="en-ID" w:eastAsia="en-ID"/>
              </w:rPr>
              <w:t>d</w:t>
            </w:r>
            <w:r w:rsidRPr="0053072D">
              <w:rPr>
                <w:rFonts w:cs="Arial"/>
                <w:color w:val="000000"/>
                <w:sz w:val="20"/>
                <w:szCs w:val="20"/>
                <w:lang w:val="en-ID" w:eastAsia="en-ID"/>
              </w:rPr>
              <w:t xml:space="preserve"> these findings with CP companies at </w:t>
            </w:r>
            <w:r>
              <w:rPr>
                <w:rFonts w:cs="Arial"/>
                <w:color w:val="000000"/>
                <w:sz w:val="20"/>
                <w:szCs w:val="20"/>
                <w:lang w:val="en-ID" w:eastAsia="en-ID"/>
              </w:rPr>
              <w:t>the</w:t>
            </w:r>
            <w:r w:rsidRPr="0053072D">
              <w:rPr>
                <w:rFonts w:cs="Arial"/>
                <w:color w:val="000000"/>
                <w:sz w:val="20"/>
                <w:szCs w:val="20"/>
                <w:lang w:val="en-ID" w:eastAsia="en-ID"/>
              </w:rPr>
              <w:t xml:space="preserve"> dissemination event in Jakarta.</w:t>
            </w:r>
            <w:bookmarkEnd w:id="250"/>
          </w:p>
        </w:tc>
      </w:tr>
      <w:tr w:rsidR="00B30B11" w:rsidRPr="0053072D" w14:paraId="58BBCF7C" w14:textId="77777777" w:rsidTr="00EE453C">
        <w:tc>
          <w:tcPr>
            <w:tcW w:w="2122" w:type="dxa"/>
            <w:vMerge w:val="restart"/>
          </w:tcPr>
          <w:p w14:paraId="16C8009F" w14:textId="20F0392A"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251" w:name="_Toc173318435"/>
            <w:r w:rsidRPr="0053072D">
              <w:rPr>
                <w:rFonts w:eastAsia="Times New Roman" w:cs="Aptos"/>
                <w:color w:val="000000"/>
                <w:sz w:val="20"/>
                <w:szCs w:val="20"/>
                <w:lang w:val="en-ID" w:eastAsia="en-ID"/>
              </w:rPr>
              <w:lastRenderedPageBreak/>
              <w:t>Strategies towards ensuring greater sustainability</w:t>
            </w:r>
            <w:bookmarkEnd w:id="251"/>
          </w:p>
        </w:tc>
        <w:tc>
          <w:tcPr>
            <w:tcW w:w="2835" w:type="dxa"/>
            <w:vMerge w:val="restart"/>
          </w:tcPr>
          <w:p w14:paraId="11CC9494" w14:textId="52EA7E0A"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252" w:name="_Toc173318436"/>
            <w:r w:rsidRPr="0053072D">
              <w:rPr>
                <w:rFonts w:eastAsia="Times New Roman" w:cs="Aptos"/>
                <w:color w:val="000000"/>
                <w:sz w:val="20"/>
                <w:szCs w:val="20"/>
                <w:lang w:val="en-ID" w:eastAsia="en-ID"/>
              </w:rPr>
              <w:t>Improving the private sector’s (CP companies) delivery of educational messages</w:t>
            </w:r>
            <w:bookmarkEnd w:id="252"/>
          </w:p>
        </w:tc>
        <w:tc>
          <w:tcPr>
            <w:tcW w:w="2698" w:type="dxa"/>
          </w:tcPr>
          <w:p w14:paraId="706CB550" w14:textId="2E5DF2BA"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253" w:name="_Toc173318437"/>
            <w:r w:rsidRPr="0053072D">
              <w:rPr>
                <w:rFonts w:eastAsia="Times New Roman" w:cs="Aptos"/>
                <w:color w:val="000000"/>
                <w:sz w:val="20"/>
                <w:szCs w:val="20"/>
                <w:lang w:val="en-ID" w:eastAsia="en-ID"/>
              </w:rPr>
              <w:t>Develop a monitoring tool framework for measuring the quality of education-based marketing activities and share it with training providers and CP companies.</w:t>
            </w:r>
            <w:bookmarkEnd w:id="253"/>
          </w:p>
        </w:tc>
        <w:tc>
          <w:tcPr>
            <w:tcW w:w="3118" w:type="dxa"/>
          </w:tcPr>
          <w:p w14:paraId="1574A175" w14:textId="7E4B0E7C" w:rsidR="00B30B11" w:rsidRPr="0053072D" w:rsidRDefault="00B30B11" w:rsidP="00EE453C">
            <w:pPr>
              <w:keepNext/>
              <w:keepLines/>
              <w:spacing w:after="80"/>
              <w:ind w:left="731" w:hanging="360"/>
              <w:outlineLvl w:val="1"/>
              <w:rPr>
                <w:rFonts w:eastAsia="Times New Roman" w:cs="Arial"/>
                <w:color w:val="000000"/>
                <w:sz w:val="20"/>
                <w:szCs w:val="20"/>
                <w:lang w:val="en-ID" w:eastAsia="en-ID"/>
              </w:rPr>
            </w:pPr>
            <w:bookmarkStart w:id="254" w:name="_Toc173318438"/>
            <w:r w:rsidRPr="0053072D">
              <w:rPr>
                <w:rFonts w:eastAsia="Times New Roman" w:cs="Arial"/>
                <w:color w:val="000000"/>
                <w:sz w:val="20"/>
                <w:szCs w:val="20"/>
                <w:lang w:val="en-ID" w:eastAsia="en-ID"/>
              </w:rPr>
              <w:t>A monitoring tool framework for CP companies</w:t>
            </w:r>
            <w:bookmarkEnd w:id="254"/>
          </w:p>
          <w:p w14:paraId="3662CA37" w14:textId="50F9D81B" w:rsidR="00B30B11" w:rsidRPr="0053072D" w:rsidRDefault="00B30B11" w:rsidP="00EE453C">
            <w:pPr>
              <w:keepNext/>
              <w:keepLines/>
              <w:spacing w:after="80"/>
              <w:ind w:left="731" w:hanging="360"/>
              <w:outlineLvl w:val="1"/>
              <w:rPr>
                <w:rFonts w:eastAsia="Times New Roman" w:cs="Arial"/>
                <w:color w:val="000000"/>
                <w:sz w:val="20"/>
                <w:szCs w:val="20"/>
                <w:lang w:val="en-ID" w:eastAsia="en-ID"/>
              </w:rPr>
            </w:pPr>
            <w:bookmarkStart w:id="255" w:name="_Toc173318439"/>
            <w:r w:rsidRPr="0053072D">
              <w:rPr>
                <w:rFonts w:eastAsia="Times New Roman" w:cs="Arial"/>
                <w:color w:val="000000"/>
                <w:sz w:val="20"/>
                <w:szCs w:val="20"/>
                <w:lang w:val="en-ID" w:eastAsia="en-ID"/>
              </w:rPr>
              <w:t>A dissemination workshop in Jakarta</w:t>
            </w:r>
            <w:bookmarkEnd w:id="255"/>
          </w:p>
          <w:p w14:paraId="06F4691D" w14:textId="6427EA7E" w:rsidR="00B30B11" w:rsidRPr="0053072D" w:rsidRDefault="00B30B11" w:rsidP="00EE453C">
            <w:pPr>
              <w:keepNext/>
              <w:keepLines/>
              <w:spacing w:after="80"/>
              <w:ind w:left="731" w:hanging="360"/>
              <w:outlineLvl w:val="1"/>
              <w:rPr>
                <w:rFonts w:eastAsia="Times New Roman" w:cs="Arial"/>
                <w:color w:val="000000"/>
                <w:sz w:val="20"/>
                <w:szCs w:val="20"/>
                <w:lang w:val="en-ID" w:eastAsia="en-ID"/>
              </w:rPr>
            </w:pPr>
            <w:bookmarkStart w:id="256" w:name="_Toc173318440"/>
            <w:r w:rsidRPr="0053072D">
              <w:rPr>
                <w:rFonts w:eastAsia="Times New Roman" w:cs="Aptos"/>
                <w:color w:val="000000"/>
                <w:sz w:val="20"/>
                <w:szCs w:val="20"/>
                <w:lang w:val="en-ID" w:eastAsia="en-ID"/>
              </w:rPr>
              <w:t>The monitoring tool framework is disseminated to 3 CP companies.</w:t>
            </w:r>
            <w:bookmarkEnd w:id="256"/>
          </w:p>
        </w:tc>
        <w:tc>
          <w:tcPr>
            <w:tcW w:w="3787" w:type="dxa"/>
          </w:tcPr>
          <w:p w14:paraId="69713BCC" w14:textId="19B6DAD7" w:rsidR="00B30B11" w:rsidRPr="0053072D" w:rsidRDefault="00B30B11" w:rsidP="00EE453C">
            <w:pPr>
              <w:keepNext/>
              <w:keepLines/>
              <w:spacing w:after="120"/>
              <w:ind w:left="11"/>
              <w:outlineLvl w:val="1"/>
              <w:rPr>
                <w:rFonts w:cs="Arial"/>
                <w:color w:val="000000"/>
                <w:sz w:val="20"/>
                <w:szCs w:val="20"/>
                <w:lang w:val="en-ID" w:eastAsia="en-ID"/>
              </w:rPr>
            </w:pPr>
            <w:bookmarkStart w:id="257" w:name="_Toc173318441"/>
            <w:r w:rsidRPr="0053072D">
              <w:rPr>
                <w:rFonts w:cs="Arial"/>
                <w:color w:val="000000"/>
                <w:sz w:val="20"/>
                <w:szCs w:val="20"/>
                <w:lang w:val="en-ID" w:eastAsia="en-ID"/>
              </w:rPr>
              <w:t xml:space="preserve">PRISMA conducted a farmer survey to design a diagnostic tool for CP companies to monitor their field activities. The tool </w:t>
            </w:r>
            <w:r>
              <w:rPr>
                <w:rFonts w:cs="Arial"/>
                <w:color w:val="000000"/>
                <w:sz w:val="20"/>
                <w:szCs w:val="20"/>
                <w:lang w:val="en-ID" w:eastAsia="en-ID"/>
              </w:rPr>
              <w:t>is</w:t>
            </w:r>
            <w:r w:rsidRPr="0053072D">
              <w:rPr>
                <w:rFonts w:cs="Arial"/>
                <w:color w:val="000000"/>
                <w:sz w:val="20"/>
                <w:szCs w:val="20"/>
                <w:lang w:val="en-ID" w:eastAsia="en-ID"/>
              </w:rPr>
              <w:t xml:space="preserve"> a weighted questionnaire with a set of simple predictive questions that companies can use to check the effectiveness of marketing activities and their market positioning.</w:t>
            </w:r>
            <w:bookmarkEnd w:id="257"/>
          </w:p>
          <w:p w14:paraId="380FFF24" w14:textId="47494138" w:rsidR="00B30B11" w:rsidRPr="0053072D" w:rsidRDefault="00B30B11" w:rsidP="00EE453C">
            <w:pPr>
              <w:keepNext/>
              <w:keepLines/>
              <w:spacing w:after="120"/>
              <w:ind w:left="11"/>
              <w:outlineLvl w:val="1"/>
              <w:rPr>
                <w:rFonts w:cs="Arial"/>
                <w:color w:val="000000"/>
                <w:sz w:val="20"/>
                <w:szCs w:val="20"/>
                <w:lang w:val="en-ID" w:eastAsia="en-ID"/>
              </w:rPr>
            </w:pPr>
            <w:bookmarkStart w:id="258" w:name="_Toc173318442"/>
            <w:r w:rsidRPr="0053072D">
              <w:rPr>
                <w:rFonts w:cs="Arial"/>
                <w:color w:val="000000"/>
                <w:sz w:val="20"/>
                <w:szCs w:val="20"/>
                <w:lang w:val="en-ID" w:eastAsia="en-ID"/>
              </w:rPr>
              <w:t xml:space="preserve">PRISMA summarised the findings in a market brief that </w:t>
            </w:r>
            <w:r>
              <w:rPr>
                <w:rFonts w:cs="Arial"/>
                <w:color w:val="000000"/>
                <w:sz w:val="20"/>
                <w:szCs w:val="20"/>
                <w:lang w:val="en-ID" w:eastAsia="en-ID"/>
              </w:rPr>
              <w:t xml:space="preserve">was shared </w:t>
            </w:r>
            <w:r w:rsidRPr="0053072D">
              <w:rPr>
                <w:rFonts w:cs="Arial"/>
                <w:color w:val="000000"/>
                <w:sz w:val="20"/>
                <w:szCs w:val="20"/>
                <w:lang w:val="en-ID" w:eastAsia="en-ID"/>
              </w:rPr>
              <w:t>at the event in Jakarta.</w:t>
            </w:r>
            <w:bookmarkEnd w:id="258"/>
          </w:p>
        </w:tc>
      </w:tr>
      <w:tr w:rsidR="00B30B11" w:rsidRPr="0053072D" w14:paraId="59404EF3" w14:textId="77777777" w:rsidTr="00EE453C">
        <w:tc>
          <w:tcPr>
            <w:tcW w:w="2122" w:type="dxa"/>
            <w:vMerge/>
          </w:tcPr>
          <w:p w14:paraId="3813A5DC"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835" w:type="dxa"/>
            <w:vMerge/>
          </w:tcPr>
          <w:p w14:paraId="64CEAC48"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98" w:type="dxa"/>
          </w:tcPr>
          <w:p w14:paraId="67B42B4F" w14:textId="0848DF9D"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259" w:name="_Toc173318443"/>
            <w:r w:rsidRPr="0053072D">
              <w:rPr>
                <w:rFonts w:eastAsia="Times New Roman" w:cs="Aptos"/>
                <w:color w:val="000000"/>
                <w:sz w:val="20"/>
                <w:szCs w:val="20"/>
                <w:lang w:val="en-ID" w:eastAsia="en-ID"/>
              </w:rPr>
              <w:t>Support training providers in developing and promoting training services to CP companies.</w:t>
            </w:r>
            <w:bookmarkEnd w:id="259"/>
          </w:p>
        </w:tc>
        <w:tc>
          <w:tcPr>
            <w:tcW w:w="3118" w:type="dxa"/>
          </w:tcPr>
          <w:p w14:paraId="05EE57C9" w14:textId="77777777" w:rsidR="00B30B11" w:rsidRPr="0053072D" w:rsidRDefault="00B30B11" w:rsidP="00EE453C">
            <w:pPr>
              <w:keepNext/>
              <w:keepLines/>
              <w:spacing w:after="80"/>
              <w:ind w:left="731" w:hanging="360"/>
              <w:outlineLvl w:val="1"/>
              <w:rPr>
                <w:rFonts w:eastAsia="Times New Roman" w:cs="Arial"/>
                <w:color w:val="000000"/>
                <w:sz w:val="20"/>
                <w:szCs w:val="20"/>
                <w:lang w:val="en-ID" w:eastAsia="en-ID"/>
              </w:rPr>
            </w:pPr>
            <w:bookmarkStart w:id="260" w:name="_Toc173318444"/>
            <w:r w:rsidRPr="0053072D">
              <w:rPr>
                <w:rFonts w:eastAsia="Times New Roman" w:cs="Aptos"/>
                <w:color w:val="000000"/>
                <w:sz w:val="20"/>
                <w:szCs w:val="20"/>
                <w:lang w:val="en-ID" w:eastAsia="en-ID"/>
              </w:rPr>
              <w:t>Facilitation workshops for training providers and CP companies</w:t>
            </w:r>
            <w:bookmarkEnd w:id="260"/>
            <w:r w:rsidRPr="0053072D">
              <w:rPr>
                <w:rFonts w:eastAsia="Times New Roman" w:cs="Aptos"/>
                <w:color w:val="000000"/>
                <w:sz w:val="20"/>
                <w:szCs w:val="20"/>
                <w:lang w:val="en-ID" w:eastAsia="en-ID"/>
              </w:rPr>
              <w:t xml:space="preserve"> </w:t>
            </w:r>
          </w:p>
          <w:p w14:paraId="23AA6495" w14:textId="6B52541A" w:rsidR="00B30B11" w:rsidRPr="0053072D" w:rsidRDefault="00B30B11" w:rsidP="00EE453C">
            <w:pPr>
              <w:keepNext/>
              <w:keepLines/>
              <w:spacing w:after="80"/>
              <w:ind w:left="731" w:hanging="360"/>
              <w:outlineLvl w:val="1"/>
              <w:rPr>
                <w:rFonts w:eastAsia="Times New Roman" w:cs="Arial"/>
                <w:color w:val="000000"/>
                <w:sz w:val="20"/>
                <w:szCs w:val="20"/>
                <w:lang w:val="en-ID" w:eastAsia="en-ID"/>
              </w:rPr>
            </w:pPr>
            <w:bookmarkStart w:id="261" w:name="_Toc173318445"/>
            <w:r w:rsidRPr="0053072D">
              <w:rPr>
                <w:rFonts w:eastAsia="Times New Roman" w:cs="Aptos"/>
                <w:color w:val="000000"/>
                <w:sz w:val="20"/>
                <w:szCs w:val="20"/>
                <w:lang w:val="en-ID" w:eastAsia="en-ID"/>
              </w:rPr>
              <w:t>Promotional materials designed and tailored to the CP companies as a new market</w:t>
            </w:r>
            <w:bookmarkEnd w:id="261"/>
          </w:p>
          <w:p w14:paraId="5AE16232" w14:textId="77777777" w:rsidR="00B30B11" w:rsidRPr="0053072D" w:rsidRDefault="00B30B11" w:rsidP="00EE453C">
            <w:pPr>
              <w:keepNext/>
              <w:keepLines/>
              <w:spacing w:after="80"/>
              <w:ind w:left="731" w:hanging="360"/>
              <w:outlineLvl w:val="1"/>
              <w:rPr>
                <w:rFonts w:eastAsia="Times New Roman" w:cs="Arial"/>
                <w:color w:val="000000"/>
                <w:sz w:val="20"/>
                <w:szCs w:val="20"/>
                <w:lang w:val="en-ID" w:eastAsia="en-ID"/>
              </w:rPr>
            </w:pPr>
            <w:bookmarkStart w:id="262" w:name="_Toc173318446"/>
            <w:r w:rsidRPr="0053072D">
              <w:rPr>
                <w:rFonts w:eastAsia="Times New Roman" w:cs="Aptos"/>
                <w:color w:val="000000"/>
                <w:sz w:val="20"/>
                <w:szCs w:val="20"/>
                <w:lang w:val="en-ID" w:eastAsia="en-ID"/>
              </w:rPr>
              <w:t>Marketing and promotional activities</w:t>
            </w:r>
            <w:bookmarkEnd w:id="262"/>
            <w:r w:rsidRPr="0053072D">
              <w:rPr>
                <w:rFonts w:eastAsia="Times New Roman" w:cs="Aptos"/>
                <w:color w:val="000000"/>
                <w:sz w:val="20"/>
                <w:szCs w:val="20"/>
                <w:lang w:val="en-ID" w:eastAsia="en-ID"/>
              </w:rPr>
              <w:t xml:space="preserve"> </w:t>
            </w:r>
          </w:p>
        </w:tc>
        <w:tc>
          <w:tcPr>
            <w:tcW w:w="3787" w:type="dxa"/>
          </w:tcPr>
          <w:p w14:paraId="13810F9A"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263" w:name="_Toc173318447"/>
            <w:r w:rsidRPr="0053072D">
              <w:rPr>
                <w:rFonts w:eastAsia="Times New Roman" w:cs="Arial"/>
                <w:color w:val="000000"/>
                <w:sz w:val="20"/>
                <w:szCs w:val="20"/>
                <w:lang w:val="en-ID" w:eastAsia="en-ID"/>
              </w:rPr>
              <w:t xml:space="preserve">The team faced challenges in engaging training providers, as the current market for training is underdeveloped. CP companies do not consider investment in training to be their top priority. PRISMA invited training providers to the dissemination event in </w:t>
            </w:r>
            <w:r>
              <w:rPr>
                <w:rFonts w:eastAsia="Times New Roman" w:cs="Arial"/>
                <w:color w:val="000000"/>
                <w:sz w:val="20"/>
                <w:szCs w:val="20"/>
                <w:lang w:val="en-ID" w:eastAsia="en-ID"/>
              </w:rPr>
              <w:t>to</w:t>
            </w:r>
            <w:r w:rsidRPr="0053072D">
              <w:rPr>
                <w:rFonts w:eastAsia="Times New Roman" w:cs="Arial"/>
                <w:color w:val="000000"/>
                <w:sz w:val="20"/>
                <w:szCs w:val="20"/>
                <w:lang w:val="en-ID" w:eastAsia="en-ID"/>
              </w:rPr>
              <w:t xml:space="preserve"> encourage engagement and highlight the importance of capacity development in improving marketing strategy effectiveness.</w:t>
            </w:r>
            <w:bookmarkEnd w:id="263"/>
            <w:r w:rsidRPr="0053072D">
              <w:rPr>
                <w:rFonts w:eastAsia="Times New Roman" w:cs="Arial"/>
                <w:color w:val="000000"/>
                <w:sz w:val="20"/>
                <w:szCs w:val="20"/>
                <w:lang w:val="en-ID" w:eastAsia="en-ID"/>
              </w:rPr>
              <w:t xml:space="preserve"> </w:t>
            </w:r>
          </w:p>
        </w:tc>
      </w:tr>
    </w:tbl>
    <w:p w14:paraId="1321AF79" w14:textId="77777777" w:rsidR="00B30B11" w:rsidRPr="0053072D" w:rsidRDefault="00B30B11" w:rsidP="00B30B11">
      <w:pPr>
        <w:keepNext/>
        <w:keepLines/>
        <w:spacing w:after="120" w:line="240" w:lineRule="auto"/>
        <w:ind w:left="11"/>
        <w:outlineLvl w:val="1"/>
        <w:rPr>
          <w:rFonts w:eastAsia="Times New Roman" w:cs="Arial"/>
          <w:color w:val="000000"/>
          <w:szCs w:val="20"/>
          <w:lang w:val="en-ID" w:eastAsia="en-ID"/>
        </w:rPr>
      </w:pPr>
    </w:p>
    <w:p w14:paraId="0E557DB7" w14:textId="77777777" w:rsidR="00B30B11" w:rsidRPr="0053072D" w:rsidRDefault="00B30B11" w:rsidP="00B30B11">
      <w:pPr>
        <w:keepNext/>
        <w:keepLines/>
        <w:spacing w:after="120" w:line="240" w:lineRule="auto"/>
        <w:ind w:left="11"/>
        <w:outlineLvl w:val="1"/>
        <w:rPr>
          <w:rFonts w:eastAsia="Times New Roman" w:cs="Arial"/>
          <w:color w:val="000000"/>
          <w:szCs w:val="20"/>
          <w:lang w:val="en-ID" w:eastAsia="en-ID"/>
        </w:rPr>
      </w:pPr>
    </w:p>
    <w:p w14:paraId="00C49746" w14:textId="77777777" w:rsidR="00B30B11" w:rsidRPr="0053072D" w:rsidRDefault="00B30B11" w:rsidP="00B30B11">
      <w:pPr>
        <w:keepNext/>
        <w:keepLines/>
        <w:spacing w:after="120" w:line="240" w:lineRule="auto"/>
        <w:ind w:left="11"/>
        <w:outlineLvl w:val="1"/>
        <w:rPr>
          <w:rFonts w:eastAsia="Times New Roman" w:cs="Arial"/>
          <w:color w:val="000000"/>
          <w:szCs w:val="20"/>
          <w:lang w:val="en-ID" w:eastAsia="en-ID"/>
        </w:rPr>
      </w:pPr>
    </w:p>
    <w:p w14:paraId="4794F75B" w14:textId="555B4DB3" w:rsidR="00B30B11" w:rsidRPr="00971661" w:rsidRDefault="00B30B11" w:rsidP="00B30B11">
      <w:pPr>
        <w:keepNext/>
        <w:keepLines/>
        <w:spacing w:after="360" w:line="240" w:lineRule="auto"/>
        <w:ind w:left="851"/>
        <w:outlineLvl w:val="1"/>
        <w:rPr>
          <w:rFonts w:eastAsia="Times New Roman" w:cs="Arial"/>
          <w:b/>
          <w:bCs/>
          <w:color w:val="262C66"/>
          <w:sz w:val="24"/>
          <w:szCs w:val="24"/>
          <w:lang w:val="en-ID" w:eastAsia="en-ID"/>
        </w:rPr>
      </w:pPr>
      <w:bookmarkStart w:id="264" w:name="_Toc173318448"/>
      <w:r w:rsidRPr="00971661">
        <w:rPr>
          <w:rFonts w:eastAsia="Times New Roman" w:cs="Arial"/>
          <w:b/>
          <w:bCs/>
          <w:noProof/>
          <w:color w:val="262C66"/>
          <w:sz w:val="24"/>
          <w:szCs w:val="24"/>
          <w:lang w:val="en-ID" w:eastAsia="en-ID"/>
          <w14:ligatures w14:val="standardContextual"/>
        </w:rPr>
        <w:drawing>
          <wp:anchor distT="0" distB="0" distL="114300" distR="114300" simplePos="0" relativeHeight="251658274" behindDoc="0" locked="0" layoutInCell="1" allowOverlap="1" wp14:anchorId="77412BC9" wp14:editId="1A39B6E2">
            <wp:simplePos x="0" y="0"/>
            <wp:positionH relativeFrom="column">
              <wp:posOffset>46990</wp:posOffset>
            </wp:positionH>
            <wp:positionV relativeFrom="paragraph">
              <wp:posOffset>-76200</wp:posOffset>
            </wp:positionV>
            <wp:extent cx="396000" cy="396000"/>
            <wp:effectExtent l="0" t="0" r="0" b="0"/>
            <wp:wrapNone/>
            <wp:docPr id="80107546"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930286" name="Graphic 4">
                      <a:extLst>
                        <a:ext uri="{C183D7F6-B498-43B3-948B-1728B52AA6E4}">
                          <adec:decorative xmlns:adec="http://schemas.microsoft.com/office/drawing/2017/decorative" val="1"/>
                        </a:ext>
                      </a:extLst>
                    </pic:cNvPr>
                    <pic:cNvPicPr/>
                  </pic:nvPicPr>
                  <pic:blipFill>
                    <a:blip r:embed="rId148" cstate="print">
                      <a:extLst>
                        <a:ext uri="{28A0092B-C50C-407E-A947-70E740481C1C}">
                          <a14:useLocalDpi xmlns:a14="http://schemas.microsoft.com/office/drawing/2010/main" val="0"/>
                        </a:ext>
                        <a:ext uri="{96DAC541-7B7A-43D3-8B79-37D633B846F1}">
                          <asvg:svgBlip xmlns:asvg="http://schemas.microsoft.com/office/drawing/2016/SVG/main" r:embed="rId149"/>
                        </a:ext>
                      </a:extLst>
                    </a:blip>
                    <a:stretch>
                      <a:fillRect/>
                    </a:stretch>
                  </pic:blipFill>
                  <pic:spPr>
                    <a:xfrm>
                      <a:off x="0" y="0"/>
                      <a:ext cx="396000" cy="396000"/>
                    </a:xfrm>
                    <a:prstGeom prst="rect">
                      <a:avLst/>
                    </a:prstGeom>
                  </pic:spPr>
                </pic:pic>
              </a:graphicData>
            </a:graphic>
            <wp14:sizeRelH relativeFrom="page">
              <wp14:pctWidth>0</wp14:pctWidth>
            </wp14:sizeRelH>
            <wp14:sizeRelV relativeFrom="page">
              <wp14:pctHeight>0</wp14:pctHeight>
            </wp14:sizeRelV>
          </wp:anchor>
        </w:drawing>
      </w:r>
      <w:r w:rsidR="00321DBB">
        <w:rPr>
          <w:rFonts w:eastAsia="Times New Roman" w:cs="Arial"/>
          <w:b/>
          <w:bCs/>
          <w:color w:val="262C66"/>
          <w:sz w:val="24"/>
          <w:szCs w:val="24"/>
          <w:lang w:val="en-ID" w:eastAsia="en-ID"/>
        </w:rPr>
        <w:t>Progress</w:t>
      </w:r>
      <w:r w:rsidRPr="00971661">
        <w:rPr>
          <w:rFonts w:eastAsia="Times New Roman" w:cs="Arial"/>
          <w:b/>
          <w:bCs/>
          <w:color w:val="262C66"/>
          <w:sz w:val="24"/>
          <w:szCs w:val="24"/>
          <w:lang w:val="en-ID" w:eastAsia="en-ID"/>
        </w:rPr>
        <w:t>: Dairy</w:t>
      </w:r>
      <w:bookmarkEnd w:id="264"/>
    </w:p>
    <w:p w14:paraId="38E2329E" w14:textId="00F36ACA" w:rsidR="00B30B11" w:rsidRPr="0053072D" w:rsidRDefault="00B30B11" w:rsidP="00B30B11">
      <w:pPr>
        <w:keepNext/>
        <w:keepLines/>
        <w:spacing w:before="120" w:after="120" w:line="276" w:lineRule="auto"/>
        <w:contextualSpacing/>
        <w:outlineLvl w:val="1"/>
        <w:rPr>
          <w:rFonts w:eastAsia="Yu Gothic" w:cs="Arial"/>
          <w:b/>
          <w:bCs/>
          <w:color w:val="252D65"/>
          <w:szCs w:val="20"/>
        </w:rPr>
      </w:pPr>
      <w:bookmarkStart w:id="265" w:name="_Toc173318449"/>
      <w:r w:rsidRPr="0053072D">
        <w:rPr>
          <w:rFonts w:eastAsia="Yu Gothic" w:cs="Arial"/>
          <w:b/>
          <w:bCs/>
          <w:color w:val="252D65"/>
          <w:szCs w:val="20"/>
        </w:rPr>
        <w:t>Vision</w:t>
      </w:r>
      <w:bookmarkEnd w:id="265"/>
    </w:p>
    <w:p w14:paraId="58BC9D61" w14:textId="3D10394C" w:rsidR="00B30B11" w:rsidRDefault="00B30B11" w:rsidP="00B30B11">
      <w:pPr>
        <w:keepNext/>
        <w:keepLines/>
        <w:spacing w:after="500" w:line="276" w:lineRule="auto"/>
        <w:ind w:right="-6"/>
        <w:contextualSpacing/>
        <w:outlineLvl w:val="1"/>
        <w:rPr>
          <w:rFonts w:eastAsia="Yu Gothic" w:cs="Arial"/>
          <w:color w:val="000000"/>
          <w:szCs w:val="20"/>
        </w:rPr>
      </w:pPr>
      <w:bookmarkStart w:id="266" w:name="_Toc173318450"/>
      <w:r w:rsidRPr="0053072D">
        <w:rPr>
          <w:rFonts w:eastAsia="Yu Gothic" w:cs="Arial"/>
          <w:color w:val="000000"/>
          <w:szCs w:val="20"/>
        </w:rPr>
        <w:t>Small-scale dairy farmers in East and Central Java improve milk quality and productivity as a result of adopting good practices in rearing, feeding, and health management and gaining access to good dairy breeds and more secure end markets where the milk price is based on quality. PRISMA will improve the management and business practices at the farm level by working with feed and pharma companies and enable access to good dairy breeds through its policy advocacy. In addition, PRISMA will work with dairy processors to improve milk handling at collection points and expand distribution networks. With better access to dairy processors, farmers will have increased incentives to improve their milk quality and yields.</w:t>
      </w:r>
      <w:bookmarkEnd w:id="266"/>
    </w:p>
    <w:p w14:paraId="01359A8D" w14:textId="77777777" w:rsidR="00B30B11" w:rsidRPr="0053072D" w:rsidRDefault="00B30B11" w:rsidP="00B30B11">
      <w:pPr>
        <w:keepNext/>
        <w:keepLines/>
        <w:spacing w:after="500" w:line="276" w:lineRule="auto"/>
        <w:ind w:right="-6"/>
        <w:contextualSpacing/>
        <w:outlineLvl w:val="1"/>
        <w:rPr>
          <w:rFonts w:eastAsia="Yu Gothic" w:cs="Arial"/>
          <w:color w:val="000000"/>
          <w:szCs w:val="20"/>
        </w:rPr>
      </w:pPr>
    </w:p>
    <w:tbl>
      <w:tblPr>
        <w:tblStyle w:val="TableGrid1"/>
        <w:tblpPr w:leftFromText="181" w:rightFromText="181" w:vertAnchor="text" w:tblpY="1"/>
        <w:tblOverlap w:val="never"/>
        <w:tblW w:w="0" w:type="auto"/>
        <w:tblBorders>
          <w:top w:val="none" w:sz="0" w:space="0" w:color="auto"/>
          <w:left w:val="none" w:sz="0" w:space="0" w:color="auto"/>
          <w:bottom w:val="single" w:sz="4" w:space="0" w:color="000000"/>
          <w:right w:val="none" w:sz="0" w:space="0" w:color="auto"/>
          <w:insideH w:val="single" w:sz="4" w:space="0" w:color="000000"/>
          <w:insideV w:val="none" w:sz="0" w:space="0" w:color="auto"/>
        </w:tblBorders>
        <w:tblCellMar>
          <w:top w:w="170" w:type="dxa"/>
          <w:bottom w:w="113" w:type="dxa"/>
          <w:right w:w="170" w:type="dxa"/>
        </w:tblCellMar>
        <w:tblLook w:val="06A0" w:firstRow="1" w:lastRow="0" w:firstColumn="1" w:lastColumn="0" w:noHBand="1" w:noVBand="1"/>
      </w:tblPr>
      <w:tblGrid>
        <w:gridCol w:w="2122"/>
        <w:gridCol w:w="2835"/>
        <w:gridCol w:w="2698"/>
        <w:gridCol w:w="3118"/>
        <w:gridCol w:w="3787"/>
      </w:tblGrid>
      <w:tr w:rsidR="00B30B11" w:rsidRPr="0053072D" w14:paraId="6E77FE45" w14:textId="77777777" w:rsidTr="00EE453C">
        <w:tc>
          <w:tcPr>
            <w:tcW w:w="2122" w:type="dxa"/>
            <w:tcBorders>
              <w:top w:val="nil"/>
              <w:right w:val="single" w:sz="4" w:space="0" w:color="FFFFFF" w:themeColor="background2"/>
            </w:tcBorders>
            <w:shd w:val="clear" w:color="auto" w:fill="262C66"/>
          </w:tcPr>
          <w:p w14:paraId="56EE851A" w14:textId="4E9EE672" w:rsidR="00B30B11" w:rsidRPr="0053072D" w:rsidRDefault="00B30B11" w:rsidP="00971661">
            <w:pPr>
              <w:keepNext/>
              <w:keepLines/>
              <w:spacing w:before="60" w:after="60"/>
              <w:ind w:left="11"/>
              <w:jc w:val="center"/>
              <w:outlineLvl w:val="1"/>
              <w:rPr>
                <w:rFonts w:eastAsia="Times New Roman" w:cs="Arial"/>
                <w:b/>
                <w:bCs/>
                <w:color w:val="FFFFFF"/>
                <w:sz w:val="20"/>
                <w:szCs w:val="20"/>
                <w:lang w:val="en-ID" w:eastAsia="en-ID"/>
              </w:rPr>
            </w:pPr>
            <w:bookmarkStart w:id="267" w:name="_Toc173318451"/>
            <w:r w:rsidRPr="0053072D">
              <w:rPr>
                <w:rFonts w:eastAsia="Times New Roman" w:cs="Arial"/>
                <w:b/>
                <w:bCs/>
                <w:color w:val="FFFFFF"/>
                <w:sz w:val="20"/>
                <w:szCs w:val="20"/>
                <w:lang w:val="en-ID" w:eastAsia="en-ID"/>
              </w:rPr>
              <w:t>Exit strategies</w:t>
            </w:r>
            <w:bookmarkEnd w:id="267"/>
          </w:p>
        </w:tc>
        <w:tc>
          <w:tcPr>
            <w:tcW w:w="2835" w:type="dxa"/>
            <w:tcBorders>
              <w:top w:val="nil"/>
              <w:left w:val="single" w:sz="4" w:space="0" w:color="FFFFFF" w:themeColor="background2"/>
              <w:right w:val="single" w:sz="4" w:space="0" w:color="FFFFFF" w:themeColor="background2"/>
            </w:tcBorders>
            <w:shd w:val="clear" w:color="auto" w:fill="262C66"/>
          </w:tcPr>
          <w:p w14:paraId="177521BF" w14:textId="5A6DD1DA" w:rsidR="00B30B11" w:rsidRPr="0053072D" w:rsidRDefault="00B30B11" w:rsidP="00971661">
            <w:pPr>
              <w:keepNext/>
              <w:keepLines/>
              <w:spacing w:before="60" w:after="60"/>
              <w:ind w:left="11"/>
              <w:jc w:val="center"/>
              <w:outlineLvl w:val="1"/>
              <w:rPr>
                <w:rFonts w:eastAsia="Times New Roman" w:cs="Arial"/>
                <w:b/>
                <w:bCs/>
                <w:color w:val="FFFFFF"/>
                <w:sz w:val="20"/>
                <w:szCs w:val="20"/>
                <w:lang w:val="en-ID" w:eastAsia="en-ID"/>
              </w:rPr>
            </w:pPr>
            <w:bookmarkStart w:id="268" w:name="_Toc173318452"/>
            <w:r w:rsidRPr="0053072D">
              <w:rPr>
                <w:rFonts w:eastAsia="Times New Roman" w:cs="Arial"/>
                <w:b/>
                <w:bCs/>
                <w:color w:val="FFFFFF"/>
                <w:sz w:val="20"/>
                <w:szCs w:val="20"/>
                <w:lang w:val="en-ID" w:eastAsia="en-ID"/>
              </w:rPr>
              <w:t>Focus areas</w:t>
            </w:r>
            <w:bookmarkEnd w:id="268"/>
          </w:p>
        </w:tc>
        <w:tc>
          <w:tcPr>
            <w:tcW w:w="2698" w:type="dxa"/>
            <w:tcBorders>
              <w:top w:val="nil"/>
              <w:left w:val="single" w:sz="4" w:space="0" w:color="FFFFFF" w:themeColor="background2"/>
              <w:right w:val="single" w:sz="4" w:space="0" w:color="FFFFFF" w:themeColor="background2"/>
            </w:tcBorders>
            <w:shd w:val="clear" w:color="auto" w:fill="262C66"/>
          </w:tcPr>
          <w:p w14:paraId="039C5410" w14:textId="1D8C7D8D" w:rsidR="00B30B11" w:rsidRPr="0053072D" w:rsidRDefault="00B30B11" w:rsidP="00971661">
            <w:pPr>
              <w:keepNext/>
              <w:keepLines/>
              <w:spacing w:before="60" w:after="60"/>
              <w:ind w:left="11"/>
              <w:jc w:val="center"/>
              <w:outlineLvl w:val="1"/>
              <w:rPr>
                <w:rFonts w:eastAsia="Times New Roman" w:cs="Arial"/>
                <w:b/>
                <w:bCs/>
                <w:color w:val="FFFFFF"/>
                <w:sz w:val="20"/>
                <w:szCs w:val="20"/>
                <w:lang w:val="en-ID" w:eastAsia="en-ID"/>
              </w:rPr>
            </w:pPr>
            <w:bookmarkStart w:id="269" w:name="_Toc173318453"/>
            <w:r w:rsidRPr="0053072D">
              <w:rPr>
                <w:rFonts w:eastAsia="Times New Roman" w:cs="Arial"/>
                <w:b/>
                <w:bCs/>
                <w:color w:val="FFFFFF"/>
                <w:sz w:val="20"/>
                <w:szCs w:val="20"/>
                <w:lang w:val="en-ID" w:eastAsia="en-ID"/>
              </w:rPr>
              <w:t>Planned initiatives</w:t>
            </w:r>
            <w:bookmarkEnd w:id="269"/>
          </w:p>
        </w:tc>
        <w:tc>
          <w:tcPr>
            <w:tcW w:w="3118" w:type="dxa"/>
            <w:tcBorders>
              <w:top w:val="nil"/>
              <w:left w:val="single" w:sz="4" w:space="0" w:color="FFFFFF" w:themeColor="background2"/>
              <w:right w:val="single" w:sz="4" w:space="0" w:color="FFFFFF" w:themeColor="background2"/>
            </w:tcBorders>
            <w:shd w:val="clear" w:color="auto" w:fill="262C66"/>
          </w:tcPr>
          <w:p w14:paraId="1F519BB8" w14:textId="311183D3" w:rsidR="00B30B11" w:rsidRPr="0053072D" w:rsidRDefault="00B30B11" w:rsidP="00971661">
            <w:pPr>
              <w:keepNext/>
              <w:keepLines/>
              <w:spacing w:before="60" w:after="60"/>
              <w:ind w:left="11"/>
              <w:jc w:val="center"/>
              <w:outlineLvl w:val="1"/>
              <w:rPr>
                <w:rFonts w:eastAsia="Times New Roman" w:cs="Arial"/>
                <w:b/>
                <w:bCs/>
                <w:color w:val="FFFFFF"/>
                <w:sz w:val="20"/>
                <w:szCs w:val="20"/>
                <w:lang w:val="en-ID" w:eastAsia="en-ID"/>
              </w:rPr>
            </w:pPr>
            <w:bookmarkStart w:id="270" w:name="_Toc173318454"/>
            <w:r w:rsidRPr="0053072D">
              <w:rPr>
                <w:rFonts w:eastAsia="Times New Roman" w:cs="Arial"/>
                <w:b/>
                <w:bCs/>
                <w:color w:val="FFFFFF"/>
                <w:sz w:val="20"/>
                <w:szCs w:val="20"/>
                <w:lang w:val="en-ID" w:eastAsia="en-ID"/>
              </w:rPr>
              <w:t>Expected outputs</w:t>
            </w:r>
            <w:bookmarkEnd w:id="270"/>
          </w:p>
        </w:tc>
        <w:tc>
          <w:tcPr>
            <w:tcW w:w="3787" w:type="dxa"/>
            <w:tcBorders>
              <w:top w:val="nil"/>
              <w:left w:val="single" w:sz="4" w:space="0" w:color="FFFFFF" w:themeColor="background2"/>
            </w:tcBorders>
            <w:shd w:val="clear" w:color="auto" w:fill="262C66"/>
          </w:tcPr>
          <w:p w14:paraId="18CF9446" w14:textId="51715B88" w:rsidR="00B30B11" w:rsidRPr="0053072D" w:rsidRDefault="00B30B11" w:rsidP="00971661">
            <w:pPr>
              <w:keepNext/>
              <w:keepLines/>
              <w:spacing w:before="60" w:after="60"/>
              <w:ind w:left="11"/>
              <w:jc w:val="center"/>
              <w:outlineLvl w:val="1"/>
              <w:rPr>
                <w:rFonts w:eastAsia="Times New Roman" w:cs="Arial"/>
                <w:b/>
                <w:bCs/>
                <w:color w:val="FFFFFF"/>
                <w:sz w:val="20"/>
                <w:szCs w:val="20"/>
                <w:lang w:val="en-ID" w:eastAsia="en-ID"/>
              </w:rPr>
            </w:pPr>
            <w:bookmarkStart w:id="271" w:name="_Toc173318455"/>
            <w:r w:rsidRPr="0053072D">
              <w:rPr>
                <w:rFonts w:eastAsia="Times New Roman" w:cs="Arial"/>
                <w:b/>
                <w:bCs/>
                <w:color w:val="FFFFFF"/>
                <w:sz w:val="20"/>
                <w:szCs w:val="20"/>
                <w:lang w:val="en-ID" w:eastAsia="en-ID"/>
              </w:rPr>
              <w:t>Progress update</w:t>
            </w:r>
            <w:bookmarkEnd w:id="271"/>
          </w:p>
        </w:tc>
      </w:tr>
      <w:tr w:rsidR="00B30B11" w:rsidRPr="0053072D" w14:paraId="6EBDC2E4" w14:textId="77777777" w:rsidTr="00EE453C">
        <w:tc>
          <w:tcPr>
            <w:tcW w:w="2122" w:type="dxa"/>
            <w:vMerge w:val="restart"/>
          </w:tcPr>
          <w:p w14:paraId="0C6289CA" w14:textId="612506B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272" w:name="_Toc173318456"/>
            <w:r w:rsidRPr="0053072D">
              <w:rPr>
                <w:rFonts w:eastAsia="Times New Roman" w:cs="Aptos"/>
                <w:color w:val="000000"/>
                <w:sz w:val="20"/>
                <w:szCs w:val="20"/>
                <w:lang w:val="en-ID" w:eastAsia="en-ID"/>
              </w:rPr>
              <w:t>Strategies towards ensuring greater sustainability</w:t>
            </w:r>
            <w:bookmarkEnd w:id="272"/>
          </w:p>
        </w:tc>
        <w:tc>
          <w:tcPr>
            <w:tcW w:w="2835" w:type="dxa"/>
            <w:vMerge w:val="restart"/>
          </w:tcPr>
          <w:p w14:paraId="3B4CD370" w14:textId="27C78A90"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273" w:name="_Toc173318457"/>
            <w:r w:rsidRPr="0053072D">
              <w:rPr>
                <w:rFonts w:eastAsia="Times New Roman" w:cs="Aptos"/>
                <w:color w:val="000000"/>
                <w:sz w:val="20"/>
                <w:szCs w:val="20"/>
                <w:lang w:val="en-ID" w:eastAsia="en-ID"/>
              </w:rPr>
              <w:t>Supporting partners to increase the participation of farmers with disabilities and promote CSL practices in their business strategies to increase resilience to climate change</w:t>
            </w:r>
            <w:bookmarkEnd w:id="273"/>
          </w:p>
        </w:tc>
        <w:tc>
          <w:tcPr>
            <w:tcW w:w="2698" w:type="dxa"/>
          </w:tcPr>
          <w:p w14:paraId="0D584D5A" w14:textId="608F3383"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274" w:name="_Toc173318458"/>
            <w:r w:rsidRPr="0053072D">
              <w:rPr>
                <w:rFonts w:eastAsia="Times New Roman" w:cs="Aptos"/>
                <w:color w:val="000000"/>
                <w:sz w:val="20"/>
                <w:szCs w:val="20"/>
                <w:lang w:val="en-ID" w:eastAsia="en-ID"/>
              </w:rPr>
              <w:t>Promote using climate-smart feed and pens to decrease the intensity of methane emissions from dairy cattle.</w:t>
            </w:r>
            <w:bookmarkEnd w:id="274"/>
          </w:p>
        </w:tc>
        <w:tc>
          <w:tcPr>
            <w:tcW w:w="3118" w:type="dxa"/>
          </w:tcPr>
          <w:p w14:paraId="0F9C2B1F" w14:textId="77777777" w:rsidR="00B30B11" w:rsidRPr="0053072D" w:rsidRDefault="00B30B11" w:rsidP="00971661">
            <w:pPr>
              <w:keepNext/>
              <w:keepLines/>
              <w:spacing w:after="80"/>
              <w:ind w:left="37" w:firstLine="25"/>
              <w:outlineLvl w:val="1"/>
              <w:rPr>
                <w:rFonts w:eastAsia="Times New Roman" w:cs="Arial"/>
                <w:color w:val="000000"/>
                <w:sz w:val="20"/>
                <w:szCs w:val="20"/>
                <w:lang w:val="en-ID" w:eastAsia="en-ID"/>
              </w:rPr>
            </w:pPr>
            <w:bookmarkStart w:id="275" w:name="_Toc173318459"/>
            <w:r w:rsidRPr="0053072D">
              <w:rPr>
                <w:rFonts w:eastAsia="Times New Roman" w:cs="Aptos"/>
                <w:color w:val="000000"/>
                <w:sz w:val="20"/>
                <w:szCs w:val="20"/>
                <w:lang w:val="en-ID" w:eastAsia="en-ID"/>
              </w:rPr>
              <w:t>A molasses lick block trial and a report</w:t>
            </w:r>
            <w:bookmarkEnd w:id="275"/>
            <w:r w:rsidRPr="0053072D">
              <w:rPr>
                <w:rFonts w:eastAsia="Times New Roman" w:cs="Aptos"/>
                <w:color w:val="000000"/>
                <w:sz w:val="20"/>
                <w:szCs w:val="20"/>
                <w:lang w:val="en-ID" w:eastAsia="en-ID"/>
              </w:rPr>
              <w:t xml:space="preserve"> </w:t>
            </w:r>
          </w:p>
          <w:p w14:paraId="752F0B4A" w14:textId="77777777" w:rsidR="00B30B11" w:rsidRPr="0053072D" w:rsidRDefault="00B30B11" w:rsidP="00971661">
            <w:pPr>
              <w:keepNext/>
              <w:keepLines/>
              <w:spacing w:after="80"/>
              <w:ind w:left="37" w:firstLine="25"/>
              <w:outlineLvl w:val="1"/>
              <w:rPr>
                <w:rFonts w:eastAsia="Times New Roman" w:cs="Arial"/>
                <w:color w:val="000000"/>
                <w:sz w:val="20"/>
                <w:szCs w:val="20"/>
                <w:lang w:val="en-ID" w:eastAsia="en-ID"/>
              </w:rPr>
            </w:pPr>
            <w:bookmarkStart w:id="276" w:name="_Toc173318460"/>
            <w:r w:rsidRPr="0053072D">
              <w:rPr>
                <w:rFonts w:eastAsia="Times New Roman" w:cs="Aptos"/>
                <w:color w:val="000000"/>
                <w:sz w:val="20"/>
                <w:szCs w:val="20"/>
                <w:lang w:val="en-ID" w:eastAsia="en-ID"/>
              </w:rPr>
              <w:t>Climate-smart pen trials and a report</w:t>
            </w:r>
            <w:bookmarkEnd w:id="276"/>
            <w:r w:rsidRPr="0053072D">
              <w:rPr>
                <w:rFonts w:eastAsia="Times New Roman" w:cs="Aptos"/>
                <w:color w:val="000000"/>
                <w:sz w:val="20"/>
                <w:szCs w:val="20"/>
                <w:lang w:val="en-ID" w:eastAsia="en-ID"/>
              </w:rPr>
              <w:t xml:space="preserve"> </w:t>
            </w:r>
          </w:p>
          <w:p w14:paraId="28D11D94" w14:textId="77777777" w:rsidR="00B30B11" w:rsidRPr="0053072D" w:rsidRDefault="00B30B11" w:rsidP="00971661">
            <w:pPr>
              <w:keepNext/>
              <w:keepLines/>
              <w:spacing w:after="80"/>
              <w:ind w:left="37" w:firstLine="25"/>
              <w:outlineLvl w:val="1"/>
              <w:rPr>
                <w:rFonts w:eastAsia="Times New Roman" w:cs="Arial"/>
                <w:color w:val="000000"/>
                <w:sz w:val="20"/>
                <w:szCs w:val="20"/>
                <w:lang w:val="en-ID" w:eastAsia="en-ID"/>
              </w:rPr>
            </w:pPr>
            <w:bookmarkStart w:id="277" w:name="_Toc173318461"/>
            <w:r w:rsidRPr="0053072D">
              <w:rPr>
                <w:rFonts w:eastAsia="Times New Roman" w:cs="Aptos"/>
                <w:color w:val="000000"/>
                <w:sz w:val="20"/>
                <w:szCs w:val="20"/>
                <w:lang w:val="en-ID" w:eastAsia="en-ID"/>
              </w:rPr>
              <w:t>CSL trial result publication</w:t>
            </w:r>
            <w:bookmarkEnd w:id="277"/>
            <w:r w:rsidRPr="0053072D">
              <w:rPr>
                <w:rFonts w:eastAsia="Times New Roman" w:cs="Aptos"/>
                <w:color w:val="000000"/>
                <w:sz w:val="20"/>
                <w:szCs w:val="20"/>
                <w:lang w:val="en-ID" w:eastAsia="en-ID"/>
              </w:rPr>
              <w:t xml:space="preserve"> </w:t>
            </w:r>
          </w:p>
        </w:tc>
        <w:tc>
          <w:tcPr>
            <w:tcW w:w="3787" w:type="dxa"/>
          </w:tcPr>
          <w:tbl>
            <w:tblPr>
              <w:tblW w:w="0" w:type="auto"/>
              <w:tblLook w:val="06A0" w:firstRow="1" w:lastRow="0" w:firstColumn="1" w:lastColumn="0" w:noHBand="1" w:noVBand="1"/>
            </w:tblPr>
            <w:tblGrid>
              <w:gridCol w:w="3509"/>
            </w:tblGrid>
            <w:tr w:rsidR="00B30B11" w:rsidRPr="0053072D" w14:paraId="0AD06182" w14:textId="77777777" w:rsidTr="00EE453C">
              <w:trPr>
                <w:trHeight w:val="300"/>
              </w:trPr>
              <w:tc>
                <w:tcPr>
                  <w:tcW w:w="3517" w:type="dxa"/>
                  <w:tcMar>
                    <w:left w:w="181" w:type="dxa"/>
                    <w:right w:w="181" w:type="dxa"/>
                  </w:tcMar>
                </w:tcPr>
                <w:p w14:paraId="79688ECE" w14:textId="71C69E38" w:rsidR="00B30B11" w:rsidRPr="0053072D" w:rsidRDefault="00B30B11" w:rsidP="00B00AD5">
                  <w:pPr>
                    <w:keepNext/>
                    <w:keepLines/>
                    <w:framePr w:hSpace="181" w:wrap="around" w:vAnchor="text" w:hAnchor="text" w:y="1"/>
                    <w:spacing w:after="120" w:line="240" w:lineRule="auto"/>
                    <w:ind w:left="11"/>
                    <w:suppressOverlap/>
                    <w:outlineLvl w:val="1"/>
                    <w:rPr>
                      <w:rFonts w:cs="Arial"/>
                      <w:color w:val="000000"/>
                      <w:szCs w:val="20"/>
                      <w:lang w:val="en-ID" w:eastAsia="en-ID"/>
                    </w:rPr>
                  </w:pPr>
                  <w:bookmarkStart w:id="278" w:name="_Toc173318462"/>
                  <w:r w:rsidRPr="0053072D">
                    <w:rPr>
                      <w:rFonts w:cs="Arial"/>
                      <w:color w:val="000000"/>
                      <w:szCs w:val="20"/>
                      <w:lang w:val="en-ID" w:eastAsia="en-ID"/>
                    </w:rPr>
                    <w:t xml:space="preserve">The </w:t>
                  </w:r>
                  <w:r>
                    <w:rPr>
                      <w:rFonts w:cs="Arial"/>
                      <w:color w:val="000000"/>
                      <w:szCs w:val="20"/>
                      <w:lang w:val="en-ID" w:eastAsia="en-ID"/>
                    </w:rPr>
                    <w:t xml:space="preserve">MLB </w:t>
                  </w:r>
                  <w:r w:rsidRPr="0053072D">
                    <w:rPr>
                      <w:rFonts w:cs="Arial"/>
                      <w:color w:val="000000"/>
                      <w:szCs w:val="20"/>
                      <w:lang w:val="en-ID" w:eastAsia="en-ID"/>
                    </w:rPr>
                    <w:t>trial</w:t>
                  </w:r>
                  <w:r>
                    <w:rPr>
                      <w:rFonts w:cs="Arial"/>
                      <w:color w:val="000000"/>
                      <w:szCs w:val="20"/>
                      <w:lang w:val="en-ID" w:eastAsia="en-ID"/>
                    </w:rPr>
                    <w:t xml:space="preserve"> progress</w:t>
                  </w:r>
                  <w:r w:rsidRPr="0053072D">
                    <w:rPr>
                      <w:rFonts w:cs="Arial"/>
                      <w:color w:val="000000"/>
                      <w:szCs w:val="20"/>
                      <w:lang w:val="en-ID" w:eastAsia="en-ID"/>
                    </w:rPr>
                    <w:t xml:space="preserve"> is reported </w:t>
                  </w:r>
                  <w:r>
                    <w:rPr>
                      <w:rFonts w:cs="Arial"/>
                      <w:color w:val="000000"/>
                      <w:szCs w:val="20"/>
                      <w:lang w:val="en-ID" w:eastAsia="en-ID"/>
                    </w:rPr>
                    <w:t xml:space="preserve">in the beef section </w:t>
                  </w:r>
                  <w:r w:rsidRPr="0053072D">
                    <w:rPr>
                      <w:rFonts w:cs="Arial"/>
                      <w:color w:val="000000"/>
                      <w:szCs w:val="20"/>
                      <w:lang w:val="en-ID" w:eastAsia="en-ID"/>
                    </w:rPr>
                    <w:t>at the beginning of Annex 1.</w:t>
                  </w:r>
                  <w:bookmarkEnd w:id="278"/>
                </w:p>
                <w:p w14:paraId="3B3B5F16" w14:textId="77777777" w:rsidR="00B30B11" w:rsidRPr="0053072D" w:rsidRDefault="00B30B11" w:rsidP="00B00AD5">
                  <w:pPr>
                    <w:keepNext/>
                    <w:keepLines/>
                    <w:framePr w:hSpace="181" w:wrap="around" w:vAnchor="text" w:hAnchor="text" w:y="1"/>
                    <w:spacing w:after="120" w:line="240" w:lineRule="auto"/>
                    <w:ind w:left="11"/>
                    <w:suppressOverlap/>
                    <w:outlineLvl w:val="1"/>
                    <w:rPr>
                      <w:rFonts w:cs="Arial"/>
                      <w:color w:val="000000"/>
                      <w:szCs w:val="20"/>
                      <w:lang w:val="en-ID" w:eastAsia="en-ID"/>
                    </w:rPr>
                  </w:pPr>
                </w:p>
                <w:p w14:paraId="6FBB9858" w14:textId="54148B60" w:rsidR="00B30B11" w:rsidRPr="0053072D" w:rsidRDefault="00B30B11" w:rsidP="00B00AD5">
                  <w:pPr>
                    <w:keepNext/>
                    <w:keepLines/>
                    <w:framePr w:hSpace="181" w:wrap="around" w:vAnchor="text" w:hAnchor="text" w:y="1"/>
                    <w:spacing w:after="120" w:line="240" w:lineRule="auto"/>
                    <w:ind w:left="11"/>
                    <w:suppressOverlap/>
                    <w:outlineLvl w:val="1"/>
                    <w:rPr>
                      <w:rFonts w:cs="Arial"/>
                      <w:color w:val="000000"/>
                      <w:szCs w:val="20"/>
                      <w:lang w:val="en-ID" w:eastAsia="en-ID"/>
                    </w:rPr>
                  </w:pPr>
                  <w:bookmarkStart w:id="279" w:name="_Toc173318463"/>
                  <w:r>
                    <w:rPr>
                      <w:rFonts w:cs="Arial"/>
                      <w:color w:val="000000"/>
                      <w:szCs w:val="20"/>
                      <w:lang w:val="en-ID" w:eastAsia="en-ID"/>
                    </w:rPr>
                    <w:t xml:space="preserve">The climate-smart pen trials, known as "closed-house pens," have been successfully conducted, and the results have been shared with the industry. Closed-house pens have been shown to reduce heat stress and improve productivity. PRISMA has supported the agribusiness Medion and Nestle in disseminating the trial report, highlighting the benefits of the pens through the Union of </w:t>
                  </w:r>
                  <w:r>
                    <w:rPr>
                      <w:rFonts w:cs="Arial"/>
                      <w:color w:val="000000"/>
                      <w:szCs w:val="20"/>
                      <w:lang w:val="en-ID" w:eastAsia="en-ID"/>
                    </w:rPr>
                    <w:lastRenderedPageBreak/>
                    <w:t>Indonesian Dairy Cooperatives (GKSI’s networks). These trials have brought about a positive change in the industry and have helped build the resilience of animals and smallholder farmers. Nestle is actively promoting this innovation to its dairy farmers' network.</w:t>
                  </w:r>
                  <w:bookmarkEnd w:id="279"/>
                </w:p>
              </w:tc>
            </w:tr>
          </w:tbl>
          <w:p w14:paraId="77395D50" w14:textId="77777777" w:rsidR="00B30B11" w:rsidRPr="0053072D" w:rsidRDefault="00B30B11" w:rsidP="00971661">
            <w:pPr>
              <w:keepNext/>
              <w:keepLines/>
              <w:spacing w:after="120"/>
              <w:outlineLvl w:val="1"/>
              <w:rPr>
                <w:rFonts w:eastAsia="Times New Roman" w:cs="Arial"/>
                <w:color w:val="000000"/>
                <w:sz w:val="20"/>
                <w:szCs w:val="20"/>
                <w:lang w:val="en-ID" w:eastAsia="en-ID"/>
              </w:rPr>
            </w:pPr>
          </w:p>
        </w:tc>
      </w:tr>
      <w:tr w:rsidR="00B30B11" w:rsidRPr="0053072D" w14:paraId="24B7EC50" w14:textId="77777777" w:rsidTr="00EE453C">
        <w:tc>
          <w:tcPr>
            <w:tcW w:w="2122" w:type="dxa"/>
            <w:vMerge/>
          </w:tcPr>
          <w:p w14:paraId="00EA9659"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835" w:type="dxa"/>
            <w:vMerge/>
          </w:tcPr>
          <w:p w14:paraId="42968F00"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98" w:type="dxa"/>
          </w:tcPr>
          <w:p w14:paraId="24F8D575"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280" w:name="_Toc173318464"/>
            <w:r w:rsidRPr="0053072D">
              <w:rPr>
                <w:rFonts w:eastAsia="Times New Roman" w:cs="Aptos"/>
                <w:color w:val="000000"/>
                <w:sz w:val="20"/>
                <w:szCs w:val="20"/>
                <w:lang w:val="en-ID" w:eastAsia="en-ID"/>
              </w:rPr>
              <w:t>Pilot and develop a scaling-up strategy for mainstreaming disability inclusion in the partners' business strategies.</w:t>
            </w:r>
            <w:bookmarkEnd w:id="280"/>
            <w:r w:rsidRPr="0053072D">
              <w:rPr>
                <w:rFonts w:eastAsia="Times New Roman" w:cs="Aptos"/>
                <w:color w:val="000000"/>
                <w:sz w:val="20"/>
                <w:szCs w:val="20"/>
                <w:lang w:val="en-ID" w:eastAsia="en-ID"/>
              </w:rPr>
              <w:t xml:space="preserve"> </w:t>
            </w:r>
          </w:p>
        </w:tc>
        <w:tc>
          <w:tcPr>
            <w:tcW w:w="3118" w:type="dxa"/>
          </w:tcPr>
          <w:p w14:paraId="7921C25E" w14:textId="0EBE26DC" w:rsidR="00B30B11" w:rsidRPr="0053072D" w:rsidRDefault="00B30B11" w:rsidP="00971661">
            <w:pPr>
              <w:keepNext/>
              <w:keepLines/>
              <w:spacing w:after="80"/>
              <w:ind w:left="37" w:firstLine="25"/>
              <w:outlineLvl w:val="1"/>
              <w:rPr>
                <w:rFonts w:eastAsia="Times New Roman" w:cs="Arial"/>
                <w:color w:val="000000"/>
                <w:sz w:val="20"/>
                <w:szCs w:val="20"/>
                <w:lang w:val="en-ID" w:eastAsia="en-ID"/>
              </w:rPr>
            </w:pPr>
            <w:bookmarkStart w:id="281" w:name="_Toc173318465"/>
            <w:r w:rsidRPr="0053072D">
              <w:rPr>
                <w:rFonts w:eastAsia="Times New Roman" w:cs="Aptos"/>
                <w:color w:val="000000"/>
                <w:sz w:val="20"/>
                <w:szCs w:val="20"/>
                <w:lang w:val="en-ID" w:eastAsia="en-ID"/>
              </w:rPr>
              <w:t>Disability inclusion trials and reports</w:t>
            </w:r>
            <w:bookmarkEnd w:id="281"/>
          </w:p>
          <w:p w14:paraId="1F2A7A53" w14:textId="77777777" w:rsidR="00B30B11" w:rsidRPr="0053072D" w:rsidRDefault="00B30B11" w:rsidP="00971661">
            <w:pPr>
              <w:keepNext/>
              <w:keepLines/>
              <w:spacing w:after="80"/>
              <w:ind w:left="37" w:firstLine="25"/>
              <w:outlineLvl w:val="1"/>
              <w:rPr>
                <w:rFonts w:eastAsia="Times New Roman" w:cs="Arial"/>
                <w:color w:val="000000"/>
                <w:sz w:val="20"/>
                <w:szCs w:val="20"/>
                <w:lang w:val="en-ID" w:eastAsia="en-ID"/>
              </w:rPr>
            </w:pPr>
            <w:bookmarkStart w:id="282" w:name="_Toc173318466"/>
            <w:r w:rsidRPr="0053072D">
              <w:rPr>
                <w:rFonts w:eastAsia="Times New Roman" w:cs="Aptos"/>
                <w:color w:val="000000"/>
                <w:sz w:val="20"/>
                <w:szCs w:val="20"/>
                <w:lang w:val="en-ID" w:eastAsia="en-ID"/>
              </w:rPr>
              <w:t>The private sector is applying disability inclusion practices.</w:t>
            </w:r>
            <w:bookmarkEnd w:id="282"/>
            <w:r w:rsidRPr="0053072D">
              <w:rPr>
                <w:rFonts w:eastAsia="Times New Roman" w:cs="Aptos"/>
                <w:color w:val="000000"/>
                <w:sz w:val="20"/>
                <w:szCs w:val="20"/>
                <w:lang w:val="en-ID" w:eastAsia="en-ID"/>
              </w:rPr>
              <w:t xml:space="preserve">  </w:t>
            </w:r>
          </w:p>
        </w:tc>
        <w:tc>
          <w:tcPr>
            <w:tcW w:w="3787" w:type="dxa"/>
          </w:tcPr>
          <w:tbl>
            <w:tblPr>
              <w:tblW w:w="0" w:type="auto"/>
              <w:tblLook w:val="06A0" w:firstRow="1" w:lastRow="0" w:firstColumn="1" w:lastColumn="0" w:noHBand="1" w:noVBand="1"/>
            </w:tblPr>
            <w:tblGrid>
              <w:gridCol w:w="3509"/>
            </w:tblGrid>
            <w:tr w:rsidR="00B30B11" w:rsidRPr="0053072D" w14:paraId="57454176" w14:textId="77777777" w:rsidTr="00EE453C">
              <w:trPr>
                <w:trHeight w:val="2950"/>
              </w:trPr>
              <w:tc>
                <w:tcPr>
                  <w:tcW w:w="3517" w:type="dxa"/>
                  <w:tcMar>
                    <w:left w:w="181" w:type="dxa"/>
                    <w:right w:w="181" w:type="dxa"/>
                  </w:tcMar>
                </w:tcPr>
                <w:p w14:paraId="3BA38477" w14:textId="5F38612C" w:rsidR="00B30B11" w:rsidRDefault="00B30B11" w:rsidP="00B00AD5">
                  <w:pPr>
                    <w:keepNext/>
                    <w:keepLines/>
                    <w:framePr w:hSpace="181" w:wrap="around" w:vAnchor="text" w:hAnchor="text" w:y="1"/>
                    <w:spacing w:after="0" w:line="240" w:lineRule="auto"/>
                    <w:suppressOverlap/>
                    <w:outlineLvl w:val="1"/>
                    <w:rPr>
                      <w:rFonts w:cs="Arial"/>
                      <w:color w:val="000000"/>
                      <w:szCs w:val="20"/>
                      <w:lang w:val="en-ID" w:eastAsia="en-ID"/>
                    </w:rPr>
                  </w:pPr>
                  <w:bookmarkStart w:id="283" w:name="_Toc173318467"/>
                  <w:r>
                    <w:rPr>
                      <w:rFonts w:cs="Arial"/>
                      <w:color w:val="000000"/>
                      <w:szCs w:val="20"/>
                      <w:lang w:val="en-ID" w:eastAsia="en-ID"/>
                    </w:rPr>
                    <w:t>PRISMA assisted Nufeed in testing a disability inclusion strategy, including product trials and customer education for farmers with disabilities.</w:t>
                  </w:r>
                  <w:bookmarkEnd w:id="283"/>
                </w:p>
                <w:p w14:paraId="0B1D998F" w14:textId="77777777" w:rsidR="00B30B11" w:rsidRPr="0053072D" w:rsidRDefault="00B30B11" w:rsidP="00B00AD5">
                  <w:pPr>
                    <w:keepNext/>
                    <w:keepLines/>
                    <w:framePr w:hSpace="181" w:wrap="around" w:vAnchor="text" w:hAnchor="text" w:y="1"/>
                    <w:spacing w:after="0" w:line="240" w:lineRule="auto"/>
                    <w:suppressOverlap/>
                    <w:outlineLvl w:val="1"/>
                    <w:rPr>
                      <w:rFonts w:cs="Arial"/>
                      <w:color w:val="000000"/>
                      <w:szCs w:val="20"/>
                      <w:lang w:val="en-ID" w:eastAsia="en-ID"/>
                    </w:rPr>
                  </w:pPr>
                </w:p>
                <w:p w14:paraId="0998ABA4" w14:textId="4D741A3C" w:rsidR="00B30B11" w:rsidRDefault="00B30B11" w:rsidP="00B00AD5">
                  <w:pPr>
                    <w:keepNext/>
                    <w:keepLines/>
                    <w:framePr w:hSpace="181" w:wrap="around" w:vAnchor="text" w:hAnchor="text" w:y="1"/>
                    <w:spacing w:after="0" w:line="240" w:lineRule="auto"/>
                    <w:suppressOverlap/>
                    <w:outlineLvl w:val="1"/>
                    <w:rPr>
                      <w:rFonts w:cs="Arial"/>
                      <w:color w:val="000000"/>
                      <w:szCs w:val="20"/>
                      <w:lang w:val="en-ID" w:eastAsia="en-ID"/>
                    </w:rPr>
                  </w:pPr>
                  <w:bookmarkStart w:id="284" w:name="_Toc173318468"/>
                  <w:r>
                    <w:rPr>
                      <w:rFonts w:cs="Arial"/>
                      <w:color w:val="000000"/>
                      <w:szCs w:val="20"/>
                      <w:lang w:val="en-ID" w:eastAsia="en-ID"/>
                    </w:rPr>
                    <w:t>The trial was completed in January 2024 and yielded positive results in terms of production. Farmers reported good outcomes from using the high-quality feed. Following the trial, two farmers with disabilities became sales agents for Nufeed. They were impressed by the positive impact of the product on their own dairy cows and are now earning additional income by selling to others.</w:t>
                  </w:r>
                  <w:bookmarkEnd w:id="284"/>
                </w:p>
                <w:p w14:paraId="40FD57E5" w14:textId="77777777" w:rsidR="00B30B11" w:rsidRDefault="00B30B11" w:rsidP="00B00AD5">
                  <w:pPr>
                    <w:keepNext/>
                    <w:keepLines/>
                    <w:framePr w:hSpace="181" w:wrap="around" w:vAnchor="text" w:hAnchor="text" w:y="1"/>
                    <w:spacing w:after="0" w:line="240" w:lineRule="auto"/>
                    <w:suppressOverlap/>
                    <w:outlineLvl w:val="1"/>
                    <w:rPr>
                      <w:rFonts w:cs="Arial"/>
                      <w:color w:val="000000"/>
                      <w:szCs w:val="20"/>
                      <w:lang w:val="en-ID" w:eastAsia="en-ID"/>
                    </w:rPr>
                  </w:pPr>
                </w:p>
                <w:p w14:paraId="5221B133" w14:textId="0612EF04" w:rsidR="00B30B11" w:rsidRDefault="00B30B11" w:rsidP="00B00AD5">
                  <w:pPr>
                    <w:keepNext/>
                    <w:keepLines/>
                    <w:framePr w:hSpace="181" w:wrap="around" w:vAnchor="text" w:hAnchor="text" w:y="1"/>
                    <w:spacing w:after="0" w:line="240" w:lineRule="auto"/>
                    <w:suppressOverlap/>
                    <w:outlineLvl w:val="1"/>
                    <w:rPr>
                      <w:rFonts w:cs="Arial"/>
                      <w:color w:val="000000"/>
                      <w:szCs w:val="20"/>
                      <w:lang w:val="en-ID" w:eastAsia="en-ID"/>
                    </w:rPr>
                  </w:pPr>
                  <w:bookmarkStart w:id="285" w:name="_Toc173318469"/>
                  <w:r>
                    <w:rPr>
                      <w:rFonts w:cs="Arial"/>
                      <w:color w:val="000000"/>
                      <w:szCs w:val="20"/>
                      <w:lang w:val="en-ID" w:eastAsia="en-ID"/>
                    </w:rPr>
                    <w:t xml:space="preserve">The pilot results were presented to various stakeholders, including partners, farmers, </w:t>
                  </w:r>
                  <w:r>
                    <w:rPr>
                      <w:rFonts w:cs="Arial"/>
                      <w:color w:val="000000"/>
                      <w:szCs w:val="20"/>
                      <w:lang w:val="en-ID" w:eastAsia="en-ID"/>
                    </w:rPr>
                    <w:lastRenderedPageBreak/>
                    <w:t>social agencies, livestock agencies, and organizations of persons with disabilities (OPD) in March 2024. The response from the local government, OPD, and the private sector was favorable. Furthermore, the pilot results were shared at the national disability inclusion workshop in Jakarta, titled "Disability Inclusion in Agribusiness: From Awareness to Action."</w:t>
                  </w:r>
                  <w:bookmarkEnd w:id="285"/>
                </w:p>
                <w:p w14:paraId="7197D687" w14:textId="77777777" w:rsidR="00B30B11" w:rsidRPr="0053072D" w:rsidRDefault="00B30B11" w:rsidP="00B00AD5">
                  <w:pPr>
                    <w:keepNext/>
                    <w:keepLines/>
                    <w:framePr w:hSpace="181" w:wrap="around" w:vAnchor="text" w:hAnchor="text" w:y="1"/>
                    <w:spacing w:after="0" w:line="240" w:lineRule="auto"/>
                    <w:suppressOverlap/>
                    <w:outlineLvl w:val="1"/>
                    <w:rPr>
                      <w:rFonts w:cs="Arial"/>
                      <w:color w:val="000000"/>
                      <w:szCs w:val="20"/>
                      <w:lang w:val="en-ID" w:eastAsia="en-ID"/>
                    </w:rPr>
                  </w:pPr>
                </w:p>
                <w:p w14:paraId="690DF38C" w14:textId="28775DC4" w:rsidR="00B30B11" w:rsidRPr="0053072D" w:rsidRDefault="00B30B11" w:rsidP="00B00AD5">
                  <w:pPr>
                    <w:keepNext/>
                    <w:keepLines/>
                    <w:framePr w:hSpace="181" w:wrap="around" w:vAnchor="text" w:hAnchor="text" w:y="1"/>
                    <w:spacing w:after="0" w:line="240" w:lineRule="auto"/>
                    <w:suppressOverlap/>
                    <w:outlineLvl w:val="1"/>
                    <w:rPr>
                      <w:rFonts w:cs="Arial"/>
                      <w:color w:val="000000"/>
                      <w:szCs w:val="20"/>
                      <w:lang w:val="en-ID" w:eastAsia="en-ID"/>
                    </w:rPr>
                  </w:pPr>
                  <w:bookmarkStart w:id="286" w:name="_Toc173318470"/>
                  <w:r w:rsidRPr="0053072D">
                    <w:rPr>
                      <w:rFonts w:cs="Arial"/>
                      <w:color w:val="000000"/>
                      <w:szCs w:val="20"/>
                      <w:lang w:val="en-ID" w:eastAsia="en-ID"/>
                    </w:rPr>
                    <w:t>One challenge encountered during this initiative was the difficulty in finding data on farmers with disabilities, even from government agencies. It was noted that more detailed information or a centralized database would be immensely beneficial for companies looking to expand their inclusive practices.</w:t>
                  </w:r>
                  <w:r w:rsidRPr="0053072D">
                    <w:rPr>
                      <w:rFonts w:eastAsia="Times New Roman" w:cs="Arial"/>
                      <w:color w:val="000000"/>
                      <w:szCs w:val="20"/>
                      <w:lang w:val="en-ID" w:eastAsia="en-ID"/>
                    </w:rPr>
                    <w:t>.</w:t>
                  </w:r>
                  <w:bookmarkEnd w:id="286"/>
                </w:p>
              </w:tc>
            </w:tr>
          </w:tbl>
          <w:p w14:paraId="16ED3286" w14:textId="77777777" w:rsidR="00B30B11" w:rsidRPr="0053072D" w:rsidRDefault="00B30B11" w:rsidP="00971661">
            <w:pPr>
              <w:keepNext/>
              <w:keepLines/>
              <w:spacing w:after="120"/>
              <w:ind w:left="11"/>
              <w:outlineLvl w:val="1"/>
              <w:rPr>
                <w:rFonts w:cs="Arial"/>
                <w:color w:val="000000"/>
                <w:sz w:val="20"/>
                <w:szCs w:val="20"/>
                <w:lang w:val="en-ID" w:eastAsia="en-ID"/>
              </w:rPr>
            </w:pPr>
          </w:p>
        </w:tc>
      </w:tr>
      <w:tr w:rsidR="00B30B11" w:rsidRPr="0053072D" w14:paraId="7A350462" w14:textId="77777777" w:rsidTr="00EE453C">
        <w:tc>
          <w:tcPr>
            <w:tcW w:w="2122" w:type="dxa"/>
            <w:vMerge w:val="restart"/>
          </w:tcPr>
          <w:p w14:paraId="3EF1844A" w14:textId="41B7A41C"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287" w:name="_Toc173318471"/>
            <w:r w:rsidRPr="0053072D">
              <w:rPr>
                <w:rFonts w:eastAsia="Times New Roman" w:cs="Aptos"/>
                <w:color w:val="000000"/>
                <w:sz w:val="20"/>
                <w:szCs w:val="20"/>
                <w:lang w:val="en-ID" w:eastAsia="en-ID"/>
              </w:rPr>
              <w:lastRenderedPageBreak/>
              <w:t>Policy initiatives (which may include support for Bappenas)</w:t>
            </w:r>
            <w:bookmarkEnd w:id="287"/>
          </w:p>
        </w:tc>
        <w:tc>
          <w:tcPr>
            <w:tcW w:w="2835" w:type="dxa"/>
            <w:vMerge w:val="restart"/>
          </w:tcPr>
          <w:p w14:paraId="526CF2CF"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288" w:name="_Toc173318472"/>
            <w:r w:rsidRPr="0053072D">
              <w:rPr>
                <w:rFonts w:eastAsia="Times New Roman" w:cs="Aptos"/>
                <w:color w:val="000000"/>
                <w:sz w:val="20"/>
                <w:szCs w:val="20"/>
                <w:lang w:val="en-ID" w:eastAsia="en-ID"/>
              </w:rPr>
              <w:t>Supporting the MoA to implement the dairy cattle roadmap in collaboration with private sectors and industry associations</w:t>
            </w:r>
            <w:bookmarkEnd w:id="288"/>
            <w:r w:rsidRPr="0053072D">
              <w:rPr>
                <w:rFonts w:eastAsia="Times New Roman" w:cs="Aptos"/>
                <w:color w:val="000000"/>
                <w:sz w:val="20"/>
                <w:szCs w:val="20"/>
                <w:lang w:val="en-ID" w:eastAsia="en-ID"/>
              </w:rPr>
              <w:t xml:space="preserve"> </w:t>
            </w:r>
          </w:p>
        </w:tc>
        <w:tc>
          <w:tcPr>
            <w:tcW w:w="2698" w:type="dxa"/>
          </w:tcPr>
          <w:p w14:paraId="38ABC691" w14:textId="7046AEE3"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289" w:name="_Toc173318473"/>
            <w:r w:rsidRPr="0053072D">
              <w:rPr>
                <w:rFonts w:eastAsia="Times New Roman" w:cs="Aptos"/>
                <w:color w:val="000000"/>
                <w:sz w:val="20"/>
                <w:szCs w:val="20"/>
                <w:lang w:val="en-ID" w:eastAsia="en-ID"/>
              </w:rPr>
              <w:t>Conduct workshops and coordination meetings with multiple stakeholders to translate the roadmap into practical policy options and action plans (operational guidelines).</w:t>
            </w:r>
            <w:bookmarkEnd w:id="289"/>
          </w:p>
        </w:tc>
        <w:tc>
          <w:tcPr>
            <w:tcW w:w="3118" w:type="dxa"/>
          </w:tcPr>
          <w:p w14:paraId="30ED7A93" w14:textId="77777777" w:rsidR="00B30B11" w:rsidRPr="0053072D" w:rsidRDefault="00B30B11" w:rsidP="00971661">
            <w:pPr>
              <w:keepNext/>
              <w:keepLines/>
              <w:spacing w:after="80"/>
              <w:ind w:left="37" w:firstLine="25"/>
              <w:outlineLvl w:val="1"/>
              <w:rPr>
                <w:rFonts w:eastAsia="Times New Roman" w:cs="Arial"/>
                <w:color w:val="000000"/>
                <w:sz w:val="20"/>
                <w:szCs w:val="20"/>
                <w:lang w:val="en-ID" w:eastAsia="en-ID"/>
              </w:rPr>
            </w:pPr>
            <w:bookmarkStart w:id="290" w:name="_Toc173318474"/>
            <w:r w:rsidRPr="0053072D">
              <w:rPr>
                <w:rFonts w:eastAsia="Times New Roman" w:cs="Aptos"/>
                <w:color w:val="000000"/>
                <w:sz w:val="20"/>
                <w:szCs w:val="20"/>
                <w:lang w:val="en-ID" w:eastAsia="en-ID"/>
              </w:rPr>
              <w:t>Workshops</w:t>
            </w:r>
            <w:bookmarkEnd w:id="290"/>
            <w:r w:rsidRPr="0053072D">
              <w:rPr>
                <w:rFonts w:eastAsia="Times New Roman" w:cs="Aptos"/>
                <w:color w:val="000000"/>
                <w:sz w:val="20"/>
                <w:szCs w:val="20"/>
                <w:lang w:val="en-ID" w:eastAsia="en-ID"/>
              </w:rPr>
              <w:t xml:space="preserve">  </w:t>
            </w:r>
          </w:p>
          <w:p w14:paraId="21842156" w14:textId="77777777" w:rsidR="00B30B11" w:rsidRPr="0053072D" w:rsidRDefault="00B30B11" w:rsidP="00971661">
            <w:pPr>
              <w:keepNext/>
              <w:keepLines/>
              <w:spacing w:after="80"/>
              <w:ind w:left="37" w:firstLine="25"/>
              <w:outlineLvl w:val="1"/>
              <w:rPr>
                <w:rFonts w:eastAsia="Times New Roman" w:cs="Arial"/>
                <w:color w:val="000000"/>
                <w:sz w:val="20"/>
                <w:szCs w:val="20"/>
                <w:lang w:val="en-ID" w:eastAsia="en-ID"/>
              </w:rPr>
            </w:pPr>
            <w:bookmarkStart w:id="291" w:name="_Toc173318475"/>
            <w:r w:rsidRPr="0053072D">
              <w:rPr>
                <w:rFonts w:eastAsia="Times New Roman" w:cs="Aptos"/>
                <w:color w:val="000000"/>
                <w:sz w:val="20"/>
                <w:szCs w:val="20"/>
                <w:lang w:val="en-ID" w:eastAsia="en-ID"/>
              </w:rPr>
              <w:t>Operational guidelines</w:t>
            </w:r>
            <w:bookmarkEnd w:id="291"/>
            <w:r w:rsidRPr="0053072D">
              <w:rPr>
                <w:rFonts w:eastAsia="Times New Roman" w:cs="Aptos"/>
                <w:color w:val="000000"/>
                <w:sz w:val="20"/>
                <w:szCs w:val="20"/>
                <w:lang w:val="en-ID" w:eastAsia="en-ID"/>
              </w:rPr>
              <w:t xml:space="preserve">  </w:t>
            </w:r>
          </w:p>
        </w:tc>
        <w:tc>
          <w:tcPr>
            <w:tcW w:w="3787" w:type="dxa"/>
          </w:tcPr>
          <w:tbl>
            <w:tblPr>
              <w:tblW w:w="0" w:type="auto"/>
              <w:tblLook w:val="06A0" w:firstRow="1" w:lastRow="0" w:firstColumn="1" w:lastColumn="0" w:noHBand="1" w:noVBand="1"/>
            </w:tblPr>
            <w:tblGrid>
              <w:gridCol w:w="3509"/>
            </w:tblGrid>
            <w:tr w:rsidR="00B30B11" w:rsidRPr="0053072D" w14:paraId="54770520" w14:textId="77777777" w:rsidTr="00EE453C">
              <w:trPr>
                <w:trHeight w:val="300"/>
              </w:trPr>
              <w:tc>
                <w:tcPr>
                  <w:tcW w:w="3517" w:type="dxa"/>
                  <w:tcMar>
                    <w:left w:w="181" w:type="dxa"/>
                    <w:right w:w="181" w:type="dxa"/>
                  </w:tcMar>
                </w:tcPr>
                <w:p w14:paraId="64FFA21A" w14:textId="508FB76B" w:rsidR="00B30B11" w:rsidRDefault="00B30B11" w:rsidP="00B00AD5">
                  <w:pPr>
                    <w:keepNext/>
                    <w:keepLines/>
                    <w:framePr w:hSpace="181" w:wrap="around" w:vAnchor="text" w:hAnchor="text" w:y="1"/>
                    <w:spacing w:after="0" w:line="240" w:lineRule="auto"/>
                    <w:suppressOverlap/>
                    <w:outlineLvl w:val="1"/>
                    <w:rPr>
                      <w:rFonts w:cs="Arial"/>
                      <w:color w:val="000000"/>
                      <w:szCs w:val="20"/>
                      <w:lang w:val="en-ID" w:eastAsia="en-ID"/>
                    </w:rPr>
                  </w:pPr>
                  <w:bookmarkStart w:id="292" w:name="_Toc173318476"/>
                  <w:r>
                    <w:rPr>
                      <w:rFonts w:cs="Arial"/>
                      <w:color w:val="000000"/>
                      <w:szCs w:val="20"/>
                      <w:lang w:val="en-ID" w:eastAsia="en-ID"/>
                    </w:rPr>
                    <w:t>PRISMA assisted the MoA organising workshops to review and update the main regulations. The revised regulations were then submitted to the Ministry of Agriculture's Legal Bureau.</w:t>
                  </w:r>
                  <w:bookmarkEnd w:id="292"/>
                </w:p>
                <w:p w14:paraId="3DFAB2AF" w14:textId="77777777" w:rsidR="00B30B11" w:rsidRDefault="00B30B11" w:rsidP="00B00AD5">
                  <w:pPr>
                    <w:keepNext/>
                    <w:keepLines/>
                    <w:framePr w:hSpace="181" w:wrap="around" w:vAnchor="text" w:hAnchor="text" w:y="1"/>
                    <w:spacing w:after="0" w:line="240" w:lineRule="auto"/>
                    <w:suppressOverlap/>
                    <w:outlineLvl w:val="1"/>
                    <w:rPr>
                      <w:rFonts w:cs="Arial"/>
                      <w:color w:val="000000"/>
                      <w:szCs w:val="20"/>
                      <w:lang w:val="en-ID" w:eastAsia="en-ID"/>
                    </w:rPr>
                  </w:pPr>
                </w:p>
                <w:p w14:paraId="55A5CB59" w14:textId="245F6FF9" w:rsidR="00B30B11" w:rsidRPr="0053072D" w:rsidRDefault="00B30B11" w:rsidP="00B00AD5">
                  <w:pPr>
                    <w:keepNext/>
                    <w:keepLines/>
                    <w:framePr w:hSpace="181" w:wrap="around" w:vAnchor="text" w:hAnchor="text" w:y="1"/>
                    <w:spacing w:after="0" w:line="240" w:lineRule="auto"/>
                    <w:suppressOverlap/>
                    <w:outlineLvl w:val="1"/>
                    <w:rPr>
                      <w:rFonts w:cs="Arial"/>
                      <w:color w:val="000000"/>
                      <w:szCs w:val="20"/>
                      <w:lang w:val="en-ID" w:eastAsia="en-ID"/>
                    </w:rPr>
                  </w:pPr>
                  <w:bookmarkStart w:id="293" w:name="_Toc173318477"/>
                  <w:r>
                    <w:rPr>
                      <w:rFonts w:cs="Arial"/>
                      <w:color w:val="000000"/>
                      <w:szCs w:val="20"/>
                      <w:lang w:val="en-ID" w:eastAsia="en-ID"/>
                    </w:rPr>
                    <w:lastRenderedPageBreak/>
                    <w:t>Additionally, PRISMA helped the MoA develop guidelines for dairy farming practices and Jersey cow management through various workshops. These guidelines will be distributed in the form of pocketbooks next semester, providing practical information to enhance the productivity of Jersey cows.</w:t>
                  </w:r>
                  <w:bookmarkEnd w:id="293"/>
                </w:p>
              </w:tc>
            </w:tr>
          </w:tbl>
          <w:p w14:paraId="750C76C3" w14:textId="77777777" w:rsidR="00B30B11" w:rsidRPr="0053072D" w:rsidRDefault="00B30B11" w:rsidP="00971661">
            <w:pPr>
              <w:keepNext/>
              <w:keepLines/>
              <w:spacing w:after="120"/>
              <w:outlineLvl w:val="1"/>
              <w:rPr>
                <w:rFonts w:cs="Arial"/>
                <w:color w:val="000000"/>
                <w:sz w:val="20"/>
                <w:szCs w:val="20"/>
                <w:lang w:val="en-ID" w:eastAsia="en-ID"/>
              </w:rPr>
            </w:pPr>
          </w:p>
        </w:tc>
      </w:tr>
      <w:tr w:rsidR="00B30B11" w:rsidRPr="0053072D" w14:paraId="5AB0AF0A" w14:textId="77777777" w:rsidTr="00EE453C">
        <w:tc>
          <w:tcPr>
            <w:tcW w:w="2122" w:type="dxa"/>
            <w:vMerge/>
          </w:tcPr>
          <w:p w14:paraId="5EF61305"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835" w:type="dxa"/>
            <w:vMerge/>
          </w:tcPr>
          <w:p w14:paraId="2144848E"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98" w:type="dxa"/>
          </w:tcPr>
          <w:p w14:paraId="5C9DF7FA"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294" w:name="_Toc173318478"/>
            <w:r w:rsidRPr="0053072D">
              <w:rPr>
                <w:rFonts w:eastAsia="Times New Roman" w:cs="Aptos"/>
                <w:color w:val="000000"/>
                <w:sz w:val="20"/>
                <w:szCs w:val="20"/>
                <w:lang w:val="en-ID" w:eastAsia="en-ID"/>
              </w:rPr>
              <w:t>Link governments and private breeding farms with appropriate capacities to commercialise tropical dairy breeds.</w:t>
            </w:r>
            <w:bookmarkEnd w:id="294"/>
            <w:r w:rsidRPr="0053072D">
              <w:rPr>
                <w:rFonts w:eastAsia="Times New Roman" w:cs="Aptos"/>
                <w:color w:val="000000"/>
                <w:sz w:val="20"/>
                <w:szCs w:val="20"/>
                <w:lang w:val="en-ID" w:eastAsia="en-ID"/>
              </w:rPr>
              <w:t xml:space="preserve"> </w:t>
            </w:r>
          </w:p>
        </w:tc>
        <w:tc>
          <w:tcPr>
            <w:tcW w:w="3118" w:type="dxa"/>
          </w:tcPr>
          <w:p w14:paraId="333F1B18" w14:textId="3F5AA359" w:rsidR="00B30B11" w:rsidRPr="0053072D" w:rsidRDefault="00B30B11" w:rsidP="00971661">
            <w:pPr>
              <w:keepNext/>
              <w:keepLines/>
              <w:spacing w:after="80"/>
              <w:ind w:left="37" w:firstLine="25"/>
              <w:outlineLvl w:val="1"/>
              <w:rPr>
                <w:rFonts w:eastAsia="Times New Roman" w:cs="Arial"/>
                <w:color w:val="000000"/>
                <w:sz w:val="20"/>
                <w:szCs w:val="20"/>
                <w:lang w:val="en-ID" w:eastAsia="en-ID"/>
              </w:rPr>
            </w:pPr>
            <w:bookmarkStart w:id="295" w:name="_Toc173318479"/>
            <w:r w:rsidRPr="0053072D">
              <w:rPr>
                <w:rFonts w:eastAsia="Times New Roman" w:cs="Aptos"/>
                <w:color w:val="000000"/>
                <w:sz w:val="20"/>
                <w:szCs w:val="20"/>
                <w:lang w:val="en-ID" w:eastAsia="en-ID"/>
              </w:rPr>
              <w:t>Workshops and reports</w:t>
            </w:r>
            <w:bookmarkEnd w:id="295"/>
          </w:p>
        </w:tc>
        <w:tc>
          <w:tcPr>
            <w:tcW w:w="3787" w:type="dxa"/>
          </w:tcPr>
          <w:p w14:paraId="16FF496E" w14:textId="69520AA6" w:rsidR="00B30B11" w:rsidRPr="0053072D" w:rsidRDefault="00B30B11" w:rsidP="00971661">
            <w:pPr>
              <w:keepNext/>
              <w:keepLines/>
              <w:outlineLvl w:val="1"/>
              <w:rPr>
                <w:rFonts w:cs="Arial"/>
                <w:color w:val="000000"/>
                <w:sz w:val="20"/>
                <w:szCs w:val="20"/>
                <w:lang w:val="en-ID" w:eastAsia="en-ID"/>
              </w:rPr>
            </w:pPr>
            <w:bookmarkStart w:id="296" w:name="_Toc173318480"/>
            <w:r w:rsidRPr="0053072D">
              <w:rPr>
                <w:rFonts w:cs="Arial"/>
                <w:color w:val="000000"/>
                <w:sz w:val="20"/>
                <w:szCs w:val="20"/>
                <w:lang w:val="en-ID" w:eastAsia="en-ID"/>
              </w:rPr>
              <w:t>PRISMA helped to bring together the MoA, Greenfields, cooperatives, and experts for the Jersey cow trial at the farmers' level. The trial was successfully completed with positive results. The guidelines for Jersey farming practices are now being developed based on the trial results.</w:t>
            </w:r>
            <w:bookmarkEnd w:id="296"/>
          </w:p>
        </w:tc>
      </w:tr>
      <w:tr w:rsidR="00B30B11" w:rsidRPr="0053072D" w14:paraId="7A099C0F" w14:textId="77777777" w:rsidTr="00EE453C">
        <w:tc>
          <w:tcPr>
            <w:tcW w:w="2122" w:type="dxa"/>
            <w:vMerge w:val="restart"/>
          </w:tcPr>
          <w:p w14:paraId="473807AC" w14:textId="18B7A288"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297" w:name="_Toc173318481"/>
            <w:r w:rsidRPr="0053072D">
              <w:rPr>
                <w:rFonts w:eastAsia="Times New Roman" w:cs="Aptos"/>
                <w:color w:val="000000"/>
                <w:sz w:val="20"/>
                <w:szCs w:val="20"/>
                <w:lang w:val="en-ID" w:eastAsia="en-ID"/>
              </w:rPr>
              <w:t>Knowledge harvesting and dissemination</w:t>
            </w:r>
            <w:bookmarkEnd w:id="297"/>
          </w:p>
        </w:tc>
        <w:tc>
          <w:tcPr>
            <w:tcW w:w="2835" w:type="dxa"/>
            <w:vMerge w:val="restart"/>
          </w:tcPr>
          <w:p w14:paraId="4B8B20AF" w14:textId="775942D8"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298" w:name="_Toc173318482"/>
            <w:r w:rsidRPr="0053072D">
              <w:rPr>
                <w:rFonts w:eastAsia="Times New Roman" w:cs="Aptos"/>
                <w:color w:val="000000"/>
                <w:sz w:val="20"/>
                <w:szCs w:val="20"/>
                <w:lang w:val="en-ID" w:eastAsia="en-ID"/>
              </w:rPr>
              <w:t>Harvesting and sharing good practices, learnings, and challenges in the dairy cattle sector (CSL practices and disability inclusion initiatives).</w:t>
            </w:r>
            <w:bookmarkEnd w:id="298"/>
          </w:p>
        </w:tc>
        <w:tc>
          <w:tcPr>
            <w:tcW w:w="2698" w:type="dxa"/>
          </w:tcPr>
          <w:p w14:paraId="3371B331" w14:textId="713B32D5"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299" w:name="_Toc173318483"/>
            <w:r w:rsidRPr="0053072D">
              <w:rPr>
                <w:rFonts w:eastAsia="Times New Roman" w:cs="Aptos"/>
                <w:color w:val="000000"/>
                <w:sz w:val="20"/>
                <w:szCs w:val="20"/>
                <w:lang w:val="en-ID" w:eastAsia="en-ID"/>
              </w:rPr>
              <w:t>Producing evidence-based knowledge on CSL practices (feed, pens, tools, methodologies, and protocols) to measure and estimate emissions from dairy cattle and disability inclusion</w:t>
            </w:r>
            <w:bookmarkEnd w:id="299"/>
          </w:p>
        </w:tc>
        <w:tc>
          <w:tcPr>
            <w:tcW w:w="3118" w:type="dxa"/>
          </w:tcPr>
          <w:p w14:paraId="2BF41B92" w14:textId="77777777" w:rsidR="00B30B11" w:rsidRPr="0053072D" w:rsidRDefault="00B30B11" w:rsidP="00971661">
            <w:pPr>
              <w:keepNext/>
              <w:keepLines/>
              <w:spacing w:after="80"/>
              <w:ind w:left="37" w:firstLine="25"/>
              <w:outlineLvl w:val="1"/>
              <w:rPr>
                <w:rFonts w:eastAsia="Times New Roman" w:cs="Arial"/>
                <w:color w:val="000000"/>
                <w:sz w:val="20"/>
                <w:szCs w:val="20"/>
                <w:lang w:val="en-ID" w:eastAsia="en-ID"/>
              </w:rPr>
            </w:pPr>
            <w:bookmarkStart w:id="300" w:name="_Toc173318484"/>
            <w:r w:rsidRPr="0053072D">
              <w:rPr>
                <w:rFonts w:eastAsia="Times New Roman" w:cs="Aptos"/>
                <w:color w:val="000000"/>
                <w:sz w:val="20"/>
                <w:szCs w:val="20"/>
                <w:lang w:val="en-ID" w:eastAsia="en-ID"/>
              </w:rPr>
              <w:t>A CSL practices market brief - for beef and dairy sectors</w:t>
            </w:r>
            <w:bookmarkEnd w:id="300"/>
            <w:r w:rsidRPr="0053072D">
              <w:rPr>
                <w:rFonts w:eastAsia="Times New Roman" w:cs="Aptos"/>
                <w:color w:val="000000"/>
                <w:sz w:val="20"/>
                <w:szCs w:val="20"/>
                <w:lang w:val="en-ID" w:eastAsia="en-ID"/>
              </w:rPr>
              <w:t xml:space="preserve">  </w:t>
            </w:r>
          </w:p>
        </w:tc>
        <w:tc>
          <w:tcPr>
            <w:tcW w:w="3787" w:type="dxa"/>
          </w:tcPr>
          <w:p w14:paraId="4ED26F6E" w14:textId="77777777" w:rsidR="00B30B11" w:rsidRPr="0053072D" w:rsidRDefault="00B30B11" w:rsidP="00971661">
            <w:pPr>
              <w:keepNext/>
              <w:keepLines/>
              <w:spacing w:after="120"/>
              <w:ind w:left="11"/>
              <w:outlineLvl w:val="1"/>
              <w:rPr>
                <w:rFonts w:cs="Arial"/>
                <w:color w:val="000000"/>
                <w:sz w:val="20"/>
                <w:szCs w:val="20"/>
                <w:lang w:val="en-ID" w:eastAsia="en-ID"/>
              </w:rPr>
            </w:pPr>
            <w:bookmarkStart w:id="301" w:name="_Toc173318485"/>
            <w:r w:rsidRPr="0053072D">
              <w:rPr>
                <w:rFonts w:cs="Arial"/>
                <w:color w:val="000000"/>
                <w:sz w:val="20"/>
                <w:szCs w:val="20"/>
                <w:lang w:val="en-ID" w:eastAsia="en-ID"/>
              </w:rPr>
              <w:t>As reported in the beef sector progress update, the CSL case study was produced and disseminated this semester.</w:t>
            </w:r>
            <w:bookmarkEnd w:id="301"/>
            <w:r w:rsidRPr="0053072D">
              <w:rPr>
                <w:rFonts w:cs="Arial"/>
                <w:color w:val="000000"/>
                <w:sz w:val="20"/>
                <w:szCs w:val="20"/>
                <w:lang w:val="en-ID" w:eastAsia="en-ID"/>
              </w:rPr>
              <w:t xml:space="preserve"> </w:t>
            </w:r>
          </w:p>
        </w:tc>
      </w:tr>
      <w:tr w:rsidR="00B30B11" w:rsidRPr="0053072D" w14:paraId="225B72A7" w14:textId="77777777" w:rsidTr="00EE453C">
        <w:tc>
          <w:tcPr>
            <w:tcW w:w="2122" w:type="dxa"/>
            <w:vMerge/>
          </w:tcPr>
          <w:p w14:paraId="5DB4E821"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vMerge/>
          </w:tcPr>
          <w:p w14:paraId="003A1D6C"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698" w:type="dxa"/>
          </w:tcPr>
          <w:p w14:paraId="50876D22"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302" w:name="_Toc173318486"/>
            <w:r w:rsidRPr="0053072D">
              <w:rPr>
                <w:rFonts w:eastAsia="Times New Roman" w:cs="Aptos"/>
                <w:color w:val="000000"/>
                <w:sz w:val="20"/>
                <w:szCs w:val="20"/>
                <w:lang w:val="en-ID" w:eastAsia="en-ID"/>
              </w:rPr>
              <w:t xml:space="preserve">Organise a series of public-private discussion forums or policy dialogues to discuss policy options, public-private partnerships, and investments in CSL </w:t>
            </w:r>
            <w:r w:rsidRPr="0053072D">
              <w:rPr>
                <w:rFonts w:eastAsia="Times New Roman" w:cs="Aptos"/>
                <w:color w:val="000000"/>
                <w:sz w:val="20"/>
                <w:szCs w:val="20"/>
                <w:lang w:val="en-ID" w:eastAsia="en-ID"/>
              </w:rPr>
              <w:lastRenderedPageBreak/>
              <w:t>practices and disability inclusion in the dairy sector.</w:t>
            </w:r>
            <w:bookmarkEnd w:id="302"/>
            <w:r w:rsidRPr="0053072D">
              <w:rPr>
                <w:rFonts w:eastAsia="Times New Roman" w:cs="Aptos"/>
                <w:color w:val="000000"/>
                <w:sz w:val="20"/>
                <w:szCs w:val="20"/>
                <w:lang w:val="en-ID" w:eastAsia="en-ID"/>
              </w:rPr>
              <w:t xml:space="preserve"> </w:t>
            </w:r>
          </w:p>
        </w:tc>
        <w:tc>
          <w:tcPr>
            <w:tcW w:w="3118" w:type="dxa"/>
          </w:tcPr>
          <w:p w14:paraId="76729455" w14:textId="77777777" w:rsidR="00B30B11" w:rsidRPr="0053072D" w:rsidRDefault="00B30B11" w:rsidP="00971661">
            <w:pPr>
              <w:keepNext/>
              <w:keepLines/>
              <w:spacing w:after="80"/>
              <w:ind w:left="37" w:firstLine="25"/>
              <w:outlineLvl w:val="1"/>
              <w:rPr>
                <w:rFonts w:eastAsia="Times New Roman" w:cs="Aptos"/>
                <w:color w:val="000000"/>
                <w:sz w:val="20"/>
                <w:szCs w:val="20"/>
                <w:lang w:val="en-ID" w:eastAsia="en-ID"/>
              </w:rPr>
            </w:pPr>
            <w:bookmarkStart w:id="303" w:name="_Toc173318487"/>
            <w:r w:rsidRPr="0053072D">
              <w:rPr>
                <w:rFonts w:eastAsia="Times New Roman" w:cs="Aptos"/>
                <w:color w:val="000000"/>
                <w:sz w:val="20"/>
                <w:szCs w:val="20"/>
                <w:lang w:val="en-ID" w:eastAsia="en-ID"/>
              </w:rPr>
              <w:lastRenderedPageBreak/>
              <w:t>Sharing learning workshops</w:t>
            </w:r>
            <w:bookmarkEnd w:id="303"/>
            <w:r w:rsidRPr="0053072D">
              <w:rPr>
                <w:rFonts w:eastAsia="Times New Roman" w:cs="Aptos"/>
                <w:color w:val="000000"/>
                <w:sz w:val="20"/>
                <w:szCs w:val="20"/>
                <w:lang w:val="en-ID" w:eastAsia="en-ID"/>
              </w:rPr>
              <w:t xml:space="preserve"> </w:t>
            </w:r>
          </w:p>
        </w:tc>
        <w:tc>
          <w:tcPr>
            <w:tcW w:w="3787" w:type="dxa"/>
          </w:tcPr>
          <w:p w14:paraId="24B16715" w14:textId="77777777" w:rsidR="00B30B11" w:rsidRPr="0053072D" w:rsidRDefault="00B30B11" w:rsidP="00971661">
            <w:pPr>
              <w:keepNext/>
              <w:keepLines/>
              <w:outlineLvl w:val="1"/>
              <w:rPr>
                <w:rFonts w:cs="Arial"/>
                <w:color w:val="000000"/>
                <w:sz w:val="20"/>
                <w:szCs w:val="20"/>
                <w:lang w:val="en-ID" w:eastAsia="en-ID"/>
              </w:rPr>
            </w:pPr>
            <w:bookmarkStart w:id="304" w:name="_Toc173318488"/>
            <w:r w:rsidRPr="0053072D">
              <w:rPr>
                <w:rFonts w:cs="Arial"/>
                <w:color w:val="000000"/>
                <w:sz w:val="20"/>
                <w:szCs w:val="20"/>
                <w:lang w:val="en-ID" w:eastAsia="en-ID"/>
              </w:rPr>
              <w:t>As reported above, NuFeed was supported to attend the national disability inclusion workshop.</w:t>
            </w:r>
            <w:bookmarkEnd w:id="304"/>
            <w:r w:rsidRPr="0053072D">
              <w:rPr>
                <w:rFonts w:cs="Arial"/>
                <w:color w:val="000000"/>
                <w:sz w:val="20"/>
                <w:szCs w:val="20"/>
                <w:lang w:val="en-ID" w:eastAsia="en-ID"/>
              </w:rPr>
              <w:t xml:space="preserve">  </w:t>
            </w:r>
          </w:p>
          <w:p w14:paraId="44CC612D" w14:textId="77777777" w:rsidR="00B30B11" w:rsidRPr="0053072D" w:rsidRDefault="00B30B11" w:rsidP="00971661">
            <w:pPr>
              <w:keepNext/>
              <w:keepLines/>
              <w:outlineLvl w:val="1"/>
              <w:rPr>
                <w:rFonts w:cs="Arial"/>
                <w:color w:val="000000"/>
                <w:sz w:val="20"/>
                <w:szCs w:val="20"/>
                <w:lang w:val="en-ID" w:eastAsia="en-ID"/>
              </w:rPr>
            </w:pPr>
          </w:p>
          <w:p w14:paraId="6FB8DF4D" w14:textId="77777777" w:rsidR="00B30B11" w:rsidRPr="0053072D" w:rsidRDefault="00B30B11" w:rsidP="00971661">
            <w:pPr>
              <w:keepNext/>
              <w:keepLines/>
              <w:outlineLvl w:val="1"/>
              <w:rPr>
                <w:rFonts w:cs="Arial"/>
                <w:color w:val="000000"/>
                <w:sz w:val="20"/>
                <w:szCs w:val="20"/>
                <w:lang w:val="en-ID" w:eastAsia="en-ID"/>
              </w:rPr>
            </w:pPr>
            <w:bookmarkStart w:id="305" w:name="_Toc173318489"/>
            <w:r w:rsidRPr="0053072D">
              <w:rPr>
                <w:rFonts w:cs="Arial"/>
                <w:color w:val="000000"/>
                <w:sz w:val="20"/>
                <w:szCs w:val="20"/>
                <w:lang w:val="en-ID" w:eastAsia="en-ID"/>
              </w:rPr>
              <w:t xml:space="preserve">The Nufeed case study contributed to a </w:t>
            </w:r>
            <w:hyperlink r:id="rId150" w:history="1">
              <w:r w:rsidRPr="0053072D">
                <w:rPr>
                  <w:rFonts w:cs="Arial"/>
                  <w:color w:val="000000" w:themeColor="hyperlink"/>
                  <w:sz w:val="20"/>
                  <w:szCs w:val="20"/>
                  <w:u w:val="single"/>
                  <w:lang w:val="en-ID" w:eastAsia="en-ID"/>
                </w:rPr>
                <w:t>market brief</w:t>
              </w:r>
            </w:hyperlink>
            <w:r w:rsidRPr="0053072D">
              <w:rPr>
                <w:rFonts w:cs="Arial"/>
                <w:color w:val="000000"/>
                <w:sz w:val="20"/>
                <w:szCs w:val="20"/>
                <w:lang w:val="en-ID" w:eastAsia="en-ID"/>
              </w:rPr>
              <w:t xml:space="preserve"> for disability inclusion (a </w:t>
            </w:r>
            <w:r w:rsidRPr="0053072D">
              <w:rPr>
                <w:rFonts w:cs="Arial"/>
                <w:color w:val="000000"/>
                <w:sz w:val="20"/>
                <w:szCs w:val="20"/>
                <w:lang w:val="en-ID" w:eastAsia="en-ID"/>
              </w:rPr>
              <w:lastRenderedPageBreak/>
              <w:t>joint document with the beef sector) and was disseminated at the event.</w:t>
            </w:r>
            <w:bookmarkEnd w:id="305"/>
            <w:r w:rsidRPr="0053072D">
              <w:rPr>
                <w:rFonts w:cs="Arial"/>
                <w:color w:val="000000"/>
                <w:sz w:val="20"/>
                <w:szCs w:val="20"/>
                <w:lang w:val="en-ID" w:eastAsia="en-ID"/>
              </w:rPr>
              <w:t xml:space="preserve"> </w:t>
            </w:r>
          </w:p>
        </w:tc>
      </w:tr>
    </w:tbl>
    <w:p w14:paraId="294A36E1" w14:textId="77777777" w:rsidR="00B30B11" w:rsidRPr="0053072D" w:rsidRDefault="00B30B11" w:rsidP="00B30B11">
      <w:pPr>
        <w:keepNext/>
        <w:keepLines/>
        <w:spacing w:after="120" w:line="240" w:lineRule="auto"/>
        <w:ind w:left="11"/>
        <w:outlineLvl w:val="1"/>
        <w:rPr>
          <w:rFonts w:eastAsia="Times New Roman" w:cs="Arial"/>
          <w:color w:val="000000"/>
          <w:szCs w:val="20"/>
          <w:lang w:val="en-ID" w:eastAsia="en-ID"/>
        </w:rPr>
      </w:pPr>
    </w:p>
    <w:p w14:paraId="1F2810C9" w14:textId="77777777" w:rsidR="00B30B11" w:rsidRPr="0053072D" w:rsidRDefault="00B30B11" w:rsidP="00B30B11">
      <w:pPr>
        <w:keepNext/>
        <w:keepLines/>
        <w:spacing w:after="120" w:line="240" w:lineRule="auto"/>
        <w:ind w:left="11"/>
        <w:outlineLvl w:val="1"/>
        <w:rPr>
          <w:rFonts w:eastAsia="Times New Roman" w:cs="Arial"/>
          <w:color w:val="000000"/>
          <w:szCs w:val="20"/>
          <w:lang w:val="en-ID" w:eastAsia="en-ID"/>
        </w:rPr>
      </w:pPr>
    </w:p>
    <w:p w14:paraId="5F18A797" w14:textId="767D3CE6" w:rsidR="00B30B11" w:rsidRPr="0053072D" w:rsidRDefault="00B30B11" w:rsidP="00B30B11">
      <w:pPr>
        <w:keepNext/>
        <w:keepLines/>
        <w:spacing w:after="360" w:line="240" w:lineRule="auto"/>
        <w:ind w:left="851"/>
        <w:outlineLvl w:val="1"/>
        <w:rPr>
          <w:rFonts w:eastAsia="Times New Roman" w:cs="Arial"/>
          <w:b/>
          <w:bCs/>
          <w:color w:val="262C66"/>
          <w:szCs w:val="20"/>
          <w:lang w:val="en-ID" w:eastAsia="en-ID"/>
        </w:rPr>
      </w:pPr>
      <w:bookmarkStart w:id="306" w:name="_Toc173318490"/>
      <w:r w:rsidRPr="0053072D">
        <w:rPr>
          <w:rFonts w:eastAsia="Times New Roman" w:cs="Arial"/>
          <w:b/>
          <w:bCs/>
          <w:noProof/>
          <w:color w:val="262C66"/>
          <w:szCs w:val="20"/>
          <w:lang w:val="en-ID" w:eastAsia="en-ID"/>
          <w14:ligatures w14:val="standardContextual"/>
        </w:rPr>
        <w:drawing>
          <wp:anchor distT="0" distB="0" distL="114300" distR="114300" simplePos="0" relativeHeight="251658275" behindDoc="0" locked="0" layoutInCell="1" allowOverlap="1" wp14:anchorId="3329AF21" wp14:editId="61305336">
            <wp:simplePos x="0" y="0"/>
            <wp:positionH relativeFrom="column">
              <wp:posOffset>58772</wp:posOffset>
            </wp:positionH>
            <wp:positionV relativeFrom="paragraph">
              <wp:posOffset>-65194</wp:posOffset>
            </wp:positionV>
            <wp:extent cx="396000" cy="396000"/>
            <wp:effectExtent l="0" t="0" r="0" b="0"/>
            <wp:wrapNone/>
            <wp:docPr id="1829301396"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115979" name="Graphic 5">
                      <a:extLst>
                        <a:ext uri="{C183D7F6-B498-43B3-948B-1728B52AA6E4}">
                          <adec:decorative xmlns:adec="http://schemas.microsoft.com/office/drawing/2017/decorative" val="1"/>
                        </a:ext>
                      </a:extLst>
                    </pic:cNvPr>
                    <pic:cNvPicPr/>
                  </pic:nvPicPr>
                  <pic:blipFill>
                    <a:blip r:embed="rId151" cstate="print">
                      <a:extLst>
                        <a:ext uri="{28A0092B-C50C-407E-A947-70E740481C1C}">
                          <a14:useLocalDpi xmlns:a14="http://schemas.microsoft.com/office/drawing/2010/main" val="0"/>
                        </a:ext>
                        <a:ext uri="{96DAC541-7B7A-43D3-8B79-37D633B846F1}">
                          <asvg:svgBlip xmlns:asvg="http://schemas.microsoft.com/office/drawing/2016/SVG/main" r:embed="rId152"/>
                        </a:ext>
                      </a:extLst>
                    </a:blip>
                    <a:stretch>
                      <a:fillRect/>
                    </a:stretch>
                  </pic:blipFill>
                  <pic:spPr>
                    <a:xfrm>
                      <a:off x="0" y="0"/>
                      <a:ext cx="396000" cy="396000"/>
                    </a:xfrm>
                    <a:prstGeom prst="rect">
                      <a:avLst/>
                    </a:prstGeom>
                  </pic:spPr>
                </pic:pic>
              </a:graphicData>
            </a:graphic>
            <wp14:sizeRelH relativeFrom="page">
              <wp14:pctWidth>0</wp14:pctWidth>
            </wp14:sizeRelH>
            <wp14:sizeRelV relativeFrom="page">
              <wp14:pctHeight>0</wp14:pctHeight>
            </wp14:sizeRelV>
          </wp:anchor>
        </w:drawing>
      </w:r>
      <w:r w:rsidR="00321DBB">
        <w:rPr>
          <w:rFonts w:eastAsia="Times New Roman" w:cs="Arial"/>
          <w:b/>
          <w:bCs/>
          <w:color w:val="262C66"/>
          <w:szCs w:val="20"/>
          <w:lang w:val="en-ID" w:eastAsia="en-ID"/>
        </w:rPr>
        <w:t>Progress</w:t>
      </w:r>
      <w:r w:rsidRPr="0053072D">
        <w:rPr>
          <w:rFonts w:eastAsia="Times New Roman" w:cs="Arial"/>
          <w:b/>
          <w:bCs/>
          <w:color w:val="262C66"/>
          <w:szCs w:val="20"/>
          <w:lang w:val="en-ID" w:eastAsia="en-ID"/>
        </w:rPr>
        <w:t>: Finance</w:t>
      </w:r>
      <w:bookmarkEnd w:id="306"/>
    </w:p>
    <w:p w14:paraId="6F2CEAB2" w14:textId="77777777" w:rsidR="00971661" w:rsidRDefault="00971661" w:rsidP="00B30B11">
      <w:pPr>
        <w:keepNext/>
        <w:keepLines/>
        <w:spacing w:before="120" w:after="120" w:line="276" w:lineRule="auto"/>
        <w:contextualSpacing/>
        <w:outlineLvl w:val="1"/>
        <w:rPr>
          <w:rFonts w:eastAsia="Yu Gothic" w:cs="Arial"/>
          <w:b/>
          <w:bCs/>
          <w:color w:val="252D65"/>
          <w:szCs w:val="20"/>
        </w:rPr>
      </w:pPr>
    </w:p>
    <w:p w14:paraId="4FE22B04" w14:textId="368C0435" w:rsidR="00B30B11" w:rsidRPr="0053072D" w:rsidRDefault="00B30B11" w:rsidP="00B30B11">
      <w:pPr>
        <w:keepNext/>
        <w:keepLines/>
        <w:spacing w:before="120" w:after="120" w:line="276" w:lineRule="auto"/>
        <w:contextualSpacing/>
        <w:outlineLvl w:val="1"/>
        <w:rPr>
          <w:rFonts w:eastAsia="Yu Gothic" w:cs="Arial"/>
          <w:b/>
          <w:bCs/>
          <w:color w:val="252D65"/>
          <w:szCs w:val="20"/>
        </w:rPr>
      </w:pPr>
      <w:bookmarkStart w:id="307" w:name="_Toc173318491"/>
      <w:r w:rsidRPr="0053072D">
        <w:rPr>
          <w:rFonts w:eastAsia="Yu Gothic" w:cs="Arial"/>
          <w:b/>
          <w:bCs/>
          <w:color w:val="252D65"/>
          <w:szCs w:val="20"/>
        </w:rPr>
        <w:t>Vision</w:t>
      </w:r>
      <w:bookmarkEnd w:id="307"/>
    </w:p>
    <w:p w14:paraId="32990628" w14:textId="2934AB46" w:rsidR="00B30B11" w:rsidRDefault="00B30B11" w:rsidP="00B30B11">
      <w:pPr>
        <w:keepNext/>
        <w:keepLines/>
        <w:spacing w:after="500" w:line="276" w:lineRule="auto"/>
        <w:ind w:right="-6"/>
        <w:contextualSpacing/>
        <w:outlineLvl w:val="1"/>
        <w:rPr>
          <w:rFonts w:eastAsia="Yu Gothic" w:cs="Arial"/>
          <w:color w:val="000000"/>
          <w:szCs w:val="20"/>
        </w:rPr>
      </w:pPr>
      <w:bookmarkStart w:id="308" w:name="_Toc173318492"/>
      <w:r w:rsidRPr="0053072D">
        <w:rPr>
          <w:rFonts w:eastAsia="Yu Gothic" w:cs="Arial"/>
          <w:color w:val="000000"/>
          <w:szCs w:val="20"/>
        </w:rPr>
        <w:t>Smallholder farmers in Central and East Java can access quality inputs through better-financed agri-kiosks. PRISMA will achieve this by working with financial institutions to introduce flexible loans to agri-kiosks and by improving the enabling environment for agri-small and medium enterprise (SME) financing. By 2024, at least 3 banks will have increased their commercial interest in disbursing agricultural financing products to agri-kiosks in Central and East Java.</w:t>
      </w:r>
      <w:bookmarkEnd w:id="308"/>
      <w:r w:rsidRPr="0053072D">
        <w:rPr>
          <w:rFonts w:eastAsia="Yu Gothic" w:cs="Arial"/>
          <w:color w:val="000000"/>
          <w:szCs w:val="20"/>
        </w:rPr>
        <w:t xml:space="preserve"> </w:t>
      </w:r>
    </w:p>
    <w:p w14:paraId="649B529A" w14:textId="77777777" w:rsidR="00971661" w:rsidRPr="0053072D" w:rsidRDefault="00971661" w:rsidP="00B30B11">
      <w:pPr>
        <w:keepNext/>
        <w:keepLines/>
        <w:spacing w:after="500" w:line="276" w:lineRule="auto"/>
        <w:ind w:right="-6"/>
        <w:contextualSpacing/>
        <w:outlineLvl w:val="1"/>
        <w:rPr>
          <w:rFonts w:eastAsia="Yu Gothic" w:cs="Arial"/>
          <w:color w:val="000000"/>
          <w:szCs w:val="20"/>
        </w:rPr>
      </w:pPr>
    </w:p>
    <w:tbl>
      <w:tblPr>
        <w:tblStyle w:val="TableGrid1"/>
        <w:tblpPr w:leftFromText="181" w:rightFromText="181" w:vertAnchor="text" w:tblpY="1"/>
        <w:tblOverlap w:val="never"/>
        <w:tblW w:w="0" w:type="auto"/>
        <w:tblBorders>
          <w:top w:val="none" w:sz="0" w:space="0" w:color="auto"/>
          <w:left w:val="none" w:sz="0" w:space="0" w:color="auto"/>
          <w:bottom w:val="single" w:sz="4" w:space="0" w:color="000000"/>
          <w:right w:val="none" w:sz="0" w:space="0" w:color="auto"/>
          <w:insideH w:val="single" w:sz="4" w:space="0" w:color="000000"/>
          <w:insideV w:val="none" w:sz="0" w:space="0" w:color="auto"/>
        </w:tblBorders>
        <w:tblCellMar>
          <w:top w:w="170" w:type="dxa"/>
          <w:bottom w:w="113" w:type="dxa"/>
          <w:right w:w="170" w:type="dxa"/>
        </w:tblCellMar>
        <w:tblLook w:val="06A0" w:firstRow="1" w:lastRow="0" w:firstColumn="1" w:lastColumn="0" w:noHBand="1" w:noVBand="1"/>
      </w:tblPr>
      <w:tblGrid>
        <w:gridCol w:w="2122"/>
        <w:gridCol w:w="2835"/>
        <w:gridCol w:w="2698"/>
        <w:gridCol w:w="3118"/>
        <w:gridCol w:w="3787"/>
      </w:tblGrid>
      <w:tr w:rsidR="00B30B11" w:rsidRPr="0053072D" w14:paraId="5D7B086B" w14:textId="77777777" w:rsidTr="00EE453C">
        <w:tc>
          <w:tcPr>
            <w:tcW w:w="2122" w:type="dxa"/>
            <w:tcBorders>
              <w:top w:val="nil"/>
              <w:right w:val="single" w:sz="4" w:space="0" w:color="FFFFFF"/>
            </w:tcBorders>
            <w:shd w:val="clear" w:color="auto" w:fill="262C66"/>
          </w:tcPr>
          <w:p w14:paraId="338DEDDF" w14:textId="46A1CE9B" w:rsidR="00B30B11" w:rsidRPr="0053072D" w:rsidRDefault="00B30B11" w:rsidP="00971661">
            <w:pPr>
              <w:keepNext/>
              <w:keepLines/>
              <w:spacing w:before="60" w:after="60"/>
              <w:ind w:left="11"/>
              <w:jc w:val="center"/>
              <w:outlineLvl w:val="1"/>
              <w:rPr>
                <w:rFonts w:eastAsia="Times New Roman" w:cs="Arial"/>
                <w:b/>
                <w:bCs/>
                <w:color w:val="FFFFFF"/>
                <w:sz w:val="20"/>
                <w:szCs w:val="20"/>
                <w:lang w:val="en-ID" w:eastAsia="en-ID"/>
              </w:rPr>
            </w:pPr>
            <w:bookmarkStart w:id="309" w:name="_Toc173318493"/>
            <w:r w:rsidRPr="0053072D">
              <w:rPr>
                <w:rFonts w:eastAsia="Times New Roman" w:cs="Arial"/>
                <w:b/>
                <w:bCs/>
                <w:color w:val="FFFFFF"/>
                <w:sz w:val="20"/>
                <w:szCs w:val="20"/>
                <w:lang w:val="en-ID" w:eastAsia="en-ID"/>
              </w:rPr>
              <w:t>Exit strategies</w:t>
            </w:r>
            <w:bookmarkEnd w:id="309"/>
          </w:p>
        </w:tc>
        <w:tc>
          <w:tcPr>
            <w:tcW w:w="2835" w:type="dxa"/>
            <w:tcBorders>
              <w:top w:val="nil"/>
              <w:left w:val="single" w:sz="4" w:space="0" w:color="FFFFFF"/>
              <w:right w:val="single" w:sz="4" w:space="0" w:color="FFFFFF"/>
            </w:tcBorders>
            <w:shd w:val="clear" w:color="auto" w:fill="262C66"/>
          </w:tcPr>
          <w:p w14:paraId="66EB4679" w14:textId="165B5289" w:rsidR="00B30B11" w:rsidRPr="0053072D" w:rsidRDefault="00B30B11" w:rsidP="00971661">
            <w:pPr>
              <w:keepNext/>
              <w:keepLines/>
              <w:spacing w:before="60" w:after="60"/>
              <w:ind w:left="11"/>
              <w:jc w:val="center"/>
              <w:outlineLvl w:val="1"/>
              <w:rPr>
                <w:rFonts w:eastAsia="Times New Roman" w:cs="Arial"/>
                <w:b/>
                <w:bCs/>
                <w:color w:val="FFFFFF"/>
                <w:sz w:val="20"/>
                <w:szCs w:val="20"/>
                <w:lang w:val="en-ID" w:eastAsia="en-ID"/>
              </w:rPr>
            </w:pPr>
            <w:bookmarkStart w:id="310" w:name="_Toc173318494"/>
            <w:r w:rsidRPr="0053072D">
              <w:rPr>
                <w:rFonts w:eastAsia="Times New Roman" w:cs="Arial"/>
                <w:b/>
                <w:bCs/>
                <w:color w:val="FFFFFF"/>
                <w:sz w:val="20"/>
                <w:szCs w:val="20"/>
                <w:lang w:val="en-ID" w:eastAsia="en-ID"/>
              </w:rPr>
              <w:t>Focus areas</w:t>
            </w:r>
            <w:bookmarkEnd w:id="310"/>
          </w:p>
        </w:tc>
        <w:tc>
          <w:tcPr>
            <w:tcW w:w="2698" w:type="dxa"/>
            <w:tcBorders>
              <w:top w:val="nil"/>
              <w:left w:val="single" w:sz="4" w:space="0" w:color="FFFFFF"/>
              <w:right w:val="single" w:sz="4" w:space="0" w:color="FFFFFF"/>
            </w:tcBorders>
            <w:shd w:val="clear" w:color="auto" w:fill="262C66"/>
          </w:tcPr>
          <w:p w14:paraId="6AFB6E37" w14:textId="17C7ED63" w:rsidR="00B30B11" w:rsidRPr="0053072D" w:rsidRDefault="00B30B11" w:rsidP="00971661">
            <w:pPr>
              <w:keepNext/>
              <w:keepLines/>
              <w:spacing w:before="60" w:after="60"/>
              <w:ind w:left="11"/>
              <w:jc w:val="center"/>
              <w:outlineLvl w:val="1"/>
              <w:rPr>
                <w:rFonts w:eastAsia="Times New Roman" w:cs="Arial"/>
                <w:b/>
                <w:bCs/>
                <w:color w:val="FFFFFF"/>
                <w:sz w:val="20"/>
                <w:szCs w:val="20"/>
                <w:lang w:val="en-ID" w:eastAsia="en-ID"/>
              </w:rPr>
            </w:pPr>
            <w:bookmarkStart w:id="311" w:name="_Toc173318495"/>
            <w:r w:rsidRPr="0053072D">
              <w:rPr>
                <w:rFonts w:eastAsia="Times New Roman" w:cs="Arial"/>
                <w:b/>
                <w:bCs/>
                <w:color w:val="FFFFFF"/>
                <w:sz w:val="20"/>
                <w:szCs w:val="20"/>
                <w:lang w:val="en-ID" w:eastAsia="en-ID"/>
              </w:rPr>
              <w:t>Planned initiatives</w:t>
            </w:r>
            <w:bookmarkEnd w:id="311"/>
          </w:p>
        </w:tc>
        <w:tc>
          <w:tcPr>
            <w:tcW w:w="3118" w:type="dxa"/>
            <w:tcBorders>
              <w:top w:val="nil"/>
              <w:left w:val="single" w:sz="4" w:space="0" w:color="FFFFFF"/>
              <w:right w:val="single" w:sz="4" w:space="0" w:color="FFFFFF"/>
            </w:tcBorders>
            <w:shd w:val="clear" w:color="auto" w:fill="262C66"/>
          </w:tcPr>
          <w:p w14:paraId="4AC02127" w14:textId="2C9DE102" w:rsidR="00B30B11" w:rsidRPr="0053072D" w:rsidRDefault="00B30B11" w:rsidP="00971661">
            <w:pPr>
              <w:keepNext/>
              <w:keepLines/>
              <w:spacing w:before="60" w:after="60"/>
              <w:ind w:left="11"/>
              <w:jc w:val="center"/>
              <w:outlineLvl w:val="1"/>
              <w:rPr>
                <w:rFonts w:eastAsia="Times New Roman" w:cs="Arial"/>
                <w:b/>
                <w:bCs/>
                <w:color w:val="FFFFFF"/>
                <w:sz w:val="20"/>
                <w:szCs w:val="20"/>
                <w:lang w:val="en-ID" w:eastAsia="en-ID"/>
              </w:rPr>
            </w:pPr>
            <w:bookmarkStart w:id="312" w:name="_Toc173318496"/>
            <w:r w:rsidRPr="0053072D">
              <w:rPr>
                <w:rFonts w:eastAsia="Times New Roman" w:cs="Arial"/>
                <w:b/>
                <w:bCs/>
                <w:color w:val="FFFFFF"/>
                <w:sz w:val="20"/>
                <w:szCs w:val="20"/>
                <w:lang w:val="en-ID" w:eastAsia="en-ID"/>
              </w:rPr>
              <w:t>Expected outputs</w:t>
            </w:r>
            <w:bookmarkEnd w:id="312"/>
          </w:p>
        </w:tc>
        <w:tc>
          <w:tcPr>
            <w:tcW w:w="3787" w:type="dxa"/>
            <w:tcBorders>
              <w:top w:val="nil"/>
              <w:left w:val="single" w:sz="4" w:space="0" w:color="FFFFFF"/>
            </w:tcBorders>
            <w:shd w:val="clear" w:color="auto" w:fill="262C66"/>
          </w:tcPr>
          <w:p w14:paraId="47C4A1AB" w14:textId="14833786" w:rsidR="00B30B11" w:rsidRPr="0053072D" w:rsidRDefault="00B30B11" w:rsidP="00971661">
            <w:pPr>
              <w:keepNext/>
              <w:keepLines/>
              <w:spacing w:before="60" w:after="60"/>
              <w:ind w:left="11"/>
              <w:jc w:val="center"/>
              <w:outlineLvl w:val="1"/>
              <w:rPr>
                <w:rFonts w:eastAsia="Times New Roman" w:cs="Arial"/>
                <w:b/>
                <w:bCs/>
                <w:color w:val="FFFFFF"/>
                <w:sz w:val="20"/>
                <w:szCs w:val="20"/>
                <w:lang w:val="en-ID" w:eastAsia="en-ID"/>
              </w:rPr>
            </w:pPr>
            <w:bookmarkStart w:id="313" w:name="_Toc173318497"/>
            <w:r w:rsidRPr="0053072D">
              <w:rPr>
                <w:rFonts w:eastAsia="Times New Roman" w:cs="Arial"/>
                <w:b/>
                <w:bCs/>
                <w:color w:val="FFFFFF"/>
                <w:sz w:val="20"/>
                <w:szCs w:val="20"/>
                <w:lang w:val="en-ID" w:eastAsia="en-ID"/>
              </w:rPr>
              <w:t>Progress update</w:t>
            </w:r>
            <w:bookmarkEnd w:id="313"/>
          </w:p>
        </w:tc>
      </w:tr>
      <w:tr w:rsidR="00B30B11" w:rsidRPr="0053072D" w14:paraId="51768358" w14:textId="77777777" w:rsidTr="00EE453C">
        <w:tc>
          <w:tcPr>
            <w:tcW w:w="2122" w:type="dxa"/>
            <w:vMerge w:val="restart"/>
          </w:tcPr>
          <w:p w14:paraId="53FECEE8" w14:textId="21104480"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14" w:name="_Toc173318498"/>
            <w:r w:rsidRPr="0053072D">
              <w:rPr>
                <w:rFonts w:eastAsia="Times New Roman" w:cs="Aptos"/>
                <w:color w:val="000000"/>
                <w:sz w:val="20"/>
                <w:szCs w:val="20"/>
                <w:lang w:val="en-ID" w:eastAsia="en-ID"/>
              </w:rPr>
              <w:t>Strategies towards ensuring greater sustainability</w:t>
            </w:r>
            <w:bookmarkEnd w:id="314"/>
          </w:p>
        </w:tc>
        <w:tc>
          <w:tcPr>
            <w:tcW w:w="2835" w:type="dxa"/>
            <w:vMerge w:val="restart"/>
          </w:tcPr>
          <w:p w14:paraId="7154728B" w14:textId="5B6AC133"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15" w:name="_Toc173318499"/>
            <w:r w:rsidRPr="0053072D">
              <w:rPr>
                <w:rFonts w:eastAsia="Times New Roman" w:cs="Aptos"/>
                <w:color w:val="000000"/>
                <w:sz w:val="20"/>
                <w:szCs w:val="20"/>
                <w:lang w:val="en-ID" w:eastAsia="en-ID"/>
              </w:rPr>
              <w:t>Supporting collaborations with other market actors for loan channelling</w:t>
            </w:r>
            <w:bookmarkEnd w:id="315"/>
          </w:p>
        </w:tc>
        <w:tc>
          <w:tcPr>
            <w:tcW w:w="2698" w:type="dxa"/>
          </w:tcPr>
          <w:p w14:paraId="4FBB3DA6" w14:textId="4991278A"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16" w:name="_Toc173318500"/>
            <w:r w:rsidRPr="0053072D">
              <w:rPr>
                <w:rFonts w:eastAsia="Times New Roman" w:cs="Aptos"/>
                <w:color w:val="000000"/>
                <w:sz w:val="20"/>
                <w:szCs w:val="20"/>
                <w:lang w:val="en-ID" w:eastAsia="en-ID"/>
              </w:rPr>
              <w:t>Facilitate a partnership between Bank Sinarmas Syariah and Semaai to enable a buy now pay later (BNPL) mechanism.</w:t>
            </w:r>
            <w:bookmarkEnd w:id="316"/>
          </w:p>
        </w:tc>
        <w:tc>
          <w:tcPr>
            <w:tcW w:w="3118" w:type="dxa"/>
          </w:tcPr>
          <w:p w14:paraId="5D38EC95" w14:textId="3B64481E" w:rsidR="00B30B11" w:rsidRPr="0053072D" w:rsidRDefault="00B30B11" w:rsidP="00A45E00">
            <w:pPr>
              <w:keepNext/>
              <w:keepLines/>
              <w:spacing w:after="80"/>
              <w:ind w:left="178" w:firstLine="14"/>
              <w:outlineLvl w:val="1"/>
              <w:rPr>
                <w:rFonts w:eastAsia="Times New Roman" w:cs="Arial"/>
                <w:color w:val="000000"/>
                <w:sz w:val="20"/>
                <w:szCs w:val="20"/>
                <w:lang w:val="en-ID" w:eastAsia="en-ID"/>
              </w:rPr>
            </w:pPr>
            <w:bookmarkStart w:id="317" w:name="_Toc173318501"/>
            <w:r w:rsidRPr="0053072D">
              <w:rPr>
                <w:rFonts w:eastAsia="Times New Roman" w:cs="Aptos"/>
                <w:color w:val="000000"/>
                <w:sz w:val="20"/>
                <w:szCs w:val="20"/>
                <w:lang w:val="en-ID" w:eastAsia="en-ID"/>
              </w:rPr>
              <w:t>Semaai is promoting the Sinarmas Syariah BNPL facility to its agri-kiosks network.</w:t>
            </w:r>
            <w:bookmarkEnd w:id="317"/>
          </w:p>
        </w:tc>
        <w:tc>
          <w:tcPr>
            <w:tcW w:w="3787" w:type="dxa"/>
          </w:tcPr>
          <w:p w14:paraId="6BD903D1" w14:textId="704B883A" w:rsidR="00B30B11" w:rsidRDefault="00B30B11" w:rsidP="00EE453C">
            <w:pPr>
              <w:keepNext/>
              <w:keepLines/>
              <w:spacing w:after="120"/>
              <w:ind w:left="11"/>
              <w:outlineLvl w:val="1"/>
              <w:rPr>
                <w:rFonts w:cs="Arial"/>
                <w:color w:val="000000"/>
                <w:sz w:val="20"/>
                <w:szCs w:val="20"/>
                <w:lang w:val="en-ID" w:eastAsia="en-ID"/>
              </w:rPr>
            </w:pPr>
            <w:bookmarkStart w:id="318" w:name="_Toc173318502"/>
            <w:r>
              <w:rPr>
                <w:rFonts w:cs="Arial"/>
                <w:color w:val="000000"/>
                <w:sz w:val="20"/>
                <w:szCs w:val="20"/>
                <w:lang w:val="en-ID" w:eastAsia="en-ID"/>
              </w:rPr>
              <w:t>A  Buy Now, Pay Later (BNPL) service aims to provide financing for agri-kiosks, with the goal of expanding product lines and enhancing productivity for smallholder farmers.</w:t>
            </w:r>
            <w:bookmarkEnd w:id="318"/>
          </w:p>
          <w:p w14:paraId="7F745425" w14:textId="77777777" w:rsidR="00B30B11" w:rsidRDefault="00B30B11" w:rsidP="00EE453C">
            <w:pPr>
              <w:keepNext/>
              <w:keepLines/>
              <w:spacing w:after="120"/>
              <w:ind w:left="11"/>
              <w:outlineLvl w:val="1"/>
              <w:rPr>
                <w:rFonts w:cs="Arial"/>
                <w:color w:val="000000"/>
                <w:sz w:val="20"/>
                <w:szCs w:val="20"/>
                <w:lang w:val="en-ID" w:eastAsia="en-ID"/>
              </w:rPr>
            </w:pPr>
            <w:bookmarkStart w:id="319" w:name="_Toc173318503"/>
            <w:r>
              <w:rPr>
                <w:rFonts w:cs="Arial"/>
                <w:color w:val="000000"/>
                <w:sz w:val="20"/>
                <w:szCs w:val="20"/>
                <w:lang w:val="en-ID" w:eastAsia="en-ID"/>
              </w:rPr>
              <w:t>PRISMA recently organized a meeting to discuss a potential partnership between Bank Nano Syariah (formerly Bank Sinarmas Syariah), a private Sharia-compliant bank, and Semaai, an agri-e-commerce platform for agri-kiosks, to introduce BNPL service.</w:t>
            </w:r>
            <w:bookmarkEnd w:id="319"/>
            <w:r>
              <w:rPr>
                <w:rFonts w:cs="Arial"/>
                <w:color w:val="000000"/>
                <w:sz w:val="20"/>
                <w:szCs w:val="20"/>
                <w:lang w:val="en-ID" w:eastAsia="en-ID"/>
              </w:rPr>
              <w:t xml:space="preserve"> </w:t>
            </w:r>
          </w:p>
          <w:p w14:paraId="2CCD0CF3" w14:textId="5DF04061"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20" w:name="_Toc173318504"/>
            <w:r>
              <w:rPr>
                <w:rFonts w:cs="Arial"/>
                <w:color w:val="000000"/>
                <w:sz w:val="20"/>
                <w:szCs w:val="20"/>
                <w:lang w:val="en-ID" w:eastAsia="en-ID"/>
              </w:rPr>
              <w:t xml:space="preserve">This BNPL service is a new offering, and to minimize risk, Semaai plans to initially launch it with its current partner, </w:t>
            </w:r>
            <w:r>
              <w:rPr>
                <w:rFonts w:cs="Arial"/>
                <w:color w:val="000000"/>
                <w:sz w:val="20"/>
                <w:szCs w:val="20"/>
                <w:lang w:val="en-ID" w:eastAsia="en-ID"/>
              </w:rPr>
              <w:lastRenderedPageBreak/>
              <w:t>Koinworks, a peer-to-peer lending company. The introduction to Bank Nano Syariah received positive feedback, and Semaai may consider expanding the BNPL facility to other partners after evaluating the pilot phase in the second half of 2024</w:t>
            </w:r>
            <w:bookmarkEnd w:id="320"/>
          </w:p>
        </w:tc>
      </w:tr>
      <w:tr w:rsidR="00B30B11" w:rsidRPr="0053072D" w14:paraId="7E68EC25" w14:textId="77777777" w:rsidTr="00EE453C">
        <w:tc>
          <w:tcPr>
            <w:tcW w:w="2122" w:type="dxa"/>
            <w:vMerge/>
          </w:tcPr>
          <w:p w14:paraId="4A99A23B"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835" w:type="dxa"/>
            <w:vMerge/>
          </w:tcPr>
          <w:p w14:paraId="02F1946B"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98" w:type="dxa"/>
          </w:tcPr>
          <w:p w14:paraId="08D77E54" w14:textId="1440357F"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21" w:name="_Toc173318505"/>
            <w:r w:rsidRPr="0053072D">
              <w:rPr>
                <w:rFonts w:eastAsia="Times New Roman" w:cs="Aptos"/>
                <w:color w:val="000000"/>
                <w:sz w:val="20"/>
                <w:szCs w:val="20"/>
                <w:lang w:val="en-ID" w:eastAsia="en-ID"/>
              </w:rPr>
              <w:t>Facilitate a partnership between Bank Sinarmas Syariah and the Kubota machinery (mechanisation providers) network.</w:t>
            </w:r>
            <w:bookmarkEnd w:id="321"/>
          </w:p>
        </w:tc>
        <w:tc>
          <w:tcPr>
            <w:tcW w:w="3118" w:type="dxa"/>
          </w:tcPr>
          <w:p w14:paraId="4E160B7F" w14:textId="48397FF4" w:rsidR="00B30B11" w:rsidRPr="0053072D" w:rsidRDefault="00B30B11" w:rsidP="00A45E00">
            <w:pPr>
              <w:keepNext/>
              <w:keepLines/>
              <w:spacing w:after="80"/>
              <w:ind w:left="178" w:firstLine="14"/>
              <w:outlineLvl w:val="1"/>
              <w:rPr>
                <w:rFonts w:eastAsia="Times New Roman" w:cs="Arial"/>
                <w:color w:val="000000"/>
                <w:sz w:val="20"/>
                <w:szCs w:val="20"/>
                <w:lang w:val="en-ID" w:eastAsia="en-ID"/>
              </w:rPr>
            </w:pPr>
            <w:bookmarkStart w:id="322" w:name="_Toc173318506"/>
            <w:r w:rsidRPr="0053072D">
              <w:rPr>
                <w:rFonts w:eastAsia="Times New Roman" w:cs="Arial"/>
                <w:color w:val="000000"/>
                <w:sz w:val="20"/>
                <w:szCs w:val="20"/>
                <w:lang w:val="en-ID" w:eastAsia="en-ID"/>
              </w:rPr>
              <w:t>The mechanisation provider (the Kubota network) is accessing Bank Sinarmas Syariah’s loan facility.</w:t>
            </w:r>
            <w:bookmarkEnd w:id="322"/>
          </w:p>
        </w:tc>
        <w:tc>
          <w:tcPr>
            <w:tcW w:w="3787" w:type="dxa"/>
          </w:tcPr>
          <w:p w14:paraId="3EC3F3B3" w14:textId="3F7DDB95"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23" w:name="_Toc173318507"/>
            <w:r>
              <w:rPr>
                <w:rFonts w:cs="Arial"/>
                <w:color w:val="000000"/>
                <w:sz w:val="20"/>
                <w:szCs w:val="20"/>
                <w:lang w:val="en-ID" w:eastAsia="en-ID"/>
              </w:rPr>
              <w:t>The partnership facilitated by PRISMA between the mechanization provider Kubota and Bank Nano Syariah (formerly Bank Sinarmas Syariah), a private Sharia bank, has been successful. The bank has signed a partnership with Bina Pertiwi, an authorized distributor of Kubota Machinery Indonesia. Through this partnership, seven customers in Medan, North Sumatra, Makassar, and South Sulawesi have received a Sharia-compliant mechanization financing facility from Bank Nano Syariah. Mechanization can reduce harvest and labor costs and improve productivity for smallholder farmers.</w:t>
            </w:r>
            <w:bookmarkEnd w:id="323"/>
          </w:p>
        </w:tc>
      </w:tr>
      <w:tr w:rsidR="00B30B11" w:rsidRPr="0053072D" w14:paraId="4261942B" w14:textId="77777777" w:rsidTr="00EE453C">
        <w:tc>
          <w:tcPr>
            <w:tcW w:w="2122" w:type="dxa"/>
            <w:vMerge/>
          </w:tcPr>
          <w:p w14:paraId="1A384AA5"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835" w:type="dxa"/>
            <w:vMerge/>
          </w:tcPr>
          <w:p w14:paraId="7C945183"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98" w:type="dxa"/>
          </w:tcPr>
          <w:p w14:paraId="610809EC" w14:textId="6F8F0223"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24" w:name="_Toc173318508"/>
            <w:r w:rsidRPr="0053072D">
              <w:rPr>
                <w:rFonts w:eastAsia="Times New Roman" w:cs="Aptos"/>
                <w:color w:val="000000"/>
                <w:sz w:val="20"/>
                <w:szCs w:val="20"/>
                <w:lang w:val="en-ID" w:eastAsia="en-ID"/>
              </w:rPr>
              <w:t xml:space="preserve">Facilitate a partnership between Bank Mandiri and Saprotan Utama, </w:t>
            </w:r>
            <w:r w:rsidRPr="0053072D">
              <w:rPr>
                <w:rFonts w:cs="Arial"/>
                <w:color w:val="000000"/>
                <w:sz w:val="20"/>
                <w:szCs w:val="20"/>
                <w:lang w:val="en-ID" w:eastAsia="en-ID"/>
              </w:rPr>
              <w:t>an agri-input company,</w:t>
            </w:r>
            <w:r w:rsidRPr="0053072D">
              <w:rPr>
                <w:rFonts w:eastAsia="Times New Roman" w:cs="Aptos"/>
                <w:color w:val="000000"/>
                <w:sz w:val="20"/>
                <w:szCs w:val="20"/>
                <w:lang w:val="en-ID" w:eastAsia="en-ID"/>
              </w:rPr>
              <w:t xml:space="preserve"> for financing agri-kiosks.</w:t>
            </w:r>
            <w:bookmarkEnd w:id="324"/>
          </w:p>
        </w:tc>
        <w:tc>
          <w:tcPr>
            <w:tcW w:w="3118" w:type="dxa"/>
          </w:tcPr>
          <w:p w14:paraId="0C717BFA" w14:textId="69C75BFB" w:rsidR="00B30B11" w:rsidRPr="0053072D" w:rsidRDefault="00B30B11" w:rsidP="00A45E00">
            <w:pPr>
              <w:keepNext/>
              <w:keepLines/>
              <w:spacing w:after="80"/>
              <w:ind w:left="178" w:firstLine="14"/>
              <w:outlineLvl w:val="1"/>
              <w:rPr>
                <w:rFonts w:eastAsia="Times New Roman" w:cs="Arial"/>
                <w:color w:val="000000"/>
                <w:sz w:val="20"/>
                <w:szCs w:val="20"/>
                <w:lang w:val="en-ID" w:eastAsia="en-ID"/>
              </w:rPr>
            </w:pPr>
            <w:bookmarkStart w:id="325" w:name="_Toc173318509"/>
            <w:r w:rsidRPr="0053072D">
              <w:rPr>
                <w:rFonts w:eastAsia="Times New Roman" w:cs="Arial"/>
                <w:color w:val="000000"/>
                <w:sz w:val="20"/>
                <w:szCs w:val="20"/>
                <w:lang w:val="en-ID" w:eastAsia="en-ID"/>
              </w:rPr>
              <w:t>The Mandiri BNPL facility is promoted to Saprotan Utama’s agri-kiosk network.</w:t>
            </w:r>
            <w:bookmarkEnd w:id="325"/>
          </w:p>
        </w:tc>
        <w:tc>
          <w:tcPr>
            <w:tcW w:w="3787" w:type="dxa"/>
          </w:tcPr>
          <w:p w14:paraId="78ADE61B" w14:textId="0B798769"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26" w:name="_Toc173318510"/>
            <w:r w:rsidRPr="0053072D">
              <w:rPr>
                <w:rFonts w:cs="Arial"/>
                <w:color w:val="000000"/>
                <w:sz w:val="20"/>
                <w:szCs w:val="20"/>
                <w:lang w:val="en-ID" w:eastAsia="en-ID"/>
              </w:rPr>
              <w:t xml:space="preserve">Saprotan Utama has expanded the Mandiri BNPL (Buy Now, Pay Later) facility to 43 agricultural kiosks in Demak, Central Java. Bank Mandiri is currently evaluating the financing eligibility of the recommended kiosks and will offer loans to those that qualify. This initiative aims to enhance the sustainability of the BNPL loan product, potentially leading to significant improvements in the sustainability of </w:t>
            </w:r>
            <w:r w:rsidRPr="0053072D">
              <w:rPr>
                <w:rFonts w:cs="Arial"/>
                <w:color w:val="000000"/>
                <w:sz w:val="20"/>
                <w:szCs w:val="20"/>
                <w:lang w:val="en-ID" w:eastAsia="en-ID"/>
              </w:rPr>
              <w:lastRenderedPageBreak/>
              <w:t>agricultural kiosk businesses and the inventory available to smallholder farmers.</w:t>
            </w:r>
            <w:bookmarkEnd w:id="326"/>
          </w:p>
        </w:tc>
      </w:tr>
      <w:tr w:rsidR="00B30B11" w:rsidRPr="0053072D" w14:paraId="24203966" w14:textId="77777777" w:rsidTr="00EE453C">
        <w:tc>
          <w:tcPr>
            <w:tcW w:w="2122" w:type="dxa"/>
            <w:vMerge/>
          </w:tcPr>
          <w:p w14:paraId="347E00ED"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835" w:type="dxa"/>
            <w:vMerge/>
          </w:tcPr>
          <w:p w14:paraId="60F64CA0"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98" w:type="dxa"/>
          </w:tcPr>
          <w:p w14:paraId="63E68FBB" w14:textId="086AF35B"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27" w:name="_Toc173318511"/>
            <w:r w:rsidRPr="0053072D">
              <w:rPr>
                <w:rFonts w:eastAsia="Times New Roman" w:cs="Aptos"/>
                <w:color w:val="000000"/>
                <w:sz w:val="20"/>
                <w:szCs w:val="20"/>
                <w:lang w:val="en-ID" w:eastAsia="en-ID"/>
              </w:rPr>
              <w:t>Facilitate a partnership between Bank Mandiri and Jiva</w:t>
            </w:r>
            <w:r w:rsidRPr="0053072D">
              <w:rPr>
                <w:rFonts w:cs="Arial"/>
                <w:color w:val="000000"/>
                <w:sz w:val="20"/>
                <w:szCs w:val="20"/>
                <w:lang w:val="en-ID" w:eastAsia="en-ID"/>
              </w:rPr>
              <w:t xml:space="preserve">, an agri-tech company, </w:t>
            </w:r>
            <w:r w:rsidRPr="0053072D">
              <w:rPr>
                <w:rFonts w:eastAsia="Times New Roman" w:cs="Aptos"/>
                <w:color w:val="000000"/>
                <w:sz w:val="20"/>
                <w:szCs w:val="20"/>
                <w:lang w:val="en-ID" w:eastAsia="en-ID"/>
              </w:rPr>
              <w:t>to provide kiosk financing.</w:t>
            </w:r>
            <w:bookmarkEnd w:id="327"/>
          </w:p>
        </w:tc>
        <w:tc>
          <w:tcPr>
            <w:tcW w:w="3118" w:type="dxa"/>
          </w:tcPr>
          <w:p w14:paraId="1F24F192" w14:textId="4E9C4A20" w:rsidR="00B30B11" w:rsidRPr="0053072D" w:rsidRDefault="00B30B11" w:rsidP="00A45E00">
            <w:pPr>
              <w:keepNext/>
              <w:keepLines/>
              <w:spacing w:after="80"/>
              <w:ind w:left="178" w:firstLine="14"/>
              <w:outlineLvl w:val="1"/>
              <w:rPr>
                <w:rFonts w:eastAsia="Times New Roman" w:cs="Arial"/>
                <w:color w:val="000000"/>
                <w:sz w:val="20"/>
                <w:szCs w:val="20"/>
                <w:lang w:val="en-ID" w:eastAsia="en-ID"/>
              </w:rPr>
            </w:pPr>
            <w:bookmarkStart w:id="328" w:name="_Toc173318512"/>
            <w:r w:rsidRPr="0053072D">
              <w:rPr>
                <w:rFonts w:eastAsia="Times New Roman" w:cs="Arial"/>
                <w:color w:val="000000"/>
                <w:sz w:val="20"/>
                <w:szCs w:val="20"/>
                <w:lang w:val="en-ID" w:eastAsia="en-ID"/>
              </w:rPr>
              <w:t>The Mandiri loan facility is promoted to the Jiva agri-kiosk network.</w:t>
            </w:r>
            <w:bookmarkEnd w:id="328"/>
          </w:p>
        </w:tc>
        <w:tc>
          <w:tcPr>
            <w:tcW w:w="3787" w:type="dxa"/>
          </w:tcPr>
          <w:p w14:paraId="67543272" w14:textId="5D0AD9C9"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29" w:name="_Toc173318513"/>
            <w:r w:rsidRPr="0053072D">
              <w:rPr>
                <w:rFonts w:cs="Arial"/>
                <w:color w:val="000000"/>
                <w:sz w:val="20"/>
                <w:szCs w:val="20"/>
                <w:lang w:val="en-ID" w:eastAsia="en-ID"/>
              </w:rPr>
              <w:t>PRISMA facilitated a business brokering meeting between Bank Mandiri and Jiva, a maize off-taker and supplier of agri-inputs to agri-kiosks. As a result, Bank Mandiri is conducting an institutional assessment before it can receive customer referrals from Jiva..</w:t>
            </w:r>
            <w:bookmarkEnd w:id="329"/>
          </w:p>
        </w:tc>
      </w:tr>
      <w:tr w:rsidR="00B30B11" w:rsidRPr="0053072D" w14:paraId="0318614A" w14:textId="77777777" w:rsidTr="00EE453C">
        <w:tc>
          <w:tcPr>
            <w:tcW w:w="2122" w:type="dxa"/>
            <w:vMerge/>
          </w:tcPr>
          <w:p w14:paraId="0346CCCF"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835" w:type="dxa"/>
            <w:vMerge w:val="restart"/>
          </w:tcPr>
          <w:p w14:paraId="4E2BD101" w14:textId="34CAAA61"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30" w:name="_Toc173318514"/>
            <w:r w:rsidRPr="0053072D">
              <w:rPr>
                <w:rFonts w:eastAsia="Times New Roman" w:cs="Aptos"/>
                <w:color w:val="000000"/>
                <w:sz w:val="20"/>
                <w:szCs w:val="20"/>
                <w:lang w:val="en-ID" w:eastAsia="en-ID"/>
              </w:rPr>
              <w:t>Institutional strengthening for adapting business strategies</w:t>
            </w:r>
            <w:bookmarkEnd w:id="330"/>
          </w:p>
        </w:tc>
        <w:tc>
          <w:tcPr>
            <w:tcW w:w="2698" w:type="dxa"/>
          </w:tcPr>
          <w:p w14:paraId="01FDE8DD" w14:textId="045DC7AA"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31" w:name="_Toc173318515"/>
            <w:r w:rsidRPr="0053072D">
              <w:rPr>
                <w:rFonts w:eastAsia="Times New Roman" w:cs="Aptos"/>
                <w:color w:val="000000"/>
                <w:sz w:val="20"/>
                <w:szCs w:val="20"/>
                <w:lang w:val="en-ID" w:eastAsia="en-ID"/>
              </w:rPr>
              <w:t>Agriculture financing training with Bank Mandiri to increase knowledge and capacity in developing and delivering suitable loan products in agriculture</w:t>
            </w:r>
            <w:bookmarkEnd w:id="331"/>
          </w:p>
        </w:tc>
        <w:tc>
          <w:tcPr>
            <w:tcW w:w="3118" w:type="dxa"/>
          </w:tcPr>
          <w:p w14:paraId="04DB1412" w14:textId="1EB0161A" w:rsidR="00B30B11" w:rsidRPr="0053072D" w:rsidRDefault="00B30B11" w:rsidP="00A45E00">
            <w:pPr>
              <w:keepNext/>
              <w:keepLines/>
              <w:spacing w:after="80"/>
              <w:ind w:left="178" w:firstLine="14"/>
              <w:outlineLvl w:val="1"/>
              <w:rPr>
                <w:rFonts w:eastAsia="Times New Roman" w:cs="Arial"/>
                <w:color w:val="000000"/>
                <w:sz w:val="20"/>
                <w:szCs w:val="20"/>
                <w:lang w:val="en-ID" w:eastAsia="en-ID"/>
              </w:rPr>
            </w:pPr>
            <w:bookmarkStart w:id="332" w:name="_Toc173318516"/>
            <w:r w:rsidRPr="0053072D">
              <w:rPr>
                <w:rFonts w:eastAsia="Times New Roman" w:cs="Arial"/>
                <w:color w:val="000000"/>
                <w:sz w:val="20"/>
                <w:szCs w:val="20"/>
                <w:lang w:val="en-ID" w:eastAsia="en-ID"/>
              </w:rPr>
              <w:t>Bank Mandiri’s staff knowledge of the agriculture sector has increased, and they are ensuring strategic alignment to improve their products.</w:t>
            </w:r>
            <w:bookmarkEnd w:id="332"/>
          </w:p>
        </w:tc>
        <w:tc>
          <w:tcPr>
            <w:tcW w:w="3787" w:type="dxa"/>
          </w:tcPr>
          <w:p w14:paraId="639DA957" w14:textId="5AE152BF" w:rsidR="00B30B11" w:rsidRPr="0053072D" w:rsidRDefault="00B30B11" w:rsidP="00EE453C">
            <w:pPr>
              <w:keepNext/>
              <w:keepLines/>
              <w:spacing w:after="120"/>
              <w:ind w:left="11"/>
              <w:outlineLvl w:val="1"/>
              <w:rPr>
                <w:rFonts w:cs="Arial"/>
                <w:color w:val="000000"/>
                <w:sz w:val="20"/>
                <w:szCs w:val="20"/>
                <w:lang w:val="en-ID" w:eastAsia="en-ID"/>
              </w:rPr>
            </w:pPr>
            <w:bookmarkStart w:id="333" w:name="_Toc173318517"/>
            <w:r w:rsidRPr="0053072D">
              <w:rPr>
                <w:rFonts w:cs="Arial"/>
                <w:color w:val="000000"/>
                <w:sz w:val="20"/>
                <w:szCs w:val="20"/>
                <w:lang w:val="en-ID" w:eastAsia="en-ID"/>
              </w:rPr>
              <w:t>To increase Bank Mandiri’s staff knowledge of the agriculture sector PRISMA organized an online agriculture financing training. Around 525 participants from all of Bank Mandiri’s branch offices in Central Java attended the training. The aim of the training was to help participants understand the characteristics of agri-SMEs and identify the market actors in the agriculture value chain who could potentially receive financing.</w:t>
            </w:r>
            <w:bookmarkEnd w:id="333"/>
          </w:p>
          <w:p w14:paraId="32766549" w14:textId="44646AA3" w:rsidR="00B30B11" w:rsidRPr="0053072D" w:rsidRDefault="00B30B11" w:rsidP="00EE453C">
            <w:pPr>
              <w:keepNext/>
              <w:keepLines/>
              <w:spacing w:after="120"/>
              <w:outlineLvl w:val="1"/>
              <w:rPr>
                <w:rFonts w:cs="Arial"/>
                <w:color w:val="000000"/>
                <w:sz w:val="20"/>
                <w:szCs w:val="20"/>
                <w:lang w:val="en-ID" w:eastAsia="en-ID"/>
              </w:rPr>
            </w:pPr>
            <w:bookmarkStart w:id="334" w:name="_Toc173318518"/>
            <w:r w:rsidRPr="0053072D">
              <w:rPr>
                <w:rFonts w:cs="Arial"/>
                <w:color w:val="000000"/>
                <w:sz w:val="20"/>
                <w:szCs w:val="20"/>
                <w:lang w:val="en-ID" w:eastAsia="en-ID"/>
              </w:rPr>
              <w:t>The training strengthened Bank Mandiri’s institutional capacity for agri-financing. In the three months following the training, Bank Mandiri disbursed financing to 202 agri-SMEs, with a total of IDR30.7 billion of loans disbursed.</w:t>
            </w:r>
            <w:bookmarkEnd w:id="334"/>
          </w:p>
        </w:tc>
      </w:tr>
      <w:tr w:rsidR="00B30B11" w:rsidRPr="0053072D" w14:paraId="688CCCBA" w14:textId="77777777" w:rsidTr="00EE453C">
        <w:tc>
          <w:tcPr>
            <w:tcW w:w="2122" w:type="dxa"/>
            <w:vMerge/>
          </w:tcPr>
          <w:p w14:paraId="5958F719"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vMerge/>
          </w:tcPr>
          <w:p w14:paraId="450C6229"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698" w:type="dxa"/>
          </w:tcPr>
          <w:p w14:paraId="071E94D7" w14:textId="67BB8A1E"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335" w:name="_Toc173318519"/>
            <w:r w:rsidRPr="0053072D">
              <w:rPr>
                <w:rFonts w:eastAsia="Times New Roman" w:cs="Aptos"/>
                <w:color w:val="000000"/>
                <w:sz w:val="20"/>
                <w:szCs w:val="20"/>
                <w:lang w:val="en-ID" w:eastAsia="en-ID"/>
              </w:rPr>
              <w:t xml:space="preserve">Support Bank Mandiri to develop market intelligence/market watch tools for better risk </w:t>
            </w:r>
            <w:r w:rsidRPr="0053072D">
              <w:rPr>
                <w:rFonts w:eastAsia="Times New Roman" w:cs="Aptos"/>
                <w:color w:val="000000"/>
                <w:sz w:val="20"/>
                <w:szCs w:val="20"/>
                <w:lang w:val="en-ID" w:eastAsia="en-ID"/>
              </w:rPr>
              <w:lastRenderedPageBreak/>
              <w:t>mitigation strategies in agriculture financing.</w:t>
            </w:r>
            <w:bookmarkEnd w:id="335"/>
          </w:p>
        </w:tc>
        <w:tc>
          <w:tcPr>
            <w:tcW w:w="3118" w:type="dxa"/>
          </w:tcPr>
          <w:p w14:paraId="3B40BCB2" w14:textId="0203C8CE" w:rsidR="00B30B11" w:rsidRPr="0053072D" w:rsidRDefault="00B30B11" w:rsidP="00A45E00">
            <w:pPr>
              <w:keepNext/>
              <w:keepLines/>
              <w:spacing w:after="80"/>
              <w:ind w:left="178" w:firstLine="14"/>
              <w:outlineLvl w:val="1"/>
              <w:rPr>
                <w:rFonts w:eastAsia="Times New Roman" w:cs="Aptos"/>
                <w:color w:val="000000"/>
                <w:sz w:val="20"/>
                <w:szCs w:val="20"/>
                <w:lang w:val="en-ID" w:eastAsia="en-ID"/>
              </w:rPr>
            </w:pPr>
            <w:bookmarkStart w:id="336" w:name="_Toc173318520"/>
            <w:r w:rsidRPr="0053072D">
              <w:rPr>
                <w:rFonts w:eastAsia="Times New Roman" w:cs="Arial"/>
                <w:color w:val="000000"/>
                <w:sz w:val="20"/>
                <w:szCs w:val="20"/>
                <w:lang w:val="en-ID" w:eastAsia="en-ID"/>
              </w:rPr>
              <w:lastRenderedPageBreak/>
              <w:t xml:space="preserve">Bank Mandiri’s staff knowledge of the agriculture sector has increased, and they are ensuring strategic </w:t>
            </w:r>
            <w:r w:rsidRPr="0053072D">
              <w:rPr>
                <w:rFonts w:eastAsia="Times New Roman" w:cs="Arial"/>
                <w:color w:val="000000"/>
                <w:sz w:val="20"/>
                <w:szCs w:val="20"/>
                <w:lang w:val="en-ID" w:eastAsia="en-ID"/>
              </w:rPr>
              <w:lastRenderedPageBreak/>
              <w:t>alignment to improve their products.</w:t>
            </w:r>
            <w:bookmarkEnd w:id="336"/>
          </w:p>
        </w:tc>
        <w:tc>
          <w:tcPr>
            <w:tcW w:w="3787" w:type="dxa"/>
          </w:tcPr>
          <w:p w14:paraId="3D93C22B" w14:textId="707A6C48"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37" w:name="_Toc173318521"/>
            <w:r w:rsidRPr="0053072D">
              <w:rPr>
                <w:rFonts w:eastAsia="Times New Roman" w:cs="Arial"/>
                <w:color w:val="000000"/>
                <w:sz w:val="20"/>
                <w:szCs w:val="20"/>
                <w:lang w:val="en-ID" w:eastAsia="en-ID"/>
              </w:rPr>
              <w:lastRenderedPageBreak/>
              <w:t>This initiative was dropped.  Internal staff rotation within Bank Mandiri impacted management, who initially supported this initiative.</w:t>
            </w:r>
            <w:bookmarkEnd w:id="337"/>
          </w:p>
        </w:tc>
      </w:tr>
      <w:tr w:rsidR="00B30B11" w:rsidRPr="0053072D" w14:paraId="09C5A029" w14:textId="77777777" w:rsidTr="00EE453C">
        <w:tc>
          <w:tcPr>
            <w:tcW w:w="2122" w:type="dxa"/>
            <w:vMerge/>
          </w:tcPr>
          <w:p w14:paraId="7C96E4FE"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vMerge/>
          </w:tcPr>
          <w:p w14:paraId="43DBD3EB"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698" w:type="dxa"/>
          </w:tcPr>
          <w:p w14:paraId="635DAAB9" w14:textId="01512137"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338" w:name="_Toc173318522"/>
            <w:r w:rsidRPr="0053072D">
              <w:rPr>
                <w:rFonts w:eastAsia="Times New Roman" w:cs="Aptos"/>
                <w:color w:val="000000"/>
                <w:sz w:val="20"/>
                <w:szCs w:val="20"/>
                <w:lang w:val="en-ID" w:eastAsia="en-ID"/>
              </w:rPr>
              <w:t>Support Bank Sinarmas in developing marketing strategies for Sharia product knowledge and awareness.</w:t>
            </w:r>
            <w:bookmarkEnd w:id="338"/>
          </w:p>
        </w:tc>
        <w:tc>
          <w:tcPr>
            <w:tcW w:w="3118" w:type="dxa"/>
          </w:tcPr>
          <w:p w14:paraId="1B6B5892" w14:textId="2F1AE711" w:rsidR="00B30B11" w:rsidRPr="0053072D" w:rsidRDefault="00B30B11" w:rsidP="00A45E00">
            <w:pPr>
              <w:keepNext/>
              <w:keepLines/>
              <w:spacing w:after="80"/>
              <w:ind w:left="178" w:firstLine="14"/>
              <w:outlineLvl w:val="1"/>
              <w:rPr>
                <w:rFonts w:eastAsia="Times New Roman" w:cs="Aptos"/>
                <w:color w:val="000000"/>
                <w:sz w:val="20"/>
                <w:szCs w:val="20"/>
                <w:lang w:val="en-ID" w:eastAsia="en-ID"/>
              </w:rPr>
            </w:pPr>
            <w:bookmarkStart w:id="339" w:name="_Toc173318523"/>
            <w:r w:rsidRPr="0053072D">
              <w:rPr>
                <w:rFonts w:eastAsia="Times New Roman" w:cs="Arial"/>
                <w:color w:val="000000"/>
                <w:sz w:val="20"/>
                <w:szCs w:val="20"/>
                <w:lang w:val="en-ID" w:eastAsia="en-ID"/>
              </w:rPr>
              <w:t>Bank Sinarmas Syariah has improved strategies for promoting Sharia products.</w:t>
            </w:r>
            <w:bookmarkEnd w:id="339"/>
          </w:p>
        </w:tc>
        <w:tc>
          <w:tcPr>
            <w:tcW w:w="3787" w:type="dxa"/>
          </w:tcPr>
          <w:p w14:paraId="003198F5" w14:textId="4311B2BA"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40" w:name="_Toc173318524"/>
            <w:r w:rsidRPr="0053072D">
              <w:rPr>
                <w:rFonts w:eastAsia="Times New Roman" w:cs="Arial"/>
                <w:color w:val="000000"/>
                <w:sz w:val="20"/>
                <w:szCs w:val="20"/>
                <w:lang w:val="en-ID" w:eastAsia="en-ID"/>
              </w:rPr>
              <w:t>Bank Nano Syariah, formerly known as Bank Sinarmas Syariah, received support from PRISMA to develop marketing strategies. In order to raise awareness and knowledge about their Sharia products, they launched 17 promotional videos on social media. Additionally, 8 bank agents have partnered with Bank Nano Syariah to promote their Sharia financial services offline through the community banking system.</w:t>
            </w:r>
            <w:bookmarkEnd w:id="340"/>
          </w:p>
        </w:tc>
      </w:tr>
      <w:tr w:rsidR="00B30B11" w:rsidRPr="0053072D" w14:paraId="67B0FFB9" w14:textId="77777777" w:rsidTr="00EE453C">
        <w:tc>
          <w:tcPr>
            <w:tcW w:w="2122" w:type="dxa"/>
            <w:vMerge w:val="restart"/>
          </w:tcPr>
          <w:p w14:paraId="7D9DFE5D" w14:textId="11391A63"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341" w:name="_Toc173318525"/>
            <w:r w:rsidRPr="0053072D">
              <w:rPr>
                <w:rFonts w:eastAsia="Times New Roman" w:cs="Aptos"/>
                <w:color w:val="000000"/>
                <w:sz w:val="20"/>
                <w:szCs w:val="20"/>
                <w:lang w:val="en-ID" w:eastAsia="en-ID"/>
              </w:rPr>
              <w:t>Policy initiatives</w:t>
            </w:r>
            <w:bookmarkEnd w:id="341"/>
          </w:p>
        </w:tc>
        <w:tc>
          <w:tcPr>
            <w:tcW w:w="2835" w:type="dxa"/>
            <w:vMerge w:val="restart"/>
          </w:tcPr>
          <w:p w14:paraId="31342A37"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342" w:name="_Toc173318526"/>
            <w:r w:rsidRPr="0053072D">
              <w:rPr>
                <w:rFonts w:eastAsia="Times New Roman" w:cs="Aptos"/>
                <w:color w:val="000000"/>
                <w:sz w:val="20"/>
                <w:szCs w:val="20"/>
                <w:lang w:val="en-ID" w:eastAsia="en-ID"/>
              </w:rPr>
              <w:t>Developing a policy brief for improving agriculture financing</w:t>
            </w:r>
            <w:bookmarkEnd w:id="342"/>
            <w:r w:rsidRPr="0053072D">
              <w:rPr>
                <w:rFonts w:eastAsia="Times New Roman" w:cs="Aptos"/>
                <w:color w:val="000000"/>
                <w:sz w:val="20"/>
                <w:szCs w:val="20"/>
                <w:lang w:val="en-ID" w:eastAsia="en-ID"/>
              </w:rPr>
              <w:t xml:space="preserve"> </w:t>
            </w:r>
          </w:p>
        </w:tc>
        <w:tc>
          <w:tcPr>
            <w:tcW w:w="2698" w:type="dxa"/>
          </w:tcPr>
          <w:p w14:paraId="39445506" w14:textId="6884594A"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43" w:name="_Toc173318527"/>
            <w:r w:rsidRPr="0053072D">
              <w:rPr>
                <w:rFonts w:eastAsia="Times New Roman" w:cs="Arial"/>
                <w:color w:val="000000"/>
                <w:sz w:val="20"/>
                <w:szCs w:val="20"/>
                <w:lang w:val="en-ID" w:eastAsia="en-ID"/>
              </w:rPr>
              <w:t>Socialise the draft policy brief for improving agriculture financing, including advisory and engagement services from the Financial Services Authority (OJK).</w:t>
            </w:r>
            <w:bookmarkEnd w:id="343"/>
          </w:p>
        </w:tc>
        <w:tc>
          <w:tcPr>
            <w:tcW w:w="3118" w:type="dxa"/>
          </w:tcPr>
          <w:p w14:paraId="0D7EA73E" w14:textId="173A6CA6" w:rsidR="00B30B11" w:rsidRPr="0053072D" w:rsidRDefault="00B30B11" w:rsidP="00A45E00">
            <w:pPr>
              <w:keepNext/>
              <w:keepLines/>
              <w:spacing w:after="80"/>
              <w:ind w:left="178" w:firstLine="14"/>
              <w:outlineLvl w:val="1"/>
              <w:rPr>
                <w:rFonts w:eastAsia="Times New Roman" w:cs="Aptos"/>
                <w:color w:val="000000"/>
                <w:sz w:val="20"/>
                <w:szCs w:val="20"/>
                <w:lang w:val="en-ID" w:eastAsia="en-ID"/>
              </w:rPr>
            </w:pPr>
            <w:bookmarkStart w:id="344" w:name="_Toc173318528"/>
            <w:r w:rsidRPr="0053072D">
              <w:rPr>
                <w:rFonts w:eastAsia="Times New Roman" w:cs="Arial"/>
                <w:color w:val="000000"/>
                <w:sz w:val="20"/>
                <w:szCs w:val="20"/>
                <w:lang w:val="en-ID" w:eastAsia="en-ID"/>
              </w:rPr>
              <w:t>The OJK is aware of improvements that can be applied in agri-SME financing.</w:t>
            </w:r>
            <w:bookmarkEnd w:id="344"/>
          </w:p>
        </w:tc>
        <w:tc>
          <w:tcPr>
            <w:tcW w:w="3787" w:type="dxa"/>
          </w:tcPr>
          <w:p w14:paraId="4EE2A3C1" w14:textId="1B8D626B"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45" w:name="_Toc173318529"/>
            <w:r w:rsidRPr="0053072D">
              <w:rPr>
                <w:rFonts w:eastAsia="Times New Roman" w:cs="Arial"/>
                <w:color w:val="000000"/>
                <w:sz w:val="20"/>
                <w:szCs w:val="20"/>
                <w:lang w:val="en-ID" w:eastAsia="en-ID"/>
              </w:rPr>
              <w:t xml:space="preserve">A FGD titled "Agri-SMEs Financing Policies Review" was conducted by PRISMA and the Institute for Development and Economics and Finance (INDEF), a public policy research organization. The FGD was attended by representatives from OJK, the Coordinating Ministry of Economic Affairs, Indonesia Guarantee company (Jamkrindo), University of Indonesia, and banks including Bank Rakyat Indonesia (BRI), Bank Mandiri, and Bank Nano Syariah. Feedback from the participants on the initial recommendations presented by INDEF and PRISMA has been collected. The recommendations showed the participants’ awareness of the issues concerning agri-SMEs financing, which </w:t>
            </w:r>
            <w:r w:rsidRPr="0053072D">
              <w:rPr>
                <w:rFonts w:eastAsia="Times New Roman" w:cs="Arial"/>
                <w:color w:val="000000"/>
                <w:sz w:val="20"/>
                <w:szCs w:val="20"/>
                <w:lang w:val="en-ID" w:eastAsia="en-ID"/>
              </w:rPr>
              <w:lastRenderedPageBreak/>
              <w:t>helped INDEF and PRISMA to develop the policy brief.</w:t>
            </w:r>
            <w:bookmarkEnd w:id="345"/>
          </w:p>
        </w:tc>
      </w:tr>
      <w:tr w:rsidR="00B30B11" w:rsidRPr="0053072D" w14:paraId="3E65C1DD" w14:textId="77777777" w:rsidTr="00EE453C">
        <w:tc>
          <w:tcPr>
            <w:tcW w:w="2122" w:type="dxa"/>
            <w:vMerge/>
          </w:tcPr>
          <w:p w14:paraId="0C4F4988"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vMerge/>
          </w:tcPr>
          <w:p w14:paraId="58C49A68"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698" w:type="dxa"/>
          </w:tcPr>
          <w:p w14:paraId="096463DF" w14:textId="6A2E2A9F"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346" w:name="_Toc173318530"/>
            <w:r w:rsidRPr="0053072D">
              <w:rPr>
                <w:rFonts w:eastAsia="Times New Roman" w:cs="Aptos"/>
                <w:color w:val="000000"/>
                <w:sz w:val="20"/>
                <w:szCs w:val="20"/>
                <w:lang w:val="en-ID" w:eastAsia="en-ID"/>
              </w:rPr>
              <w:t>Collaborate with the Australia-Indonesia Partnership for Economic Development (Prospera) think-tank organisation to raise OJK’s awareness of possible improvements in the agriculture financing sector.</w:t>
            </w:r>
            <w:bookmarkEnd w:id="346"/>
          </w:p>
        </w:tc>
        <w:tc>
          <w:tcPr>
            <w:tcW w:w="3118" w:type="dxa"/>
          </w:tcPr>
          <w:p w14:paraId="6B581E8D" w14:textId="406EAF7A" w:rsidR="00B30B11" w:rsidRPr="0053072D" w:rsidRDefault="00B30B11" w:rsidP="00A45E00">
            <w:pPr>
              <w:keepNext/>
              <w:keepLines/>
              <w:spacing w:after="80"/>
              <w:ind w:left="178" w:firstLine="14"/>
              <w:outlineLvl w:val="1"/>
              <w:rPr>
                <w:rFonts w:eastAsia="Times New Roman" w:cs="Aptos"/>
                <w:color w:val="000000"/>
                <w:sz w:val="20"/>
                <w:szCs w:val="20"/>
                <w:lang w:val="en-ID" w:eastAsia="en-ID"/>
              </w:rPr>
            </w:pPr>
            <w:bookmarkStart w:id="347" w:name="_Toc173318531"/>
            <w:r w:rsidRPr="0053072D">
              <w:rPr>
                <w:rFonts w:eastAsia="Times New Roman" w:cs="Arial"/>
                <w:color w:val="000000"/>
                <w:sz w:val="20"/>
                <w:szCs w:val="20"/>
                <w:lang w:val="en-ID" w:eastAsia="en-ID"/>
              </w:rPr>
              <w:t>The OJK is aware of improvements that can be applied to agri-SME financing.</w:t>
            </w:r>
            <w:bookmarkEnd w:id="347"/>
          </w:p>
        </w:tc>
        <w:tc>
          <w:tcPr>
            <w:tcW w:w="3787" w:type="dxa"/>
          </w:tcPr>
          <w:p w14:paraId="2E98FE6F" w14:textId="6E6FD8AF"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48" w:name="_Toc173318532"/>
            <w:r w:rsidRPr="0053072D">
              <w:rPr>
                <w:rFonts w:eastAsia="Times New Roman" w:cs="Arial"/>
                <w:color w:val="000000"/>
                <w:sz w:val="20"/>
                <w:szCs w:val="20"/>
                <w:lang w:val="en-ID" w:eastAsia="en-ID"/>
              </w:rPr>
              <w:t>PRISMA and Prospera are collaborating to exchange data and insights on financing for agricultural small and medium-sized enterprises (agri-SMEs). PRISMA is currently working on creating a policy brief and a market brief for agri-SMEs, which will be distributed through Prospera’s network at the Coordinating Ministry for Economic Affairs and the OJK.</w:t>
            </w:r>
            <w:bookmarkEnd w:id="348"/>
          </w:p>
        </w:tc>
      </w:tr>
      <w:tr w:rsidR="00B30B11" w:rsidRPr="0053072D" w14:paraId="5D04293B" w14:textId="77777777" w:rsidTr="00EE453C">
        <w:tc>
          <w:tcPr>
            <w:tcW w:w="2122" w:type="dxa"/>
            <w:vMerge/>
          </w:tcPr>
          <w:p w14:paraId="60CB1772"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vMerge/>
          </w:tcPr>
          <w:p w14:paraId="6A4F5A49"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698" w:type="dxa"/>
          </w:tcPr>
          <w:p w14:paraId="0147959D" w14:textId="0274FE94"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349" w:name="_Toc173318533"/>
            <w:r w:rsidRPr="0053072D">
              <w:rPr>
                <w:rFonts w:eastAsia="Times New Roman" w:cs="Aptos"/>
                <w:color w:val="000000"/>
                <w:sz w:val="20"/>
                <w:szCs w:val="20"/>
                <w:lang w:val="en-ID" w:eastAsia="en-ID"/>
              </w:rPr>
              <w:t>Hold FGDs with the OJK to discuss potential policy improvements in agriculture financing.</w:t>
            </w:r>
            <w:bookmarkEnd w:id="349"/>
          </w:p>
        </w:tc>
        <w:tc>
          <w:tcPr>
            <w:tcW w:w="3118" w:type="dxa"/>
          </w:tcPr>
          <w:p w14:paraId="32435B83" w14:textId="6472CFC1" w:rsidR="00B30B11" w:rsidRPr="0053072D" w:rsidRDefault="00B30B11" w:rsidP="00A45E00">
            <w:pPr>
              <w:keepNext/>
              <w:keepLines/>
              <w:spacing w:after="80"/>
              <w:ind w:left="178" w:firstLine="14"/>
              <w:outlineLvl w:val="1"/>
              <w:rPr>
                <w:rFonts w:eastAsia="Times New Roman" w:cs="Aptos"/>
                <w:color w:val="000000"/>
                <w:sz w:val="20"/>
                <w:szCs w:val="20"/>
                <w:lang w:val="en-ID" w:eastAsia="en-ID"/>
              </w:rPr>
            </w:pPr>
            <w:bookmarkStart w:id="350" w:name="_Toc173318534"/>
            <w:r w:rsidRPr="0053072D">
              <w:rPr>
                <w:rFonts w:eastAsia="Times New Roman" w:cs="Arial"/>
                <w:color w:val="000000"/>
                <w:sz w:val="20"/>
                <w:szCs w:val="20"/>
                <w:lang w:val="en-ID" w:eastAsia="en-ID"/>
              </w:rPr>
              <w:t>The OJK is aware of improvements that can be applied to agri-SME financing.</w:t>
            </w:r>
            <w:bookmarkEnd w:id="350"/>
          </w:p>
        </w:tc>
        <w:tc>
          <w:tcPr>
            <w:tcW w:w="3787" w:type="dxa"/>
          </w:tcPr>
          <w:p w14:paraId="5D1A8243"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51" w:name="_Toc173318535"/>
            <w:r w:rsidRPr="0053072D">
              <w:rPr>
                <w:rFonts w:eastAsia="Times New Roman" w:cs="Arial"/>
                <w:color w:val="000000"/>
                <w:sz w:val="20"/>
                <w:szCs w:val="20"/>
                <w:lang w:val="en-ID" w:eastAsia="en-ID"/>
              </w:rPr>
              <w:t xml:space="preserve">PRISMA is currently preparing </w:t>
            </w:r>
            <w:r>
              <w:rPr>
                <w:rFonts w:eastAsia="Times New Roman" w:cs="Arial"/>
                <w:color w:val="000000"/>
                <w:sz w:val="20"/>
                <w:szCs w:val="20"/>
                <w:lang w:val="en-ID" w:eastAsia="en-ID"/>
              </w:rPr>
              <w:t>a</w:t>
            </w:r>
            <w:r w:rsidRPr="0053072D">
              <w:rPr>
                <w:rFonts w:eastAsia="Times New Roman" w:cs="Arial"/>
                <w:color w:val="000000"/>
                <w:sz w:val="20"/>
                <w:szCs w:val="20"/>
                <w:lang w:val="en-ID" w:eastAsia="en-ID"/>
              </w:rPr>
              <w:t xml:space="preserve"> policy brief and will request approval from DFAT.</w:t>
            </w:r>
            <w:bookmarkEnd w:id="351"/>
            <w:r w:rsidRPr="0053072D">
              <w:rPr>
                <w:rFonts w:eastAsia="Times New Roman" w:cs="Arial"/>
                <w:color w:val="000000"/>
                <w:sz w:val="20"/>
                <w:szCs w:val="20"/>
                <w:lang w:val="en-ID" w:eastAsia="en-ID"/>
              </w:rPr>
              <w:t xml:space="preserve"> </w:t>
            </w:r>
          </w:p>
        </w:tc>
      </w:tr>
      <w:tr w:rsidR="00B30B11" w:rsidRPr="0053072D" w14:paraId="7E4D32F8" w14:textId="77777777" w:rsidTr="00EE453C">
        <w:tc>
          <w:tcPr>
            <w:tcW w:w="2122" w:type="dxa"/>
            <w:vMerge w:val="restart"/>
          </w:tcPr>
          <w:p w14:paraId="03AE9959" w14:textId="08956725"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352" w:name="_Toc173318536"/>
            <w:r w:rsidRPr="0053072D">
              <w:rPr>
                <w:rFonts w:eastAsia="Times New Roman" w:cs="Aptos"/>
                <w:color w:val="000000"/>
                <w:sz w:val="20"/>
                <w:szCs w:val="20"/>
                <w:lang w:val="en-ID" w:eastAsia="en-ID"/>
              </w:rPr>
              <w:t>Knowledge harvesting and dissemination</w:t>
            </w:r>
            <w:bookmarkEnd w:id="352"/>
          </w:p>
        </w:tc>
        <w:tc>
          <w:tcPr>
            <w:tcW w:w="2835" w:type="dxa"/>
          </w:tcPr>
          <w:p w14:paraId="5C3DA7CC" w14:textId="2CC4227F"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353" w:name="_Toc173318537"/>
            <w:r w:rsidRPr="0053072D">
              <w:rPr>
                <w:rFonts w:eastAsia="Times New Roman" w:cs="Aptos"/>
                <w:color w:val="000000"/>
                <w:sz w:val="20"/>
                <w:szCs w:val="20"/>
                <w:lang w:val="en-ID" w:eastAsia="en-ID"/>
              </w:rPr>
              <w:t>Extracting insights from studies and sharing them with relevant stakeholders to foster their adoption</w:t>
            </w:r>
            <w:bookmarkEnd w:id="353"/>
          </w:p>
        </w:tc>
        <w:tc>
          <w:tcPr>
            <w:tcW w:w="2698" w:type="dxa"/>
          </w:tcPr>
          <w:p w14:paraId="445B2D5A" w14:textId="12A2F2A9"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354" w:name="_Toc173318538"/>
            <w:r w:rsidRPr="0053072D">
              <w:rPr>
                <w:rFonts w:eastAsia="Times New Roman" w:cs="Aptos"/>
                <w:color w:val="000000"/>
                <w:sz w:val="20"/>
                <w:szCs w:val="20"/>
                <w:lang w:val="en-ID" w:eastAsia="en-ID"/>
              </w:rPr>
              <w:t>Publish agri-kiosk landscaping insights through mass or digital media and financial institute associations.</w:t>
            </w:r>
            <w:bookmarkEnd w:id="354"/>
          </w:p>
        </w:tc>
        <w:tc>
          <w:tcPr>
            <w:tcW w:w="3118" w:type="dxa"/>
          </w:tcPr>
          <w:p w14:paraId="78E7B347" w14:textId="768EE0A6" w:rsidR="00B30B11" w:rsidRPr="0053072D" w:rsidRDefault="00B30B11" w:rsidP="00A45E00">
            <w:pPr>
              <w:keepNext/>
              <w:keepLines/>
              <w:spacing w:after="80"/>
              <w:ind w:left="178" w:firstLine="14"/>
              <w:outlineLvl w:val="1"/>
              <w:rPr>
                <w:rFonts w:eastAsia="Times New Roman" w:cs="Aptos"/>
                <w:color w:val="000000"/>
                <w:sz w:val="20"/>
                <w:szCs w:val="20"/>
                <w:lang w:val="en-ID" w:eastAsia="en-ID"/>
              </w:rPr>
            </w:pPr>
            <w:bookmarkStart w:id="355" w:name="_Toc173318539"/>
            <w:r w:rsidRPr="0053072D">
              <w:rPr>
                <w:rFonts w:eastAsia="Times New Roman" w:cs="Arial"/>
                <w:color w:val="000000"/>
                <w:sz w:val="20"/>
                <w:szCs w:val="20"/>
                <w:lang w:val="en-ID" w:eastAsia="en-ID"/>
              </w:rPr>
              <w:t>Financial institutions, regulators, and governments are aware of the potential market and the characteristics of agri-SME financing.</w:t>
            </w:r>
            <w:bookmarkEnd w:id="355"/>
          </w:p>
        </w:tc>
        <w:tc>
          <w:tcPr>
            <w:tcW w:w="3787" w:type="dxa"/>
          </w:tcPr>
          <w:p w14:paraId="6BD5A5F9" w14:textId="1DD7FC81"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56" w:name="_Toc173318540"/>
            <w:r w:rsidRPr="0053072D">
              <w:rPr>
                <w:rFonts w:eastAsia="Times New Roman" w:cs="Arial"/>
                <w:color w:val="000000"/>
                <w:sz w:val="20"/>
                <w:szCs w:val="20"/>
                <w:lang w:val="en-ID" w:eastAsia="en-ID"/>
              </w:rPr>
              <w:t>PRISMA is currently finalising the dashboard containing information about 1.470 agri-kiosks, profiling data, and conducting further analysis. The analysis will be used to develop a market brief to be shared publicly in August.</w:t>
            </w:r>
            <w:bookmarkEnd w:id="356"/>
          </w:p>
        </w:tc>
      </w:tr>
      <w:tr w:rsidR="00B30B11" w:rsidRPr="0053072D" w14:paraId="25F50DF5" w14:textId="77777777" w:rsidTr="00EE453C">
        <w:tc>
          <w:tcPr>
            <w:tcW w:w="2122" w:type="dxa"/>
            <w:vMerge/>
          </w:tcPr>
          <w:p w14:paraId="72A95B7D"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tcPr>
          <w:p w14:paraId="6627ACF0" w14:textId="05D6F56D"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357" w:name="_Toc173318541"/>
            <w:r w:rsidRPr="0053072D">
              <w:rPr>
                <w:rFonts w:eastAsia="Times New Roman" w:cs="Aptos"/>
                <w:color w:val="000000"/>
                <w:sz w:val="20"/>
                <w:szCs w:val="20"/>
                <w:lang w:val="en-ID" w:eastAsia="en-ID"/>
              </w:rPr>
              <w:t>Harvesting and sharing good practices, learnings, and challenges in the finance sector</w:t>
            </w:r>
            <w:bookmarkEnd w:id="357"/>
          </w:p>
        </w:tc>
        <w:tc>
          <w:tcPr>
            <w:tcW w:w="2698" w:type="dxa"/>
          </w:tcPr>
          <w:p w14:paraId="1B226DFF" w14:textId="134E2879"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358" w:name="_Toc173318542"/>
            <w:r w:rsidRPr="0053072D">
              <w:rPr>
                <w:rFonts w:eastAsia="Times New Roman" w:cs="Aptos"/>
                <w:color w:val="000000"/>
                <w:sz w:val="20"/>
                <w:szCs w:val="20"/>
                <w:lang w:val="en-ID" w:eastAsia="en-ID"/>
              </w:rPr>
              <w:t>Develop and share a market brief on agriculture financing with bank associations, financial technology (FinTech) associations and Bappenas.</w:t>
            </w:r>
            <w:bookmarkEnd w:id="358"/>
          </w:p>
        </w:tc>
        <w:tc>
          <w:tcPr>
            <w:tcW w:w="3118" w:type="dxa"/>
          </w:tcPr>
          <w:p w14:paraId="12E29E51" w14:textId="77777777" w:rsidR="00B30B11" w:rsidRPr="0053072D" w:rsidRDefault="00B30B11" w:rsidP="00A45E00">
            <w:pPr>
              <w:keepNext/>
              <w:keepLines/>
              <w:spacing w:after="80"/>
              <w:ind w:left="178" w:firstLine="14"/>
              <w:outlineLvl w:val="1"/>
              <w:rPr>
                <w:rFonts w:eastAsia="Times New Roman" w:cs="Aptos"/>
                <w:color w:val="000000"/>
                <w:sz w:val="20"/>
                <w:szCs w:val="20"/>
                <w:lang w:val="en-ID" w:eastAsia="en-ID"/>
              </w:rPr>
            </w:pPr>
            <w:bookmarkStart w:id="359" w:name="_Toc173318543"/>
            <w:r w:rsidRPr="0053072D">
              <w:rPr>
                <w:rFonts w:eastAsia="Times New Roman" w:cs="Arial"/>
                <w:color w:val="000000"/>
                <w:sz w:val="20"/>
                <w:szCs w:val="20"/>
                <w:lang w:val="en-ID" w:eastAsia="en-ID"/>
              </w:rPr>
              <w:t>Financial institutions, regulators and governments are aware of the potential market and the characteristics of agri-SME financing.</w:t>
            </w:r>
            <w:bookmarkEnd w:id="359"/>
            <w:r w:rsidRPr="0053072D">
              <w:rPr>
                <w:rFonts w:eastAsia="Times New Roman" w:cs="Arial"/>
                <w:color w:val="000000"/>
                <w:sz w:val="20"/>
                <w:szCs w:val="20"/>
                <w:lang w:val="en-ID" w:eastAsia="en-ID"/>
              </w:rPr>
              <w:t xml:space="preserve"> </w:t>
            </w:r>
          </w:p>
        </w:tc>
        <w:tc>
          <w:tcPr>
            <w:tcW w:w="3787" w:type="dxa"/>
          </w:tcPr>
          <w:p w14:paraId="1AE03244" w14:textId="0E7EA9A3"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60" w:name="_Toc173318544"/>
            <w:r w:rsidRPr="0053072D">
              <w:rPr>
                <w:rFonts w:eastAsia="Times New Roman" w:cs="Arial"/>
                <w:color w:val="000000"/>
                <w:sz w:val="20"/>
                <w:szCs w:val="20"/>
                <w:lang w:val="en-ID" w:eastAsia="en-ID"/>
              </w:rPr>
              <w:t>PRISMA insights will be shared through a market brief that will be disseminated in August.</w:t>
            </w:r>
            <w:bookmarkEnd w:id="360"/>
          </w:p>
        </w:tc>
      </w:tr>
    </w:tbl>
    <w:p w14:paraId="45252CC5" w14:textId="3B4F1E44" w:rsidR="00B30B11" w:rsidRDefault="00B30B11" w:rsidP="00B30B11">
      <w:pPr>
        <w:keepNext/>
        <w:keepLines/>
        <w:spacing w:after="120" w:line="240" w:lineRule="auto"/>
        <w:ind w:left="11"/>
        <w:outlineLvl w:val="1"/>
        <w:rPr>
          <w:rFonts w:eastAsia="Times New Roman" w:cs="Arial"/>
          <w:color w:val="000000"/>
          <w:szCs w:val="20"/>
          <w:lang w:val="en-ID" w:eastAsia="en-ID"/>
        </w:rPr>
      </w:pPr>
    </w:p>
    <w:p w14:paraId="6548E6F3" w14:textId="77777777" w:rsidR="00A45E00" w:rsidRDefault="00A45E00" w:rsidP="00B30B11">
      <w:pPr>
        <w:keepNext/>
        <w:keepLines/>
        <w:spacing w:after="120" w:line="240" w:lineRule="auto"/>
        <w:ind w:left="11"/>
        <w:outlineLvl w:val="1"/>
        <w:rPr>
          <w:rFonts w:eastAsia="Times New Roman" w:cs="Arial"/>
          <w:color w:val="000000"/>
          <w:szCs w:val="20"/>
          <w:lang w:val="en-ID" w:eastAsia="en-ID"/>
        </w:rPr>
      </w:pPr>
    </w:p>
    <w:p w14:paraId="41097D19" w14:textId="77777777" w:rsidR="00971661" w:rsidRPr="0053072D" w:rsidRDefault="00971661" w:rsidP="00B30B11">
      <w:pPr>
        <w:keepNext/>
        <w:keepLines/>
        <w:spacing w:after="120" w:line="240" w:lineRule="auto"/>
        <w:ind w:left="11"/>
        <w:outlineLvl w:val="1"/>
        <w:rPr>
          <w:rFonts w:eastAsia="Times New Roman" w:cs="Arial"/>
          <w:color w:val="000000"/>
          <w:szCs w:val="20"/>
          <w:lang w:val="en-ID" w:eastAsia="en-ID"/>
        </w:rPr>
      </w:pPr>
    </w:p>
    <w:p w14:paraId="550F81E4" w14:textId="5F959D63" w:rsidR="00B30B11" w:rsidRPr="0053072D" w:rsidRDefault="00B30B11" w:rsidP="00B30B11">
      <w:pPr>
        <w:keepNext/>
        <w:keepLines/>
        <w:spacing w:after="360" w:line="240" w:lineRule="auto"/>
        <w:ind w:left="851"/>
        <w:outlineLvl w:val="1"/>
        <w:rPr>
          <w:rFonts w:eastAsia="Times New Roman" w:cs="Arial"/>
          <w:b/>
          <w:bCs/>
          <w:color w:val="262C66"/>
          <w:szCs w:val="20"/>
          <w:lang w:val="en-ID" w:eastAsia="en-ID"/>
        </w:rPr>
      </w:pPr>
      <w:bookmarkStart w:id="361" w:name="_Toc173318545"/>
      <w:r w:rsidRPr="0053072D">
        <w:rPr>
          <w:rFonts w:eastAsia="Times New Roman" w:cs="Arial"/>
          <w:b/>
          <w:bCs/>
          <w:noProof/>
          <w:color w:val="262C66"/>
          <w:szCs w:val="20"/>
          <w:lang w:val="en-ID" w:eastAsia="en-ID"/>
          <w14:ligatures w14:val="standardContextual"/>
        </w:rPr>
        <w:drawing>
          <wp:anchor distT="0" distB="0" distL="114300" distR="114300" simplePos="0" relativeHeight="251658276" behindDoc="0" locked="0" layoutInCell="1" allowOverlap="1" wp14:anchorId="15F530BC" wp14:editId="7A5B6845">
            <wp:simplePos x="0" y="0"/>
            <wp:positionH relativeFrom="column">
              <wp:posOffset>47131</wp:posOffset>
            </wp:positionH>
            <wp:positionV relativeFrom="paragraph">
              <wp:posOffset>-87771</wp:posOffset>
            </wp:positionV>
            <wp:extent cx="396000" cy="396000"/>
            <wp:effectExtent l="0" t="0" r="0" b="0"/>
            <wp:wrapNone/>
            <wp:docPr id="1717257246" name="Graphic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631255" name="Graphic 6">
                      <a:extLst>
                        <a:ext uri="{C183D7F6-B498-43B3-948B-1728B52AA6E4}">
                          <adec:decorative xmlns:adec="http://schemas.microsoft.com/office/drawing/2017/decorative" val="1"/>
                        </a:ext>
                      </a:extLst>
                    </pic:cNvPr>
                    <pic:cNvPicPr/>
                  </pic:nvPicPr>
                  <pic:blipFill>
                    <a:blip r:embed="rId153" cstate="print">
                      <a:extLst>
                        <a:ext uri="{28A0092B-C50C-407E-A947-70E740481C1C}">
                          <a14:useLocalDpi xmlns:a14="http://schemas.microsoft.com/office/drawing/2010/main" val="0"/>
                        </a:ext>
                        <a:ext uri="{96DAC541-7B7A-43D3-8B79-37D633B846F1}">
                          <asvg:svgBlip xmlns:asvg="http://schemas.microsoft.com/office/drawing/2016/SVG/main" r:embed="rId154"/>
                        </a:ext>
                      </a:extLst>
                    </a:blip>
                    <a:stretch>
                      <a:fillRect/>
                    </a:stretch>
                  </pic:blipFill>
                  <pic:spPr>
                    <a:xfrm>
                      <a:off x="0" y="0"/>
                      <a:ext cx="396000" cy="396000"/>
                    </a:xfrm>
                    <a:prstGeom prst="rect">
                      <a:avLst/>
                    </a:prstGeom>
                  </pic:spPr>
                </pic:pic>
              </a:graphicData>
            </a:graphic>
            <wp14:sizeRelH relativeFrom="page">
              <wp14:pctWidth>0</wp14:pctWidth>
            </wp14:sizeRelH>
            <wp14:sizeRelV relativeFrom="page">
              <wp14:pctHeight>0</wp14:pctHeight>
            </wp14:sizeRelV>
          </wp:anchor>
        </w:drawing>
      </w:r>
      <w:r w:rsidR="00321DBB">
        <w:rPr>
          <w:rFonts w:eastAsia="Times New Roman" w:cs="Arial"/>
          <w:b/>
          <w:bCs/>
          <w:color w:val="262C66"/>
          <w:szCs w:val="20"/>
          <w:lang w:val="en-ID" w:eastAsia="en-ID"/>
        </w:rPr>
        <w:t>Progress</w:t>
      </w:r>
      <w:r w:rsidRPr="0053072D">
        <w:rPr>
          <w:rFonts w:eastAsia="Times New Roman" w:cs="Arial"/>
          <w:b/>
          <w:bCs/>
          <w:color w:val="262C66"/>
          <w:szCs w:val="20"/>
          <w:lang w:val="en-ID" w:eastAsia="en-ID"/>
        </w:rPr>
        <w:t>: ICT (Information and Communication Technology)</w:t>
      </w:r>
      <w:bookmarkEnd w:id="361"/>
    </w:p>
    <w:p w14:paraId="4EF6DE25" w14:textId="66C5E917" w:rsidR="00B30B11" w:rsidRPr="0053072D" w:rsidRDefault="00B30B11" w:rsidP="00B30B11">
      <w:pPr>
        <w:keepNext/>
        <w:keepLines/>
        <w:spacing w:before="120" w:after="120" w:line="276" w:lineRule="auto"/>
        <w:contextualSpacing/>
        <w:outlineLvl w:val="1"/>
        <w:rPr>
          <w:rFonts w:eastAsia="Yu Gothic" w:cs="Arial"/>
          <w:b/>
          <w:bCs/>
          <w:color w:val="252D65"/>
          <w:szCs w:val="20"/>
        </w:rPr>
      </w:pPr>
      <w:bookmarkStart w:id="362" w:name="_Toc173318546"/>
      <w:r w:rsidRPr="0053072D">
        <w:rPr>
          <w:rFonts w:eastAsia="Yu Gothic" w:cs="Arial"/>
          <w:b/>
          <w:bCs/>
          <w:color w:val="252D65"/>
          <w:szCs w:val="20"/>
        </w:rPr>
        <w:t>Vision</w:t>
      </w:r>
      <w:bookmarkEnd w:id="362"/>
    </w:p>
    <w:p w14:paraId="111717EE" w14:textId="5A364F0F" w:rsidR="00971661" w:rsidRPr="00971661" w:rsidRDefault="00B30B11" w:rsidP="00971661">
      <w:pPr>
        <w:keepNext/>
        <w:keepLines/>
        <w:spacing w:after="500" w:line="276" w:lineRule="auto"/>
        <w:ind w:right="-6"/>
        <w:contextualSpacing/>
        <w:outlineLvl w:val="1"/>
        <w:rPr>
          <w:rFonts w:eastAsia="Yu Gothic" w:cs="Arial"/>
          <w:color w:val="000000"/>
          <w:szCs w:val="20"/>
        </w:rPr>
      </w:pPr>
      <w:bookmarkStart w:id="363" w:name="_Toc173318547"/>
      <w:r w:rsidRPr="0053072D">
        <w:rPr>
          <w:rFonts w:eastAsia="Yu Gothic" w:cs="Arial"/>
          <w:color w:val="000000"/>
          <w:szCs w:val="20"/>
        </w:rPr>
        <w:t>Smallholder farmers in Central and East Java have better access to GAP information, inputs, and agri-services through more tech-savvy and tech-enabled agri-kiosks. PRISMA will work with agri-kiosks to provide them better access to ICT solutions to ensure they are better managed and stocked appropriately with products in a timely fashion, offering an increased range of agricultural services, and relevant quality advice.</w:t>
      </w:r>
      <w:bookmarkEnd w:id="363"/>
    </w:p>
    <w:p w14:paraId="4691EA9C" w14:textId="77777777" w:rsidR="00971661" w:rsidRPr="00971661" w:rsidRDefault="00971661" w:rsidP="00971661">
      <w:pPr>
        <w:rPr>
          <w:rFonts w:eastAsia="Yu Gothic" w:cs="Arial"/>
          <w:szCs w:val="20"/>
        </w:rPr>
      </w:pPr>
    </w:p>
    <w:tbl>
      <w:tblPr>
        <w:tblStyle w:val="TableGrid1"/>
        <w:tblpPr w:leftFromText="181" w:rightFromText="181" w:vertAnchor="text" w:tblpY="1"/>
        <w:tblOverlap w:val="never"/>
        <w:tblW w:w="0" w:type="auto"/>
        <w:tblBorders>
          <w:top w:val="none" w:sz="0" w:space="0" w:color="auto"/>
          <w:left w:val="none" w:sz="0" w:space="0" w:color="auto"/>
          <w:bottom w:val="single" w:sz="4" w:space="0" w:color="000000"/>
          <w:right w:val="none" w:sz="0" w:space="0" w:color="auto"/>
          <w:insideH w:val="single" w:sz="4" w:space="0" w:color="000000"/>
          <w:insideV w:val="none" w:sz="0" w:space="0" w:color="auto"/>
        </w:tblBorders>
        <w:tblCellMar>
          <w:top w:w="170" w:type="dxa"/>
          <w:bottom w:w="113" w:type="dxa"/>
          <w:right w:w="170" w:type="dxa"/>
        </w:tblCellMar>
        <w:tblLook w:val="06A0" w:firstRow="1" w:lastRow="0" w:firstColumn="1" w:lastColumn="0" w:noHBand="1" w:noVBand="1"/>
      </w:tblPr>
      <w:tblGrid>
        <w:gridCol w:w="2122"/>
        <w:gridCol w:w="2835"/>
        <w:gridCol w:w="2698"/>
        <w:gridCol w:w="3118"/>
        <w:gridCol w:w="3787"/>
      </w:tblGrid>
      <w:tr w:rsidR="00B30B11" w:rsidRPr="0053072D" w14:paraId="01B564CA" w14:textId="77777777" w:rsidTr="00EE453C">
        <w:tc>
          <w:tcPr>
            <w:tcW w:w="2122" w:type="dxa"/>
            <w:tcBorders>
              <w:top w:val="nil"/>
              <w:right w:val="single" w:sz="4" w:space="0" w:color="FFFFFF"/>
            </w:tcBorders>
            <w:shd w:val="clear" w:color="auto" w:fill="262C66"/>
          </w:tcPr>
          <w:p w14:paraId="10EE8A47" w14:textId="3E8691B5" w:rsidR="00B30B11" w:rsidRPr="0053072D" w:rsidRDefault="00B30B11" w:rsidP="00971661">
            <w:pPr>
              <w:keepNext/>
              <w:keepLines/>
              <w:spacing w:before="60" w:after="60"/>
              <w:ind w:left="11"/>
              <w:jc w:val="center"/>
              <w:outlineLvl w:val="1"/>
              <w:rPr>
                <w:rFonts w:eastAsia="Times New Roman" w:cs="Arial"/>
                <w:b/>
                <w:bCs/>
                <w:color w:val="FFFFFF"/>
                <w:sz w:val="20"/>
                <w:szCs w:val="20"/>
                <w:lang w:val="en-ID" w:eastAsia="en-ID"/>
              </w:rPr>
            </w:pPr>
            <w:bookmarkStart w:id="364" w:name="_Toc173318548"/>
            <w:r w:rsidRPr="0053072D">
              <w:rPr>
                <w:rFonts w:eastAsia="Times New Roman" w:cs="Arial"/>
                <w:b/>
                <w:bCs/>
                <w:color w:val="FFFFFF"/>
                <w:sz w:val="20"/>
                <w:szCs w:val="20"/>
                <w:lang w:val="en-ID" w:eastAsia="en-ID"/>
              </w:rPr>
              <w:t>Exit strategies</w:t>
            </w:r>
            <w:bookmarkEnd w:id="364"/>
          </w:p>
        </w:tc>
        <w:tc>
          <w:tcPr>
            <w:tcW w:w="2835" w:type="dxa"/>
            <w:tcBorders>
              <w:top w:val="nil"/>
              <w:left w:val="single" w:sz="4" w:space="0" w:color="FFFFFF"/>
              <w:right w:val="single" w:sz="4" w:space="0" w:color="FFFFFF"/>
            </w:tcBorders>
            <w:shd w:val="clear" w:color="auto" w:fill="262C66"/>
          </w:tcPr>
          <w:p w14:paraId="2A3B8290" w14:textId="23293AFE" w:rsidR="00B30B11" w:rsidRPr="0053072D" w:rsidRDefault="00B30B11" w:rsidP="00971661">
            <w:pPr>
              <w:keepNext/>
              <w:keepLines/>
              <w:spacing w:before="60" w:after="60"/>
              <w:ind w:left="11"/>
              <w:jc w:val="center"/>
              <w:outlineLvl w:val="1"/>
              <w:rPr>
                <w:rFonts w:eastAsia="Times New Roman" w:cs="Arial"/>
                <w:b/>
                <w:bCs/>
                <w:color w:val="FFFFFF"/>
                <w:sz w:val="20"/>
                <w:szCs w:val="20"/>
                <w:lang w:val="en-ID" w:eastAsia="en-ID"/>
              </w:rPr>
            </w:pPr>
            <w:bookmarkStart w:id="365" w:name="_Toc173318549"/>
            <w:r w:rsidRPr="0053072D">
              <w:rPr>
                <w:rFonts w:eastAsia="Times New Roman" w:cs="Arial"/>
                <w:b/>
                <w:bCs/>
                <w:color w:val="FFFFFF"/>
                <w:sz w:val="20"/>
                <w:szCs w:val="20"/>
                <w:lang w:val="en-ID" w:eastAsia="en-ID"/>
              </w:rPr>
              <w:t>Focus areas</w:t>
            </w:r>
            <w:bookmarkEnd w:id="365"/>
          </w:p>
        </w:tc>
        <w:tc>
          <w:tcPr>
            <w:tcW w:w="2698" w:type="dxa"/>
            <w:tcBorders>
              <w:top w:val="nil"/>
              <w:left w:val="single" w:sz="4" w:space="0" w:color="FFFFFF"/>
              <w:right w:val="single" w:sz="4" w:space="0" w:color="FFFFFF"/>
            </w:tcBorders>
            <w:shd w:val="clear" w:color="auto" w:fill="262C66"/>
          </w:tcPr>
          <w:p w14:paraId="480C8DB4" w14:textId="39B3FE26" w:rsidR="00B30B11" w:rsidRPr="0053072D" w:rsidRDefault="00B30B11" w:rsidP="00971661">
            <w:pPr>
              <w:keepNext/>
              <w:keepLines/>
              <w:spacing w:before="60" w:after="60"/>
              <w:ind w:left="11"/>
              <w:jc w:val="center"/>
              <w:outlineLvl w:val="1"/>
              <w:rPr>
                <w:rFonts w:eastAsia="Times New Roman" w:cs="Arial"/>
                <w:b/>
                <w:bCs/>
                <w:color w:val="FFFFFF"/>
                <w:sz w:val="20"/>
                <w:szCs w:val="20"/>
                <w:lang w:val="en-ID" w:eastAsia="en-ID"/>
              </w:rPr>
            </w:pPr>
            <w:bookmarkStart w:id="366" w:name="_Toc173318550"/>
            <w:r w:rsidRPr="0053072D">
              <w:rPr>
                <w:rFonts w:eastAsia="Times New Roman" w:cs="Arial"/>
                <w:b/>
                <w:bCs/>
                <w:color w:val="FFFFFF"/>
                <w:sz w:val="20"/>
                <w:szCs w:val="20"/>
                <w:lang w:val="en-ID" w:eastAsia="en-ID"/>
              </w:rPr>
              <w:t>Planned initiatives</w:t>
            </w:r>
            <w:bookmarkEnd w:id="366"/>
          </w:p>
        </w:tc>
        <w:tc>
          <w:tcPr>
            <w:tcW w:w="3118" w:type="dxa"/>
            <w:tcBorders>
              <w:top w:val="nil"/>
              <w:left w:val="single" w:sz="4" w:space="0" w:color="FFFFFF"/>
              <w:right w:val="single" w:sz="4" w:space="0" w:color="FFFFFF"/>
            </w:tcBorders>
            <w:shd w:val="clear" w:color="auto" w:fill="262C66"/>
          </w:tcPr>
          <w:p w14:paraId="24A4FF7E" w14:textId="7EE21DB9" w:rsidR="00B30B11" w:rsidRPr="0053072D" w:rsidRDefault="00B30B11" w:rsidP="00971661">
            <w:pPr>
              <w:keepNext/>
              <w:keepLines/>
              <w:spacing w:before="60" w:after="60"/>
              <w:ind w:left="11"/>
              <w:jc w:val="center"/>
              <w:outlineLvl w:val="1"/>
              <w:rPr>
                <w:rFonts w:eastAsia="Times New Roman" w:cs="Arial"/>
                <w:b/>
                <w:bCs/>
                <w:color w:val="FFFFFF"/>
                <w:sz w:val="20"/>
                <w:szCs w:val="20"/>
                <w:lang w:val="en-ID" w:eastAsia="en-ID"/>
              </w:rPr>
            </w:pPr>
            <w:bookmarkStart w:id="367" w:name="_Toc173318551"/>
            <w:r w:rsidRPr="0053072D">
              <w:rPr>
                <w:rFonts w:eastAsia="Times New Roman" w:cs="Arial"/>
                <w:b/>
                <w:bCs/>
                <w:color w:val="FFFFFF"/>
                <w:sz w:val="20"/>
                <w:szCs w:val="20"/>
                <w:lang w:val="en-ID" w:eastAsia="en-ID"/>
              </w:rPr>
              <w:t>Expected outputs</w:t>
            </w:r>
            <w:bookmarkEnd w:id="367"/>
          </w:p>
        </w:tc>
        <w:tc>
          <w:tcPr>
            <w:tcW w:w="3787" w:type="dxa"/>
            <w:tcBorders>
              <w:top w:val="nil"/>
              <w:left w:val="single" w:sz="4" w:space="0" w:color="FFFFFF"/>
            </w:tcBorders>
            <w:shd w:val="clear" w:color="auto" w:fill="262C66"/>
          </w:tcPr>
          <w:p w14:paraId="68EA5B17" w14:textId="5A1E76CA" w:rsidR="00B30B11" w:rsidRPr="0053072D" w:rsidRDefault="00B30B11" w:rsidP="00971661">
            <w:pPr>
              <w:keepNext/>
              <w:keepLines/>
              <w:spacing w:before="60" w:after="60"/>
              <w:ind w:left="11"/>
              <w:jc w:val="center"/>
              <w:outlineLvl w:val="1"/>
              <w:rPr>
                <w:rFonts w:eastAsia="Times New Roman" w:cs="Arial"/>
                <w:b/>
                <w:bCs/>
                <w:color w:val="FFFFFF"/>
                <w:sz w:val="20"/>
                <w:szCs w:val="20"/>
                <w:lang w:val="en-ID" w:eastAsia="en-ID"/>
              </w:rPr>
            </w:pPr>
            <w:bookmarkStart w:id="368" w:name="_Toc173318552"/>
            <w:r w:rsidRPr="0053072D">
              <w:rPr>
                <w:rFonts w:eastAsia="Times New Roman" w:cs="Arial"/>
                <w:b/>
                <w:bCs/>
                <w:color w:val="FFFFFF"/>
                <w:sz w:val="20"/>
                <w:szCs w:val="20"/>
                <w:lang w:val="en-ID" w:eastAsia="en-ID"/>
              </w:rPr>
              <w:t>Progress update</w:t>
            </w:r>
            <w:bookmarkEnd w:id="368"/>
          </w:p>
        </w:tc>
      </w:tr>
      <w:tr w:rsidR="00B30B11" w:rsidRPr="0053072D" w14:paraId="687FD226" w14:textId="77777777" w:rsidTr="00EE453C">
        <w:tc>
          <w:tcPr>
            <w:tcW w:w="2122" w:type="dxa"/>
            <w:vMerge w:val="restart"/>
          </w:tcPr>
          <w:p w14:paraId="26E84E49" w14:textId="3C2851BA"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69" w:name="_Toc173318553"/>
            <w:r w:rsidRPr="0053072D">
              <w:rPr>
                <w:rFonts w:eastAsia="Times New Roman" w:cs="Aptos"/>
                <w:color w:val="000000"/>
                <w:sz w:val="20"/>
                <w:szCs w:val="20"/>
                <w:lang w:val="en-ID" w:eastAsia="en-ID"/>
              </w:rPr>
              <w:t>Strategies towards ensuring greater sustainability</w:t>
            </w:r>
            <w:bookmarkEnd w:id="369"/>
          </w:p>
        </w:tc>
        <w:tc>
          <w:tcPr>
            <w:tcW w:w="2835" w:type="dxa"/>
            <w:vMerge w:val="restart"/>
          </w:tcPr>
          <w:p w14:paraId="39100324" w14:textId="6ECDB4A6"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70" w:name="_Toc173318554"/>
            <w:r w:rsidRPr="0053072D">
              <w:rPr>
                <w:rFonts w:eastAsia="Times New Roman" w:cs="Aptos"/>
                <w:color w:val="000000"/>
                <w:sz w:val="20"/>
                <w:szCs w:val="20"/>
                <w:lang w:val="en-ID" w:eastAsia="en-ID"/>
              </w:rPr>
              <w:t>Developing support strategies for marketing</w:t>
            </w:r>
            <w:bookmarkEnd w:id="370"/>
          </w:p>
        </w:tc>
        <w:tc>
          <w:tcPr>
            <w:tcW w:w="2698" w:type="dxa"/>
          </w:tcPr>
          <w:p w14:paraId="36554489" w14:textId="138F973B"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71" w:name="_Toc173318555"/>
            <w:r w:rsidRPr="0053072D">
              <w:rPr>
                <w:rFonts w:eastAsia="Times New Roman" w:cs="Aptos"/>
                <w:color w:val="000000"/>
                <w:sz w:val="20"/>
                <w:szCs w:val="20"/>
                <w:lang w:val="en-ID" w:eastAsia="en-ID"/>
              </w:rPr>
              <w:t>Facilitate meetings between Semaai and input companies for better product fulfilment (price, stock) and knowledge variety.</w:t>
            </w:r>
            <w:bookmarkEnd w:id="371"/>
          </w:p>
        </w:tc>
        <w:tc>
          <w:tcPr>
            <w:tcW w:w="3118" w:type="dxa"/>
          </w:tcPr>
          <w:p w14:paraId="0033080D" w14:textId="77777777" w:rsidR="00B30B11" w:rsidRPr="0053072D" w:rsidRDefault="00B30B11" w:rsidP="00971661">
            <w:pPr>
              <w:keepNext/>
              <w:keepLines/>
              <w:spacing w:after="80"/>
              <w:ind w:left="37" w:firstLine="14"/>
              <w:outlineLvl w:val="1"/>
              <w:rPr>
                <w:rFonts w:eastAsia="Times New Roman" w:cs="Arial"/>
                <w:color w:val="000000"/>
                <w:sz w:val="20"/>
                <w:szCs w:val="20"/>
                <w:lang w:val="en-ID" w:eastAsia="en-ID"/>
              </w:rPr>
            </w:pPr>
            <w:bookmarkStart w:id="372" w:name="_Toc173318556"/>
            <w:r w:rsidRPr="0053072D">
              <w:rPr>
                <w:rFonts w:eastAsia="Times New Roman" w:cs="Arial"/>
                <w:color w:val="000000"/>
                <w:sz w:val="20"/>
                <w:szCs w:val="20"/>
                <w:lang w:val="en-ID" w:eastAsia="en-ID"/>
              </w:rPr>
              <w:t>Semaai has an increased product line.</w:t>
            </w:r>
            <w:bookmarkEnd w:id="372"/>
            <w:r w:rsidRPr="0053072D">
              <w:rPr>
                <w:rFonts w:eastAsia="Times New Roman" w:cs="Arial"/>
                <w:color w:val="000000"/>
                <w:sz w:val="20"/>
                <w:szCs w:val="20"/>
                <w:lang w:val="en-ID" w:eastAsia="en-ID"/>
              </w:rPr>
              <w:t xml:space="preserve"> </w:t>
            </w:r>
          </w:p>
        </w:tc>
        <w:tc>
          <w:tcPr>
            <w:tcW w:w="3787" w:type="dxa"/>
          </w:tcPr>
          <w:p w14:paraId="40C88AC1" w14:textId="6BB89E59"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73" w:name="_Toc173318557"/>
            <w:r w:rsidRPr="0053072D">
              <w:rPr>
                <w:rFonts w:eastAsia="Yu Gothic Light" w:cs="Arial"/>
                <w:color w:val="000000"/>
                <w:sz w:val="20"/>
                <w:szCs w:val="20"/>
                <w:shd w:val="clear" w:color="auto" w:fill="FFFFFF"/>
                <w:lang w:val="en-ID" w:eastAsia="en-ID"/>
              </w:rPr>
              <w:t>PRISMA has brokered business connections between PT Semaai, an agri e-commerce platform for agri-kiosks, and PT Botani Seed Indonesia (BOSI), a national rice seed producer for product fulfilment. Following the meetings, Semaai is now selling rice seed produced by PT Botani to agri-kiosks in Central Java</w:t>
            </w:r>
            <w:r w:rsidRPr="0053072D">
              <w:rPr>
                <w:rFonts w:eastAsia="Times New Roman" w:cs="Arial"/>
                <w:color w:val="000000"/>
                <w:sz w:val="20"/>
                <w:szCs w:val="20"/>
                <w:lang w:val="en-ID" w:eastAsia="en-ID"/>
              </w:rPr>
              <w:t>.</w:t>
            </w:r>
            <w:bookmarkEnd w:id="373"/>
          </w:p>
        </w:tc>
      </w:tr>
      <w:tr w:rsidR="00B30B11" w:rsidRPr="0053072D" w14:paraId="1CA13869" w14:textId="77777777" w:rsidTr="00EE453C">
        <w:tc>
          <w:tcPr>
            <w:tcW w:w="2122" w:type="dxa"/>
            <w:vMerge/>
          </w:tcPr>
          <w:p w14:paraId="0AADE156"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835" w:type="dxa"/>
            <w:vMerge/>
          </w:tcPr>
          <w:p w14:paraId="4BAA5870"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98" w:type="dxa"/>
          </w:tcPr>
          <w:p w14:paraId="610FA35E" w14:textId="5227859A"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74" w:name="_Toc173318558"/>
            <w:r w:rsidRPr="0053072D">
              <w:rPr>
                <w:rFonts w:eastAsia="Times New Roman" w:cs="Aptos"/>
                <w:color w:val="000000"/>
                <w:sz w:val="20"/>
                <w:szCs w:val="20"/>
                <w:lang w:val="en-ID" w:eastAsia="en-ID"/>
              </w:rPr>
              <w:t xml:space="preserve">Facilitate a partnership between Mitra Sejahtera Membangun Bangsa (MSMB), </w:t>
            </w:r>
            <w:r w:rsidRPr="0053072D">
              <w:rPr>
                <w:rFonts w:eastAsia="Yu Gothic Light" w:cs="Arial"/>
                <w:color w:val="000000"/>
                <w:sz w:val="20"/>
                <w:szCs w:val="20"/>
                <w:lang w:val="en-ID" w:eastAsia="en-ID"/>
              </w:rPr>
              <w:t xml:space="preserve">an ag-tech company, </w:t>
            </w:r>
            <w:r w:rsidRPr="0053072D">
              <w:rPr>
                <w:rFonts w:eastAsia="Times New Roman" w:cs="Aptos"/>
                <w:color w:val="000000"/>
                <w:sz w:val="20"/>
                <w:szCs w:val="20"/>
                <w:lang w:val="en-ID" w:eastAsia="en-ID"/>
              </w:rPr>
              <w:t xml:space="preserve">and Saprotan Utama and Agrotama Tunas Sarana (ATS) to promote the use of the fertiliser calculation app in </w:t>
            </w:r>
            <w:r w:rsidRPr="0053072D">
              <w:rPr>
                <w:rFonts w:eastAsia="Times New Roman" w:cs="Aptos"/>
                <w:color w:val="000000"/>
                <w:sz w:val="20"/>
                <w:szCs w:val="20"/>
                <w:lang w:val="en-ID" w:eastAsia="en-ID"/>
              </w:rPr>
              <w:lastRenderedPageBreak/>
              <w:t>product demonstrations (utilisation and efficacy).</w:t>
            </w:r>
            <w:bookmarkEnd w:id="374"/>
          </w:p>
        </w:tc>
        <w:tc>
          <w:tcPr>
            <w:tcW w:w="3118" w:type="dxa"/>
          </w:tcPr>
          <w:p w14:paraId="2FFB2F75" w14:textId="77777777" w:rsidR="00B30B11" w:rsidRPr="0053072D" w:rsidRDefault="00B30B11" w:rsidP="00971661">
            <w:pPr>
              <w:keepNext/>
              <w:keepLines/>
              <w:spacing w:after="80"/>
              <w:ind w:left="37" w:firstLine="14"/>
              <w:outlineLvl w:val="1"/>
              <w:rPr>
                <w:rFonts w:eastAsia="Times New Roman" w:cs="Arial"/>
                <w:color w:val="000000"/>
                <w:sz w:val="20"/>
                <w:szCs w:val="20"/>
                <w:lang w:val="en-ID" w:eastAsia="en-ID"/>
              </w:rPr>
            </w:pPr>
            <w:bookmarkStart w:id="375" w:name="_Toc173318559"/>
            <w:r w:rsidRPr="0053072D">
              <w:rPr>
                <w:rFonts w:eastAsia="Times New Roman" w:cs="Arial"/>
                <w:color w:val="000000"/>
                <w:sz w:val="20"/>
                <w:szCs w:val="20"/>
                <w:lang w:val="en-ID" w:eastAsia="en-ID"/>
              </w:rPr>
              <w:lastRenderedPageBreak/>
              <w:t>An MSMB business model</w:t>
            </w:r>
            <w:bookmarkEnd w:id="375"/>
            <w:r w:rsidRPr="0053072D">
              <w:rPr>
                <w:rFonts w:eastAsia="Times New Roman" w:cs="Arial"/>
                <w:color w:val="000000"/>
                <w:sz w:val="20"/>
                <w:szCs w:val="20"/>
                <w:lang w:val="en-ID" w:eastAsia="en-ID"/>
              </w:rPr>
              <w:t xml:space="preserve"> </w:t>
            </w:r>
          </w:p>
        </w:tc>
        <w:tc>
          <w:tcPr>
            <w:tcW w:w="3787" w:type="dxa"/>
          </w:tcPr>
          <w:p w14:paraId="52585AF8" w14:textId="77777777" w:rsidR="00B30B11" w:rsidRPr="0053072D" w:rsidRDefault="00B30B11" w:rsidP="00EE453C">
            <w:pPr>
              <w:textAlignment w:val="baseline"/>
              <w:rPr>
                <w:rFonts w:ascii="Segoe UI" w:eastAsia="Times New Roman" w:hAnsi="Segoe UI" w:cs="Segoe UI"/>
                <w:color w:val="000000"/>
                <w:sz w:val="20"/>
                <w:szCs w:val="20"/>
                <w:lang w:val="en-ID" w:eastAsia="en-ID"/>
              </w:rPr>
            </w:pPr>
            <w:r w:rsidRPr="0053072D">
              <w:rPr>
                <w:rFonts w:eastAsia="Yu Gothic Light" w:cs="Arial"/>
                <w:color w:val="000000"/>
                <w:sz w:val="20"/>
                <w:szCs w:val="20"/>
                <w:lang w:val="en-ID" w:eastAsia="en-ID"/>
              </w:rPr>
              <w:t>PRISMA facilitated a meeting between Mitra Sejahtera Membangun Bangsa and 2 fertiliser companies, Saprotan Utama and ATS, to discuss trialling MSMB’s fertiliser calculator app. </w:t>
            </w:r>
          </w:p>
          <w:p w14:paraId="22A6B02A" w14:textId="77777777" w:rsidR="00B30B11" w:rsidRDefault="00B30B11" w:rsidP="00EE453C">
            <w:pPr>
              <w:textAlignment w:val="baseline"/>
              <w:rPr>
                <w:rFonts w:eastAsia="Yu Gothic Light" w:cs="Arial"/>
                <w:color w:val="000000"/>
                <w:sz w:val="20"/>
                <w:szCs w:val="20"/>
                <w:lang w:val="en-ID" w:eastAsia="en-ID"/>
              </w:rPr>
            </w:pPr>
            <w:r w:rsidRPr="0053072D">
              <w:rPr>
                <w:rFonts w:eastAsia="Yu Gothic Light" w:cs="Arial"/>
                <w:color w:val="000000"/>
                <w:sz w:val="20"/>
                <w:szCs w:val="20"/>
                <w:lang w:val="en-ID" w:eastAsia="en-ID"/>
              </w:rPr>
              <w:t>Saprotan Utama pulled out from the trial due to a change in its business priority.  </w:t>
            </w:r>
          </w:p>
          <w:p w14:paraId="6FC10D74" w14:textId="77777777" w:rsidR="00B30B11" w:rsidRPr="0053072D" w:rsidRDefault="00B30B11" w:rsidP="00EE453C">
            <w:pPr>
              <w:textAlignment w:val="baseline"/>
              <w:rPr>
                <w:rFonts w:ascii="Segoe UI" w:eastAsia="Times New Roman" w:hAnsi="Segoe UI" w:cs="Segoe UI"/>
                <w:color w:val="000000"/>
                <w:sz w:val="20"/>
                <w:szCs w:val="20"/>
                <w:lang w:val="en-ID" w:eastAsia="en-ID"/>
              </w:rPr>
            </w:pPr>
          </w:p>
          <w:p w14:paraId="5C2DFEF2" w14:textId="77777777" w:rsidR="00B30B11" w:rsidRPr="0053072D" w:rsidRDefault="00B30B11" w:rsidP="00EE453C">
            <w:pPr>
              <w:textAlignment w:val="baseline"/>
              <w:rPr>
                <w:rFonts w:ascii="Segoe UI" w:eastAsia="Times New Roman" w:hAnsi="Segoe UI" w:cs="Segoe UI"/>
                <w:color w:val="000000"/>
                <w:sz w:val="20"/>
                <w:szCs w:val="20"/>
                <w:lang w:val="en-ID" w:eastAsia="en-ID"/>
              </w:rPr>
            </w:pPr>
            <w:r w:rsidRPr="0053072D">
              <w:rPr>
                <w:rFonts w:eastAsia="Yu Gothic Light" w:cs="Arial"/>
                <w:color w:val="000000"/>
                <w:sz w:val="20"/>
                <w:szCs w:val="20"/>
                <w:lang w:val="en-ID" w:eastAsia="en-ID"/>
              </w:rPr>
              <w:lastRenderedPageBreak/>
              <w:t>ATS tested the fertiliser calculator app with ATS farmers in Kediri district. The trial results showed that the app from MSMB increased the farmers’ profitability by 10% in maize and 3% in shallots, compared to the traditional fertilisation strategy followed by farmers. ATS plans to integrate  MSMB’s fertiliser calculator app into its advisory service for farmers.</w:t>
            </w:r>
          </w:p>
          <w:p w14:paraId="6B9A61A7"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r>
      <w:tr w:rsidR="00B30B11" w:rsidRPr="0053072D" w14:paraId="6BD7917F" w14:textId="77777777" w:rsidTr="00EE453C">
        <w:tc>
          <w:tcPr>
            <w:tcW w:w="2122" w:type="dxa"/>
            <w:vMerge/>
          </w:tcPr>
          <w:p w14:paraId="6FFDC79E"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835" w:type="dxa"/>
            <w:vMerge/>
          </w:tcPr>
          <w:p w14:paraId="75DFF06E"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98" w:type="dxa"/>
          </w:tcPr>
          <w:p w14:paraId="2B17ABDD" w14:textId="726E37AA"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76" w:name="_Toc173318560"/>
            <w:r w:rsidRPr="0053072D">
              <w:rPr>
                <w:rFonts w:eastAsia="Times New Roman" w:cs="Aptos"/>
                <w:color w:val="000000"/>
                <w:sz w:val="20"/>
                <w:szCs w:val="20"/>
                <w:lang w:val="en-ID" w:eastAsia="en-ID"/>
              </w:rPr>
              <w:t>Facilitate a partnership between Sipindo, YARA, and Mutiara to promote the use of the fertiliser calculation app in product demonstrations (utilisation and efficacy).</w:t>
            </w:r>
            <w:bookmarkEnd w:id="376"/>
          </w:p>
        </w:tc>
        <w:tc>
          <w:tcPr>
            <w:tcW w:w="3118" w:type="dxa"/>
          </w:tcPr>
          <w:p w14:paraId="46291986" w14:textId="77777777" w:rsidR="00B30B11" w:rsidRPr="0053072D" w:rsidRDefault="00B30B11" w:rsidP="00971661">
            <w:pPr>
              <w:keepNext/>
              <w:keepLines/>
              <w:spacing w:after="80"/>
              <w:ind w:left="37" w:firstLine="14"/>
              <w:outlineLvl w:val="1"/>
              <w:rPr>
                <w:rFonts w:eastAsia="Times New Roman" w:cs="Arial"/>
                <w:color w:val="000000"/>
                <w:sz w:val="20"/>
                <w:szCs w:val="20"/>
                <w:lang w:val="en-ID" w:eastAsia="en-ID"/>
              </w:rPr>
            </w:pPr>
            <w:bookmarkStart w:id="377" w:name="_Toc173318561"/>
            <w:r w:rsidRPr="0053072D">
              <w:rPr>
                <w:rFonts w:eastAsia="Times New Roman" w:cs="Arial"/>
                <w:color w:val="000000"/>
                <w:sz w:val="20"/>
                <w:szCs w:val="20"/>
                <w:lang w:val="en-ID" w:eastAsia="en-ID"/>
              </w:rPr>
              <w:t>Sipindo develops a new business model.</w:t>
            </w:r>
            <w:bookmarkEnd w:id="377"/>
            <w:r w:rsidRPr="0053072D">
              <w:rPr>
                <w:rFonts w:eastAsia="Times New Roman" w:cs="Arial"/>
                <w:color w:val="000000"/>
                <w:sz w:val="20"/>
                <w:szCs w:val="20"/>
                <w:lang w:val="en-ID" w:eastAsia="en-ID"/>
              </w:rPr>
              <w:t xml:space="preserve">  </w:t>
            </w:r>
          </w:p>
        </w:tc>
        <w:tc>
          <w:tcPr>
            <w:tcW w:w="3787" w:type="dxa"/>
          </w:tcPr>
          <w:p w14:paraId="31C4F429" w14:textId="3D79E9BD"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78" w:name="_Toc173318562"/>
            <w:r w:rsidRPr="0053072D">
              <w:rPr>
                <w:rFonts w:eastAsia="Yu Gothic Light" w:cs="Arial"/>
                <w:color w:val="000000"/>
                <w:sz w:val="20"/>
                <w:szCs w:val="20"/>
                <w:shd w:val="clear" w:color="auto" w:fill="FFFFFF"/>
                <w:lang w:val="en-ID" w:eastAsia="en-ID"/>
              </w:rPr>
              <w:t>Due to staff resignations in Sipindo`s partnership, Sipindo/YBTS, an agri-tech company, decided not to prioritise this initiative. It plans to focus more on social media promotion to promote the fertiliser calculation app to farmers, agri-kiosks, and extension officers.</w:t>
            </w:r>
            <w:bookmarkEnd w:id="378"/>
          </w:p>
        </w:tc>
      </w:tr>
      <w:tr w:rsidR="00B30B11" w:rsidRPr="0053072D" w14:paraId="2F220915" w14:textId="77777777" w:rsidTr="00EE453C">
        <w:tc>
          <w:tcPr>
            <w:tcW w:w="2122" w:type="dxa"/>
            <w:vMerge/>
          </w:tcPr>
          <w:p w14:paraId="47F5B5B7"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835" w:type="dxa"/>
            <w:vMerge/>
          </w:tcPr>
          <w:p w14:paraId="3848FBA2"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98" w:type="dxa"/>
          </w:tcPr>
          <w:p w14:paraId="62EA3AA2" w14:textId="3BC69B12"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79" w:name="_Toc173318563"/>
            <w:r w:rsidRPr="0053072D">
              <w:rPr>
                <w:rFonts w:eastAsia="Times New Roman" w:cs="Aptos"/>
                <w:color w:val="000000"/>
                <w:sz w:val="20"/>
                <w:szCs w:val="20"/>
                <w:lang w:val="en-ID" w:eastAsia="en-ID"/>
              </w:rPr>
              <w:t>Facilitate showcasing the fertiliser calculation products and successful cases to relevant stakeholders, such as the MoA and PISAgro.</w:t>
            </w:r>
            <w:bookmarkEnd w:id="379"/>
          </w:p>
        </w:tc>
        <w:tc>
          <w:tcPr>
            <w:tcW w:w="3118" w:type="dxa"/>
          </w:tcPr>
          <w:p w14:paraId="4ED84F50" w14:textId="77777777" w:rsidR="00B30B11" w:rsidRPr="0053072D" w:rsidRDefault="00B30B11" w:rsidP="00971661">
            <w:pPr>
              <w:keepNext/>
              <w:keepLines/>
              <w:spacing w:after="80"/>
              <w:ind w:left="37" w:firstLine="14"/>
              <w:outlineLvl w:val="1"/>
              <w:rPr>
                <w:rFonts w:eastAsia="Times New Roman" w:cs="Arial"/>
                <w:color w:val="000000"/>
                <w:sz w:val="20"/>
                <w:szCs w:val="20"/>
                <w:lang w:val="en-ID" w:eastAsia="en-ID"/>
              </w:rPr>
            </w:pPr>
            <w:bookmarkStart w:id="380" w:name="_Toc173318564"/>
            <w:r w:rsidRPr="0053072D">
              <w:rPr>
                <w:rFonts w:eastAsia="Times New Roman" w:cs="Arial"/>
                <w:color w:val="000000"/>
                <w:sz w:val="20"/>
                <w:szCs w:val="20"/>
                <w:lang w:val="en-ID" w:eastAsia="en-ID"/>
              </w:rPr>
              <w:t>A workshop report</w:t>
            </w:r>
            <w:bookmarkEnd w:id="380"/>
            <w:r w:rsidRPr="0053072D">
              <w:rPr>
                <w:rFonts w:eastAsia="Times New Roman" w:cs="Arial"/>
                <w:color w:val="000000"/>
                <w:sz w:val="20"/>
                <w:szCs w:val="20"/>
                <w:lang w:val="en-ID" w:eastAsia="en-ID"/>
              </w:rPr>
              <w:t xml:space="preserve"> </w:t>
            </w:r>
          </w:p>
        </w:tc>
        <w:tc>
          <w:tcPr>
            <w:tcW w:w="3787" w:type="dxa"/>
          </w:tcPr>
          <w:p w14:paraId="5B679092"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81" w:name="_Toc173318565"/>
            <w:r w:rsidRPr="0053072D">
              <w:rPr>
                <w:rFonts w:eastAsia="Yu Gothic Light" w:cs="Arial"/>
                <w:color w:val="000000"/>
                <w:sz w:val="20"/>
                <w:szCs w:val="20"/>
                <w:shd w:val="clear" w:color="auto" w:fill="FFFFFF"/>
                <w:lang w:val="en-ID" w:eastAsia="en-ID"/>
              </w:rPr>
              <w:t>Successful trial plot harvesting using the fertiliser recommendation from SIPINDO/YBTS, an agri-tech company, has been exposed to the local Blitar government. The recommendation was proven to increase farmers’ revenue by up to 25%. This event was published in an e-newspaper.</w:t>
            </w:r>
            <w:bookmarkEnd w:id="381"/>
            <w:r w:rsidRPr="0053072D">
              <w:rPr>
                <w:rFonts w:eastAsia="Yu Gothic Light" w:cs="Arial"/>
                <w:color w:val="000000"/>
                <w:sz w:val="20"/>
                <w:szCs w:val="20"/>
                <w:shd w:val="clear" w:color="auto" w:fill="FFFFFF"/>
                <w:lang w:val="en-ID" w:eastAsia="en-ID"/>
              </w:rPr>
              <w:t> </w:t>
            </w:r>
          </w:p>
        </w:tc>
      </w:tr>
      <w:tr w:rsidR="00B30B11" w:rsidRPr="0053072D" w14:paraId="57EFE483" w14:textId="77777777" w:rsidTr="00EE453C">
        <w:tc>
          <w:tcPr>
            <w:tcW w:w="2122" w:type="dxa"/>
            <w:vMerge/>
          </w:tcPr>
          <w:p w14:paraId="47C32E84"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835" w:type="dxa"/>
          </w:tcPr>
          <w:p w14:paraId="25DC4729" w14:textId="4637404F"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82" w:name="_Toc173318566"/>
            <w:r w:rsidRPr="0053072D">
              <w:rPr>
                <w:rFonts w:eastAsia="Times New Roman" w:cs="Aptos"/>
                <w:color w:val="000000"/>
                <w:sz w:val="20"/>
                <w:szCs w:val="20"/>
                <w:lang w:val="en-ID" w:eastAsia="en-ID"/>
              </w:rPr>
              <w:t>Supporting collaborations with other market actors for alternative payment options for product stocking</w:t>
            </w:r>
            <w:bookmarkEnd w:id="382"/>
          </w:p>
        </w:tc>
        <w:tc>
          <w:tcPr>
            <w:tcW w:w="2698" w:type="dxa"/>
          </w:tcPr>
          <w:p w14:paraId="0EA2B522" w14:textId="40B8537D"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83" w:name="_Toc173318567"/>
            <w:r w:rsidRPr="0053072D">
              <w:rPr>
                <w:rFonts w:eastAsia="Times New Roman" w:cs="Aptos"/>
                <w:color w:val="000000"/>
                <w:sz w:val="20"/>
                <w:szCs w:val="20"/>
                <w:lang w:val="en-ID" w:eastAsia="en-ID"/>
              </w:rPr>
              <w:t xml:space="preserve">Facilitate a partnership between NADI, </w:t>
            </w:r>
            <w:r w:rsidRPr="0053072D">
              <w:rPr>
                <w:rFonts w:eastAsia="Yu Gothic Light" w:cs="Arial"/>
                <w:color w:val="000000"/>
                <w:sz w:val="20"/>
                <w:szCs w:val="20"/>
                <w:shd w:val="clear" w:color="auto" w:fill="FFFFFF"/>
                <w:lang w:val="en-ID" w:eastAsia="en-ID"/>
              </w:rPr>
              <w:t xml:space="preserve"> </w:t>
            </w:r>
            <w:r w:rsidRPr="0053072D">
              <w:rPr>
                <w:rFonts w:eastAsia="Times New Roman" w:cs="Aptos"/>
                <w:color w:val="000000"/>
                <w:sz w:val="20"/>
                <w:szCs w:val="20"/>
                <w:lang w:val="en-ID" w:eastAsia="en-ID"/>
              </w:rPr>
              <w:t xml:space="preserve">an agri-tech company, Saprotan Utama, and an organic fertiliser producer, Rojokoyo Manunggal, to </w:t>
            </w:r>
            <w:r w:rsidRPr="0053072D">
              <w:rPr>
                <w:rFonts w:eastAsia="Times New Roman" w:cs="Aptos"/>
                <w:color w:val="000000"/>
                <w:sz w:val="20"/>
                <w:szCs w:val="20"/>
                <w:lang w:val="en-ID" w:eastAsia="en-ID"/>
              </w:rPr>
              <w:lastRenderedPageBreak/>
              <w:t>support better kiosk product stocking.</w:t>
            </w:r>
            <w:bookmarkEnd w:id="383"/>
          </w:p>
        </w:tc>
        <w:tc>
          <w:tcPr>
            <w:tcW w:w="3118" w:type="dxa"/>
          </w:tcPr>
          <w:p w14:paraId="130B8689" w14:textId="66F95FCF" w:rsidR="00B30B11" w:rsidRPr="0053072D" w:rsidRDefault="00B30B11" w:rsidP="00971661">
            <w:pPr>
              <w:keepNext/>
              <w:keepLines/>
              <w:spacing w:after="80"/>
              <w:ind w:left="37" w:firstLine="14"/>
              <w:outlineLvl w:val="1"/>
              <w:rPr>
                <w:rFonts w:eastAsia="Times New Roman" w:cs="Arial"/>
                <w:color w:val="000000"/>
                <w:sz w:val="20"/>
                <w:szCs w:val="20"/>
                <w:lang w:val="en-ID" w:eastAsia="en-ID"/>
              </w:rPr>
            </w:pPr>
            <w:bookmarkStart w:id="384" w:name="_Toc173318568"/>
            <w:r w:rsidRPr="0053072D">
              <w:rPr>
                <w:rFonts w:eastAsia="Times New Roman" w:cs="Arial"/>
                <w:color w:val="000000"/>
                <w:sz w:val="20"/>
                <w:szCs w:val="20"/>
                <w:lang w:val="en-ID" w:eastAsia="en-ID"/>
              </w:rPr>
              <w:lastRenderedPageBreak/>
              <w:t>The NADI BNPL facility is promoted.</w:t>
            </w:r>
            <w:bookmarkEnd w:id="384"/>
          </w:p>
        </w:tc>
        <w:tc>
          <w:tcPr>
            <w:tcW w:w="3787" w:type="dxa"/>
          </w:tcPr>
          <w:p w14:paraId="3C34FD8D" w14:textId="77757210"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85" w:name="_Toc173318569"/>
            <w:r w:rsidRPr="0053072D">
              <w:rPr>
                <w:rFonts w:eastAsia="Yu Gothic Light" w:cs="Arial"/>
                <w:color w:val="000000"/>
                <w:sz w:val="20"/>
                <w:szCs w:val="20"/>
                <w:shd w:val="clear" w:color="auto" w:fill="FFFFFF"/>
                <w:lang w:val="en-ID" w:eastAsia="en-ID"/>
              </w:rPr>
              <w:t xml:space="preserve">Following the launch of new supply-chain features in the apps, NADI has developed partnerships with 4 input companies: PT Berkat Mitra Makmur (BMM – organic fertiliser producer), Saprotan Utama (fertiliser producer), Rollimex (crop protection producer), </w:t>
            </w:r>
            <w:r w:rsidRPr="0053072D">
              <w:rPr>
                <w:rFonts w:eastAsia="Yu Gothic Light" w:cs="Arial"/>
                <w:color w:val="000000"/>
                <w:sz w:val="20"/>
                <w:szCs w:val="20"/>
                <w:shd w:val="clear" w:color="auto" w:fill="FFFFFF"/>
                <w:lang w:val="en-ID" w:eastAsia="en-ID"/>
              </w:rPr>
              <w:lastRenderedPageBreak/>
              <w:t>and PT Tunas Widji Inti Nayottama (TWIN – seed producer). These partnerships will enable agri-kiosks to purchase agricultural inputs through their mobile app, which is embedded with a BNPL payment option</w:t>
            </w:r>
            <w:r w:rsidRPr="0053072D">
              <w:rPr>
                <w:rFonts w:eastAsia="Times New Roman" w:cs="Arial"/>
                <w:color w:val="000000"/>
                <w:sz w:val="20"/>
                <w:szCs w:val="20"/>
                <w:lang w:val="en-ID" w:eastAsia="en-ID"/>
              </w:rPr>
              <w:t>.</w:t>
            </w:r>
            <w:bookmarkEnd w:id="385"/>
          </w:p>
        </w:tc>
      </w:tr>
      <w:tr w:rsidR="00B30B11" w:rsidRPr="0053072D" w14:paraId="4A59CEBC" w14:textId="77777777" w:rsidTr="00EE453C">
        <w:tc>
          <w:tcPr>
            <w:tcW w:w="2122" w:type="dxa"/>
            <w:vMerge/>
          </w:tcPr>
          <w:p w14:paraId="291E4AB6"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tcPr>
          <w:p w14:paraId="0A24E8C9" w14:textId="247893F7"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386" w:name="_Toc173318570"/>
            <w:r w:rsidRPr="0053072D">
              <w:rPr>
                <w:rFonts w:eastAsia="Times New Roman" w:cs="Aptos"/>
                <w:color w:val="000000"/>
                <w:sz w:val="20"/>
                <w:szCs w:val="20"/>
                <w:lang w:val="en-ID" w:eastAsia="en-ID"/>
              </w:rPr>
              <w:t>Improving input procurement by enabling payment options</w:t>
            </w:r>
            <w:bookmarkEnd w:id="386"/>
          </w:p>
        </w:tc>
        <w:tc>
          <w:tcPr>
            <w:tcW w:w="2698" w:type="dxa"/>
          </w:tcPr>
          <w:p w14:paraId="45031121" w14:textId="5937F14C"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387" w:name="_Toc173318571"/>
            <w:r w:rsidRPr="0053072D">
              <w:rPr>
                <w:rFonts w:eastAsia="Times New Roman" w:cs="Aptos"/>
                <w:color w:val="000000"/>
                <w:sz w:val="20"/>
                <w:szCs w:val="20"/>
                <w:lang w:val="en-ID" w:eastAsia="en-ID"/>
              </w:rPr>
              <w:t>Support adjusting the NADI financing product feature to better suit agri-kiosks' cash flow.</w:t>
            </w:r>
            <w:bookmarkEnd w:id="387"/>
          </w:p>
        </w:tc>
        <w:tc>
          <w:tcPr>
            <w:tcW w:w="3118" w:type="dxa"/>
          </w:tcPr>
          <w:p w14:paraId="21B4FBFA" w14:textId="212DFFD1" w:rsidR="00B30B11" w:rsidRPr="0053072D" w:rsidRDefault="00B30B11" w:rsidP="00971661">
            <w:pPr>
              <w:keepNext/>
              <w:keepLines/>
              <w:spacing w:after="80"/>
              <w:ind w:left="37" w:firstLine="14"/>
              <w:outlineLvl w:val="1"/>
              <w:rPr>
                <w:rFonts w:eastAsia="Times New Roman" w:cs="Aptos"/>
                <w:color w:val="000000"/>
                <w:sz w:val="20"/>
                <w:szCs w:val="20"/>
                <w:lang w:val="en-ID" w:eastAsia="en-ID"/>
              </w:rPr>
            </w:pPr>
            <w:bookmarkStart w:id="388" w:name="_Toc173318572"/>
            <w:r w:rsidRPr="0053072D">
              <w:rPr>
                <w:rFonts w:eastAsia="Times New Roman" w:cs="Arial"/>
                <w:color w:val="000000"/>
                <w:sz w:val="20"/>
                <w:szCs w:val="20"/>
                <w:lang w:val="en-ID" w:eastAsia="en-ID"/>
              </w:rPr>
              <w:t>Flexible financing/BNPL products are available and promoted</w:t>
            </w:r>
            <w:bookmarkEnd w:id="388"/>
          </w:p>
        </w:tc>
        <w:tc>
          <w:tcPr>
            <w:tcW w:w="3787" w:type="dxa"/>
          </w:tcPr>
          <w:p w14:paraId="37336942"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89" w:name="_Toc173318573"/>
            <w:r w:rsidRPr="0053072D">
              <w:rPr>
                <w:rFonts w:eastAsia="Yu Gothic Light" w:cs="Arial"/>
                <w:color w:val="000000"/>
                <w:sz w:val="20"/>
                <w:szCs w:val="20"/>
                <w:shd w:val="clear" w:color="auto" w:fill="FFFFFF"/>
                <w:lang w:val="en-ID" w:eastAsia="en-ID"/>
              </w:rPr>
              <w:t>NADI has launched a new BNPL feature integrated with financing providers to ensure liquidity in providing BNPL and serve more agri-kiosks with various agri-input products and payment options.</w:t>
            </w:r>
            <w:bookmarkEnd w:id="389"/>
            <w:r w:rsidRPr="0053072D">
              <w:rPr>
                <w:rFonts w:eastAsia="Yu Gothic Light" w:cs="Arial"/>
                <w:color w:val="000000"/>
                <w:sz w:val="20"/>
                <w:szCs w:val="20"/>
                <w:shd w:val="clear" w:color="auto" w:fill="FFFFFF"/>
                <w:lang w:val="en-ID" w:eastAsia="en-ID"/>
              </w:rPr>
              <w:t> </w:t>
            </w:r>
          </w:p>
        </w:tc>
      </w:tr>
      <w:tr w:rsidR="00B30B11" w:rsidRPr="0053072D" w14:paraId="075267BC" w14:textId="77777777" w:rsidTr="00EE453C">
        <w:tc>
          <w:tcPr>
            <w:tcW w:w="2122" w:type="dxa"/>
            <w:vMerge w:val="restart"/>
          </w:tcPr>
          <w:p w14:paraId="725CE041" w14:textId="17057382"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390" w:name="_Toc173318574"/>
            <w:r w:rsidRPr="0053072D">
              <w:rPr>
                <w:rFonts w:eastAsia="Times New Roman" w:cs="Aptos"/>
                <w:color w:val="000000"/>
                <w:sz w:val="20"/>
                <w:szCs w:val="20"/>
                <w:lang w:val="en-ID" w:eastAsia="en-ID"/>
              </w:rPr>
              <w:t>Knowledge harvesting and dissemination</w:t>
            </w:r>
            <w:bookmarkEnd w:id="390"/>
          </w:p>
        </w:tc>
        <w:tc>
          <w:tcPr>
            <w:tcW w:w="2835" w:type="dxa"/>
          </w:tcPr>
          <w:p w14:paraId="70141545" w14:textId="408E83C8"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391" w:name="_Toc173318575"/>
            <w:r w:rsidRPr="0053072D">
              <w:rPr>
                <w:rFonts w:eastAsia="Times New Roman" w:cs="Aptos"/>
                <w:color w:val="000000"/>
                <w:sz w:val="20"/>
                <w:szCs w:val="20"/>
                <w:lang w:val="en-ID" w:eastAsia="en-ID"/>
              </w:rPr>
              <w:t>Assessing business feasibility and sharing it with relevant stakeholders</w:t>
            </w:r>
            <w:bookmarkEnd w:id="391"/>
          </w:p>
        </w:tc>
        <w:tc>
          <w:tcPr>
            <w:tcW w:w="2698" w:type="dxa"/>
          </w:tcPr>
          <w:p w14:paraId="4D80FB6A" w14:textId="30C65F89"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92" w:name="_Toc173318576"/>
            <w:r w:rsidRPr="0053072D">
              <w:rPr>
                <w:rFonts w:eastAsia="Times New Roman" w:cs="Arial"/>
                <w:color w:val="000000"/>
                <w:sz w:val="20"/>
                <w:szCs w:val="20"/>
                <w:lang w:val="en-ID" w:eastAsia="en-ID"/>
              </w:rPr>
              <w:t>Study the technology investment feasibility in the agriculture sector, share the results through the media or PISAgro and involve impact investors or venture capital.</w:t>
            </w:r>
            <w:bookmarkEnd w:id="392"/>
          </w:p>
        </w:tc>
        <w:tc>
          <w:tcPr>
            <w:tcW w:w="3118" w:type="dxa"/>
          </w:tcPr>
          <w:p w14:paraId="6839FB61" w14:textId="77777777" w:rsidR="00B30B11" w:rsidRPr="0053072D" w:rsidRDefault="00B30B11" w:rsidP="00971661">
            <w:pPr>
              <w:keepNext/>
              <w:keepLines/>
              <w:spacing w:after="80"/>
              <w:ind w:left="37" w:firstLine="14"/>
              <w:outlineLvl w:val="1"/>
              <w:rPr>
                <w:rFonts w:eastAsia="Times New Roman" w:cs="Aptos"/>
                <w:color w:val="000000"/>
                <w:sz w:val="20"/>
                <w:szCs w:val="20"/>
                <w:lang w:val="en-ID" w:eastAsia="en-ID"/>
              </w:rPr>
            </w:pPr>
            <w:bookmarkStart w:id="393" w:name="_Toc173318577"/>
            <w:r w:rsidRPr="0053072D">
              <w:rPr>
                <w:rFonts w:eastAsia="Times New Roman" w:cs="Arial"/>
                <w:color w:val="000000"/>
                <w:sz w:val="20"/>
                <w:szCs w:val="20"/>
                <w:lang w:val="en-ID" w:eastAsia="en-ID"/>
              </w:rPr>
              <w:t>Awareness assessment report</w:t>
            </w:r>
            <w:bookmarkEnd w:id="393"/>
            <w:r w:rsidRPr="0053072D">
              <w:rPr>
                <w:rFonts w:eastAsia="Times New Roman" w:cs="Arial"/>
                <w:color w:val="000000"/>
                <w:sz w:val="20"/>
                <w:szCs w:val="20"/>
                <w:lang w:val="en-ID" w:eastAsia="en-ID"/>
              </w:rPr>
              <w:t xml:space="preserve"> </w:t>
            </w:r>
          </w:p>
        </w:tc>
        <w:tc>
          <w:tcPr>
            <w:tcW w:w="3787" w:type="dxa"/>
          </w:tcPr>
          <w:p w14:paraId="71528F5A" w14:textId="75461643" w:rsidR="00B30B11" w:rsidRPr="00971661" w:rsidRDefault="00B30B11" w:rsidP="00971661">
            <w:pPr>
              <w:textAlignment w:val="baseline"/>
              <w:rPr>
                <w:rFonts w:ascii="Segoe UI" w:eastAsia="Times New Roman" w:hAnsi="Segoe UI" w:cs="Segoe UI"/>
                <w:color w:val="000000"/>
                <w:sz w:val="20"/>
                <w:szCs w:val="20"/>
                <w:lang w:val="en-ID" w:eastAsia="en-ID"/>
              </w:rPr>
            </w:pPr>
            <w:r w:rsidRPr="0053072D">
              <w:rPr>
                <w:rFonts w:eastAsia="Yu Gothic Light" w:cs="Arial"/>
                <w:color w:val="000000"/>
                <w:sz w:val="20"/>
                <w:szCs w:val="20"/>
                <w:lang w:val="en-ID" w:eastAsia="en-ID"/>
              </w:rPr>
              <w:t>PRISMA has interviewed 4 agri-tech and 5 investing companies to complete the research on the agri-tech investment study. The final report is planned to be finalised in August 2024 and will be disseminated through an Indonesia Entrepreneurs Association event. </w:t>
            </w:r>
          </w:p>
        </w:tc>
      </w:tr>
      <w:tr w:rsidR="00B30B11" w:rsidRPr="0053072D" w14:paraId="3E4BF3A5" w14:textId="77777777" w:rsidTr="00EE453C">
        <w:tc>
          <w:tcPr>
            <w:tcW w:w="2122" w:type="dxa"/>
            <w:vMerge/>
          </w:tcPr>
          <w:p w14:paraId="7F624A78"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tcPr>
          <w:p w14:paraId="78CFE01E" w14:textId="0D9E9539"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394" w:name="_Toc173318578"/>
            <w:r w:rsidRPr="0053072D">
              <w:rPr>
                <w:rFonts w:eastAsia="Times New Roman" w:cs="Aptos"/>
                <w:color w:val="000000"/>
                <w:sz w:val="20"/>
                <w:szCs w:val="20"/>
                <w:lang w:val="en-ID" w:eastAsia="en-ID"/>
              </w:rPr>
              <w:t>Harvesting and sharing good practices, learnings, and challenges in the ICT sector</w:t>
            </w:r>
            <w:bookmarkEnd w:id="394"/>
          </w:p>
        </w:tc>
        <w:tc>
          <w:tcPr>
            <w:tcW w:w="2698" w:type="dxa"/>
          </w:tcPr>
          <w:p w14:paraId="59D5C8EC"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395" w:name="_Toc173318579"/>
            <w:r w:rsidRPr="0053072D">
              <w:rPr>
                <w:rFonts w:eastAsia="Times New Roman" w:cs="Arial"/>
                <w:color w:val="000000"/>
                <w:sz w:val="20"/>
                <w:szCs w:val="20"/>
                <w:lang w:val="en-ID" w:eastAsia="en-ID"/>
              </w:rPr>
              <w:t>A workshop with the MoA to share PRISMA's experience in the digitalisation of agriculture.</w:t>
            </w:r>
            <w:bookmarkEnd w:id="395"/>
            <w:r w:rsidRPr="0053072D">
              <w:rPr>
                <w:rFonts w:eastAsia="Times New Roman" w:cs="Arial"/>
                <w:color w:val="000000"/>
                <w:sz w:val="20"/>
                <w:szCs w:val="20"/>
                <w:lang w:val="en-ID" w:eastAsia="en-ID"/>
              </w:rPr>
              <w:t xml:space="preserve"> </w:t>
            </w:r>
          </w:p>
        </w:tc>
        <w:tc>
          <w:tcPr>
            <w:tcW w:w="3118" w:type="dxa"/>
          </w:tcPr>
          <w:p w14:paraId="7989E078" w14:textId="77777777" w:rsidR="00B30B11" w:rsidRPr="0053072D" w:rsidRDefault="00B30B11" w:rsidP="00971661">
            <w:pPr>
              <w:keepNext/>
              <w:keepLines/>
              <w:spacing w:after="80"/>
              <w:ind w:left="37" w:firstLine="14"/>
              <w:outlineLvl w:val="1"/>
              <w:rPr>
                <w:rFonts w:eastAsia="Times New Roman" w:cs="Aptos"/>
                <w:color w:val="000000"/>
                <w:sz w:val="20"/>
                <w:szCs w:val="20"/>
                <w:lang w:val="en-ID" w:eastAsia="en-ID"/>
              </w:rPr>
            </w:pPr>
            <w:bookmarkStart w:id="396" w:name="_Toc173318580"/>
            <w:r w:rsidRPr="0053072D">
              <w:rPr>
                <w:rFonts w:eastAsia="Times New Roman" w:cs="Arial"/>
                <w:color w:val="000000"/>
                <w:sz w:val="20"/>
                <w:szCs w:val="20"/>
                <w:lang w:val="en-ID" w:eastAsia="en-ID"/>
              </w:rPr>
              <w:t>A workshop report</w:t>
            </w:r>
            <w:bookmarkEnd w:id="396"/>
            <w:r w:rsidRPr="0053072D">
              <w:rPr>
                <w:rFonts w:eastAsia="Times New Roman" w:cs="Arial"/>
                <w:color w:val="000000"/>
                <w:sz w:val="20"/>
                <w:szCs w:val="20"/>
                <w:lang w:val="en-ID" w:eastAsia="en-ID"/>
              </w:rPr>
              <w:t xml:space="preserve"> </w:t>
            </w:r>
          </w:p>
        </w:tc>
        <w:tc>
          <w:tcPr>
            <w:tcW w:w="3787" w:type="dxa"/>
          </w:tcPr>
          <w:p w14:paraId="39755A86" w14:textId="56E201C5" w:rsidR="00B30B11" w:rsidRPr="0053072D" w:rsidRDefault="00B30B11" w:rsidP="00971661">
            <w:pPr>
              <w:keepNext/>
              <w:keepLines/>
              <w:spacing w:after="80"/>
              <w:ind w:left="35" w:firstLine="4"/>
              <w:outlineLvl w:val="1"/>
              <w:rPr>
                <w:rFonts w:eastAsia="Times New Roman" w:cs="Arial"/>
                <w:color w:val="000000"/>
                <w:sz w:val="20"/>
                <w:szCs w:val="20"/>
                <w:lang w:val="en-ID" w:eastAsia="en-ID"/>
              </w:rPr>
            </w:pPr>
            <w:bookmarkStart w:id="397" w:name="_Toc173318581"/>
            <w:r w:rsidRPr="0053072D">
              <w:rPr>
                <w:rFonts w:eastAsia="Times New Roman" w:cs="Arial"/>
                <w:color w:val="000000"/>
                <w:sz w:val="20"/>
                <w:szCs w:val="20"/>
                <w:lang w:val="en-ID" w:eastAsia="en-ID"/>
              </w:rPr>
              <w:t>DFAT has reviewed the report on the gender roles of women and men and it will be disseminated to market players in Q3 2024.</w:t>
            </w:r>
            <w:bookmarkEnd w:id="397"/>
          </w:p>
          <w:p w14:paraId="661E9521" w14:textId="64BFAA52" w:rsidR="00B30B11" w:rsidRPr="0053072D" w:rsidRDefault="00B30B11" w:rsidP="00971661">
            <w:pPr>
              <w:keepNext/>
              <w:keepLines/>
              <w:spacing w:after="80"/>
              <w:ind w:left="35" w:firstLine="4"/>
              <w:outlineLvl w:val="1"/>
              <w:rPr>
                <w:rFonts w:eastAsia="Times New Roman" w:cs="Arial"/>
                <w:color w:val="000000"/>
                <w:sz w:val="20"/>
                <w:szCs w:val="20"/>
                <w:lang w:val="en-ID" w:eastAsia="en-ID"/>
              </w:rPr>
            </w:pPr>
            <w:bookmarkStart w:id="398" w:name="_Toc173318582"/>
            <w:r w:rsidRPr="0053072D">
              <w:rPr>
                <w:rFonts w:eastAsia="Times New Roman" w:cs="Arial"/>
                <w:color w:val="000000"/>
                <w:sz w:val="20"/>
                <w:szCs w:val="20"/>
                <w:lang w:val="en-ID" w:eastAsia="en-ID"/>
              </w:rPr>
              <w:t xml:space="preserve">A study on digital agriculture technology, which aims to support Bappenas in developing the </w:t>
            </w:r>
            <w:r w:rsidRPr="0053072D">
              <w:rPr>
                <w:rFonts w:eastAsiaTheme="minorEastAsia"/>
                <w:sz w:val="20"/>
                <w:szCs w:val="20"/>
              </w:rPr>
              <w:t xml:space="preserve"> </w:t>
            </w:r>
            <w:r w:rsidRPr="0053072D">
              <w:rPr>
                <w:rFonts w:eastAsia="Times New Roman" w:cs="Arial"/>
                <w:color w:val="000000"/>
                <w:sz w:val="20"/>
                <w:szCs w:val="20"/>
                <w:lang w:eastAsia="en-ID"/>
              </w:rPr>
              <w:t>National Medium-Term Development Plan (</w:t>
            </w:r>
            <w:r w:rsidRPr="0053072D">
              <w:rPr>
                <w:rFonts w:eastAsia="Times New Roman" w:cs="Arial"/>
                <w:color w:val="000000"/>
                <w:sz w:val="20"/>
                <w:szCs w:val="20"/>
                <w:lang w:val="en-ID" w:eastAsia="en-ID"/>
              </w:rPr>
              <w:t>RPJMN), is ongoing. The result is scheduled to be disseminated in July.</w:t>
            </w:r>
            <w:bookmarkEnd w:id="398"/>
          </w:p>
        </w:tc>
      </w:tr>
    </w:tbl>
    <w:p w14:paraId="02CEE6EC" w14:textId="77777777" w:rsidR="00B30B11" w:rsidRPr="0053072D" w:rsidRDefault="00B30B11" w:rsidP="00B30B11">
      <w:pPr>
        <w:keepNext/>
        <w:keepLines/>
        <w:spacing w:after="120" w:line="240" w:lineRule="auto"/>
        <w:ind w:left="11"/>
        <w:outlineLvl w:val="1"/>
        <w:rPr>
          <w:rFonts w:eastAsia="Times New Roman" w:cs="Arial"/>
          <w:color w:val="000000"/>
          <w:szCs w:val="20"/>
          <w:lang w:val="en-ID" w:eastAsia="en-ID"/>
        </w:rPr>
      </w:pPr>
    </w:p>
    <w:p w14:paraId="567DA760" w14:textId="77777777" w:rsidR="00B30B11" w:rsidRPr="0053072D" w:rsidRDefault="00B30B11" w:rsidP="00B30B11">
      <w:pPr>
        <w:keepNext/>
        <w:keepLines/>
        <w:spacing w:after="120" w:line="240" w:lineRule="auto"/>
        <w:ind w:left="11"/>
        <w:outlineLvl w:val="1"/>
        <w:rPr>
          <w:rFonts w:eastAsia="Times New Roman" w:cs="Arial"/>
          <w:color w:val="000000"/>
          <w:szCs w:val="20"/>
          <w:lang w:val="en-ID" w:eastAsia="en-ID"/>
        </w:rPr>
      </w:pPr>
    </w:p>
    <w:p w14:paraId="2D8AFE32" w14:textId="77777777" w:rsidR="00B30B11" w:rsidRPr="0053072D" w:rsidRDefault="00B30B11" w:rsidP="00B30B11">
      <w:pPr>
        <w:keepNext/>
        <w:keepLines/>
        <w:spacing w:after="120" w:line="240" w:lineRule="auto"/>
        <w:ind w:left="11"/>
        <w:outlineLvl w:val="1"/>
        <w:rPr>
          <w:rFonts w:eastAsia="Times New Roman" w:cs="Arial"/>
          <w:color w:val="000000"/>
          <w:szCs w:val="20"/>
          <w:lang w:val="en-ID" w:eastAsia="en-ID"/>
        </w:rPr>
      </w:pPr>
      <w:r w:rsidRPr="0053072D">
        <w:rPr>
          <w:rFonts w:eastAsia="Times New Roman" w:cs="Arial"/>
          <w:color w:val="000000"/>
          <w:szCs w:val="20"/>
          <w:lang w:val="en-ID" w:eastAsia="en-ID"/>
        </w:rPr>
        <w:br w:type="page"/>
      </w:r>
    </w:p>
    <w:p w14:paraId="4846995B" w14:textId="7C37CAD9" w:rsidR="00B30B11" w:rsidRPr="0053072D" w:rsidRDefault="00B30B11" w:rsidP="00B30B11">
      <w:pPr>
        <w:keepNext/>
        <w:keepLines/>
        <w:spacing w:after="360" w:line="240" w:lineRule="auto"/>
        <w:ind w:left="851"/>
        <w:outlineLvl w:val="1"/>
        <w:rPr>
          <w:rFonts w:eastAsia="Times New Roman" w:cs="Arial"/>
          <w:b/>
          <w:bCs/>
          <w:color w:val="262C66"/>
          <w:szCs w:val="20"/>
          <w:lang w:val="en-ID" w:eastAsia="en-ID"/>
        </w:rPr>
      </w:pPr>
      <w:bookmarkStart w:id="399" w:name="_Toc173318583"/>
      <w:r w:rsidRPr="0053072D">
        <w:rPr>
          <w:rFonts w:eastAsia="Times New Roman" w:cs="Arial"/>
          <w:b/>
          <w:bCs/>
          <w:noProof/>
          <w:color w:val="262C66"/>
          <w:szCs w:val="20"/>
          <w:lang w:val="en-ID" w:eastAsia="en-ID"/>
          <w14:ligatures w14:val="standardContextual"/>
        </w:rPr>
        <w:lastRenderedPageBreak/>
        <w:drawing>
          <wp:anchor distT="0" distB="0" distL="114300" distR="114300" simplePos="0" relativeHeight="251658277" behindDoc="0" locked="0" layoutInCell="1" allowOverlap="1" wp14:anchorId="1FBC2650" wp14:editId="10169FA9">
            <wp:simplePos x="0" y="0"/>
            <wp:positionH relativeFrom="column">
              <wp:posOffset>46990</wp:posOffset>
            </wp:positionH>
            <wp:positionV relativeFrom="paragraph">
              <wp:posOffset>-97014</wp:posOffset>
            </wp:positionV>
            <wp:extent cx="396000" cy="396000"/>
            <wp:effectExtent l="0" t="0" r="0" b="0"/>
            <wp:wrapNone/>
            <wp:docPr id="170378711" name="Graphic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155791" name="Graphic 8">
                      <a:extLst>
                        <a:ext uri="{C183D7F6-B498-43B3-948B-1728B52AA6E4}">
                          <adec:decorative xmlns:adec="http://schemas.microsoft.com/office/drawing/2017/decorative" val="1"/>
                        </a:ext>
                      </a:extLst>
                    </pic:cNvPr>
                    <pic:cNvPicPr/>
                  </pic:nvPicPr>
                  <pic:blipFill>
                    <a:blip r:embed="rId155" cstate="print">
                      <a:extLst>
                        <a:ext uri="{28A0092B-C50C-407E-A947-70E740481C1C}">
                          <a14:useLocalDpi xmlns:a14="http://schemas.microsoft.com/office/drawing/2010/main" val="0"/>
                        </a:ext>
                        <a:ext uri="{96DAC541-7B7A-43D3-8B79-37D633B846F1}">
                          <asvg:svgBlip xmlns:asvg="http://schemas.microsoft.com/office/drawing/2016/SVG/main" r:embed="rId156"/>
                        </a:ext>
                      </a:extLst>
                    </a:blip>
                    <a:stretch>
                      <a:fillRect/>
                    </a:stretch>
                  </pic:blipFill>
                  <pic:spPr>
                    <a:xfrm>
                      <a:off x="0" y="0"/>
                      <a:ext cx="396000" cy="396000"/>
                    </a:xfrm>
                    <a:prstGeom prst="rect">
                      <a:avLst/>
                    </a:prstGeom>
                  </pic:spPr>
                </pic:pic>
              </a:graphicData>
            </a:graphic>
            <wp14:sizeRelH relativeFrom="page">
              <wp14:pctWidth>0</wp14:pctWidth>
            </wp14:sizeRelH>
            <wp14:sizeRelV relativeFrom="page">
              <wp14:pctHeight>0</wp14:pctHeight>
            </wp14:sizeRelV>
          </wp:anchor>
        </w:drawing>
      </w:r>
      <w:r w:rsidR="00321DBB">
        <w:rPr>
          <w:rFonts w:eastAsia="Times New Roman" w:cs="Arial"/>
          <w:b/>
          <w:bCs/>
          <w:color w:val="262C66"/>
          <w:szCs w:val="20"/>
          <w:lang w:val="en-ID" w:eastAsia="en-ID"/>
        </w:rPr>
        <w:t>Progress</w:t>
      </w:r>
      <w:r w:rsidRPr="0053072D">
        <w:rPr>
          <w:rFonts w:eastAsia="Times New Roman" w:cs="Arial"/>
          <w:b/>
          <w:bCs/>
          <w:color w:val="262C66"/>
          <w:szCs w:val="20"/>
          <w:lang w:val="en-ID" w:eastAsia="en-ID"/>
        </w:rPr>
        <w:t>: Maize (Madura and NTT)</w:t>
      </w:r>
      <w:bookmarkEnd w:id="399"/>
    </w:p>
    <w:p w14:paraId="5776260D" w14:textId="166B6070" w:rsidR="00B30B11" w:rsidRPr="0053072D" w:rsidRDefault="00B30B11" w:rsidP="00B30B11">
      <w:pPr>
        <w:keepNext/>
        <w:keepLines/>
        <w:spacing w:before="120" w:after="120" w:line="276" w:lineRule="auto"/>
        <w:contextualSpacing/>
        <w:outlineLvl w:val="1"/>
        <w:rPr>
          <w:rFonts w:eastAsia="Yu Gothic" w:cs="Arial"/>
          <w:b/>
          <w:bCs/>
          <w:color w:val="252D65"/>
          <w:szCs w:val="20"/>
        </w:rPr>
      </w:pPr>
      <w:bookmarkStart w:id="400" w:name="_Toc173318584"/>
      <w:r w:rsidRPr="0053072D">
        <w:rPr>
          <w:rFonts w:eastAsia="Yu Gothic" w:cs="Arial"/>
          <w:b/>
          <w:bCs/>
          <w:color w:val="252D65"/>
          <w:szCs w:val="20"/>
        </w:rPr>
        <w:t>Vision Maize Madura</w:t>
      </w:r>
      <w:bookmarkEnd w:id="400"/>
    </w:p>
    <w:p w14:paraId="6A9EB370" w14:textId="11FEFAF0" w:rsidR="00B30B11" w:rsidRPr="0053072D" w:rsidRDefault="00B30B11" w:rsidP="00B30B11">
      <w:pPr>
        <w:keepNext/>
        <w:keepLines/>
        <w:numPr>
          <w:ilvl w:val="0"/>
          <w:numId w:val="9"/>
        </w:numPr>
        <w:spacing w:after="500" w:line="276" w:lineRule="auto"/>
        <w:ind w:right="-6"/>
        <w:contextualSpacing/>
        <w:outlineLvl w:val="1"/>
        <w:rPr>
          <w:rFonts w:eastAsia="Yu Gothic" w:cs="Arial"/>
          <w:color w:val="000000"/>
          <w:szCs w:val="20"/>
        </w:rPr>
      </w:pPr>
      <w:bookmarkStart w:id="401" w:name="_Toc173318585"/>
      <w:r w:rsidRPr="0053072D">
        <w:rPr>
          <w:rFonts w:eastAsia="Yu Gothic" w:cs="Arial"/>
          <w:color w:val="000000"/>
          <w:szCs w:val="20"/>
        </w:rPr>
        <w:t>Smallholder maize farmers in Madura use quality hybrid seeds and GAP to increase production and productivity. PRISMA will achieve this by working with seed companies to improve private sector investment in the seed market and by facilitating public-private collaboration to improve the delivery of government subsidy programs. By the end of the program, PRISMA aims for more than 16% of smallholder maize farmers in Madura to increase production and productivity by adopting hybrid seeds and applying GAP.</w:t>
      </w:r>
      <w:bookmarkEnd w:id="401"/>
    </w:p>
    <w:p w14:paraId="6556AD0C" w14:textId="1065A2C7" w:rsidR="00B30B11" w:rsidRPr="0053072D" w:rsidRDefault="00B30B11" w:rsidP="00B30B11">
      <w:pPr>
        <w:keepNext/>
        <w:keepLines/>
        <w:spacing w:before="120" w:after="120" w:line="276" w:lineRule="auto"/>
        <w:contextualSpacing/>
        <w:outlineLvl w:val="1"/>
        <w:rPr>
          <w:rFonts w:eastAsia="Yu Gothic" w:cs="Arial"/>
          <w:b/>
          <w:bCs/>
          <w:color w:val="252D65"/>
          <w:szCs w:val="20"/>
        </w:rPr>
      </w:pPr>
      <w:bookmarkStart w:id="402" w:name="_Toc173318586"/>
      <w:r w:rsidRPr="0053072D">
        <w:rPr>
          <w:rFonts w:eastAsia="Yu Gothic" w:cs="Arial"/>
          <w:b/>
          <w:bCs/>
          <w:color w:val="252D65"/>
          <w:szCs w:val="20"/>
        </w:rPr>
        <w:t>Vision Maize NTT</w:t>
      </w:r>
      <w:bookmarkEnd w:id="402"/>
    </w:p>
    <w:p w14:paraId="49398BA3" w14:textId="28DA3116" w:rsidR="00B30B11" w:rsidRPr="0053072D" w:rsidRDefault="00B30B11" w:rsidP="00B30B11">
      <w:pPr>
        <w:keepNext/>
        <w:keepLines/>
        <w:numPr>
          <w:ilvl w:val="0"/>
          <w:numId w:val="9"/>
        </w:numPr>
        <w:spacing w:after="500" w:line="276" w:lineRule="auto"/>
        <w:ind w:right="-6"/>
        <w:contextualSpacing/>
        <w:outlineLvl w:val="1"/>
        <w:rPr>
          <w:rFonts w:eastAsia="Yu Gothic" w:cs="Arial"/>
          <w:color w:val="000000"/>
          <w:szCs w:val="20"/>
        </w:rPr>
      </w:pPr>
      <w:bookmarkStart w:id="403" w:name="_Toc173318587"/>
      <w:r w:rsidRPr="0053072D">
        <w:rPr>
          <w:rFonts w:eastAsia="Yu Gothic" w:cs="Arial"/>
          <w:color w:val="000000"/>
          <w:szCs w:val="20"/>
        </w:rPr>
        <w:t>Smallholder farmers in NTT use certified maize seeds and apply GAP properly. PRISMA will achieve this by (1) improving the capacity of open-pollinated variety (OPV) seed producers (nurseries) to produce quality seed and developing the commercial seed market, (2) facilitating local governments in the development and implementation of their maize sector strategy, and (3) promoting GAP information for farmers. Following the feasibility analysis of off-taking business opportunities, PRISMA dropped this function and focused on 3 market function areas around quality certified seed, market supporting policy, and information on GAP.</w:t>
      </w:r>
      <w:bookmarkEnd w:id="403"/>
    </w:p>
    <w:p w14:paraId="3FAEC3BB" w14:textId="77777777" w:rsidR="00B30B11" w:rsidRPr="0053072D" w:rsidRDefault="00B30B11" w:rsidP="00B30B11">
      <w:pPr>
        <w:keepNext/>
        <w:keepLines/>
        <w:spacing w:after="500" w:line="276" w:lineRule="auto"/>
        <w:ind w:left="720" w:right="-6"/>
        <w:contextualSpacing/>
        <w:outlineLvl w:val="1"/>
        <w:rPr>
          <w:rFonts w:eastAsia="Yu Gothic" w:cs="Arial"/>
          <w:color w:val="000000"/>
          <w:szCs w:val="20"/>
        </w:rPr>
      </w:pPr>
    </w:p>
    <w:tbl>
      <w:tblPr>
        <w:tblStyle w:val="TableGrid1"/>
        <w:tblpPr w:leftFromText="181" w:rightFromText="181" w:vertAnchor="text" w:tblpY="1"/>
        <w:tblOverlap w:val="never"/>
        <w:tblW w:w="0" w:type="auto"/>
        <w:tblBorders>
          <w:top w:val="none" w:sz="0" w:space="0" w:color="auto"/>
          <w:left w:val="none" w:sz="0" w:space="0" w:color="auto"/>
          <w:bottom w:val="single" w:sz="4" w:space="0" w:color="000000"/>
          <w:right w:val="none" w:sz="0" w:space="0" w:color="auto"/>
          <w:insideH w:val="single" w:sz="4" w:space="0" w:color="000000"/>
          <w:insideV w:val="none" w:sz="0" w:space="0" w:color="auto"/>
        </w:tblBorders>
        <w:tblCellMar>
          <w:top w:w="170" w:type="dxa"/>
          <w:bottom w:w="113" w:type="dxa"/>
          <w:right w:w="170" w:type="dxa"/>
        </w:tblCellMar>
        <w:tblLook w:val="06A0" w:firstRow="1" w:lastRow="0" w:firstColumn="1" w:lastColumn="0" w:noHBand="1" w:noVBand="1"/>
      </w:tblPr>
      <w:tblGrid>
        <w:gridCol w:w="2122"/>
        <w:gridCol w:w="2835"/>
        <w:gridCol w:w="2698"/>
        <w:gridCol w:w="3118"/>
        <w:gridCol w:w="3787"/>
      </w:tblGrid>
      <w:tr w:rsidR="00B30B11" w:rsidRPr="0053072D" w14:paraId="0A927AD4" w14:textId="77777777" w:rsidTr="00EE453C">
        <w:tc>
          <w:tcPr>
            <w:tcW w:w="2122" w:type="dxa"/>
            <w:tcBorders>
              <w:top w:val="nil"/>
              <w:bottom w:val="nil"/>
              <w:right w:val="single" w:sz="4" w:space="0" w:color="FFFFFF" w:themeColor="background2"/>
            </w:tcBorders>
            <w:shd w:val="clear" w:color="auto" w:fill="262C66"/>
          </w:tcPr>
          <w:p w14:paraId="2E97BCC5" w14:textId="06069965" w:rsidR="00B30B11" w:rsidRPr="0053072D" w:rsidRDefault="00B30B11" w:rsidP="00F01D1A">
            <w:pPr>
              <w:keepNext/>
              <w:keepLines/>
              <w:spacing w:before="60" w:after="60"/>
              <w:ind w:left="11"/>
              <w:jc w:val="center"/>
              <w:outlineLvl w:val="1"/>
              <w:rPr>
                <w:rFonts w:eastAsia="Times New Roman" w:cs="Arial"/>
                <w:b/>
                <w:bCs/>
                <w:color w:val="FFFFFF"/>
                <w:sz w:val="20"/>
                <w:szCs w:val="20"/>
                <w:lang w:val="en-ID" w:eastAsia="en-ID"/>
              </w:rPr>
            </w:pPr>
            <w:bookmarkStart w:id="404" w:name="_Toc173318588"/>
            <w:r w:rsidRPr="0053072D">
              <w:rPr>
                <w:rFonts w:eastAsia="Times New Roman" w:cs="Arial"/>
                <w:b/>
                <w:bCs/>
                <w:color w:val="FFFFFF"/>
                <w:sz w:val="20"/>
                <w:szCs w:val="20"/>
                <w:lang w:val="en-ID" w:eastAsia="en-ID"/>
              </w:rPr>
              <w:t>Exit strategies</w:t>
            </w:r>
            <w:bookmarkEnd w:id="404"/>
          </w:p>
        </w:tc>
        <w:tc>
          <w:tcPr>
            <w:tcW w:w="2835" w:type="dxa"/>
            <w:tcBorders>
              <w:top w:val="nil"/>
              <w:left w:val="single" w:sz="4" w:space="0" w:color="FFFFFF" w:themeColor="background2"/>
              <w:bottom w:val="nil"/>
              <w:right w:val="single" w:sz="4" w:space="0" w:color="FFFFFF" w:themeColor="background2"/>
            </w:tcBorders>
            <w:shd w:val="clear" w:color="auto" w:fill="262C66"/>
          </w:tcPr>
          <w:p w14:paraId="0E319142" w14:textId="0B7B351D" w:rsidR="00B30B11" w:rsidRPr="0053072D" w:rsidRDefault="00B30B11" w:rsidP="00F01D1A">
            <w:pPr>
              <w:keepNext/>
              <w:keepLines/>
              <w:spacing w:before="60" w:after="60"/>
              <w:ind w:left="11"/>
              <w:jc w:val="center"/>
              <w:outlineLvl w:val="1"/>
              <w:rPr>
                <w:rFonts w:eastAsia="Times New Roman" w:cs="Arial"/>
                <w:b/>
                <w:bCs/>
                <w:color w:val="FFFFFF"/>
                <w:sz w:val="20"/>
                <w:szCs w:val="20"/>
                <w:lang w:val="en-ID" w:eastAsia="en-ID"/>
              </w:rPr>
            </w:pPr>
            <w:bookmarkStart w:id="405" w:name="_Toc173318589"/>
            <w:r w:rsidRPr="0053072D">
              <w:rPr>
                <w:rFonts w:eastAsia="Times New Roman" w:cs="Arial"/>
                <w:b/>
                <w:bCs/>
                <w:color w:val="FFFFFF"/>
                <w:sz w:val="20"/>
                <w:szCs w:val="20"/>
                <w:lang w:val="en-ID" w:eastAsia="en-ID"/>
              </w:rPr>
              <w:t>Focus areas</w:t>
            </w:r>
            <w:bookmarkEnd w:id="405"/>
          </w:p>
        </w:tc>
        <w:tc>
          <w:tcPr>
            <w:tcW w:w="2698" w:type="dxa"/>
            <w:tcBorders>
              <w:top w:val="nil"/>
              <w:left w:val="single" w:sz="4" w:space="0" w:color="FFFFFF" w:themeColor="background2"/>
              <w:bottom w:val="nil"/>
              <w:right w:val="single" w:sz="4" w:space="0" w:color="FFFFFF" w:themeColor="background2"/>
            </w:tcBorders>
            <w:shd w:val="clear" w:color="auto" w:fill="262C66"/>
          </w:tcPr>
          <w:p w14:paraId="1E9E5397" w14:textId="0AD880B0" w:rsidR="00B30B11" w:rsidRPr="0053072D" w:rsidRDefault="00B30B11" w:rsidP="00F01D1A">
            <w:pPr>
              <w:keepNext/>
              <w:keepLines/>
              <w:spacing w:before="60" w:after="60"/>
              <w:ind w:left="11"/>
              <w:jc w:val="center"/>
              <w:outlineLvl w:val="1"/>
              <w:rPr>
                <w:rFonts w:eastAsia="Times New Roman" w:cs="Arial"/>
                <w:b/>
                <w:bCs/>
                <w:color w:val="FFFFFF"/>
                <w:sz w:val="20"/>
                <w:szCs w:val="20"/>
                <w:lang w:val="en-ID" w:eastAsia="en-ID"/>
              </w:rPr>
            </w:pPr>
            <w:bookmarkStart w:id="406" w:name="_Toc173318590"/>
            <w:r w:rsidRPr="0053072D">
              <w:rPr>
                <w:rFonts w:eastAsia="Times New Roman" w:cs="Arial"/>
                <w:b/>
                <w:bCs/>
                <w:color w:val="FFFFFF"/>
                <w:sz w:val="20"/>
                <w:szCs w:val="20"/>
                <w:lang w:val="en-ID" w:eastAsia="en-ID"/>
              </w:rPr>
              <w:t>Planned initiatives</w:t>
            </w:r>
            <w:bookmarkEnd w:id="406"/>
          </w:p>
        </w:tc>
        <w:tc>
          <w:tcPr>
            <w:tcW w:w="3118" w:type="dxa"/>
            <w:tcBorders>
              <w:top w:val="nil"/>
              <w:left w:val="single" w:sz="4" w:space="0" w:color="FFFFFF" w:themeColor="background2"/>
              <w:bottom w:val="nil"/>
              <w:right w:val="single" w:sz="4" w:space="0" w:color="FFFFFF" w:themeColor="background2"/>
            </w:tcBorders>
            <w:shd w:val="clear" w:color="auto" w:fill="262C66"/>
          </w:tcPr>
          <w:p w14:paraId="3AF98DB0" w14:textId="24F42E01" w:rsidR="00B30B11" w:rsidRPr="0053072D" w:rsidRDefault="00B30B11" w:rsidP="00F01D1A">
            <w:pPr>
              <w:keepNext/>
              <w:keepLines/>
              <w:spacing w:before="60" w:after="60"/>
              <w:ind w:left="11"/>
              <w:jc w:val="center"/>
              <w:outlineLvl w:val="1"/>
              <w:rPr>
                <w:rFonts w:eastAsia="Times New Roman" w:cs="Arial"/>
                <w:b/>
                <w:bCs/>
                <w:color w:val="FFFFFF"/>
                <w:sz w:val="20"/>
                <w:szCs w:val="20"/>
                <w:lang w:val="en-ID" w:eastAsia="en-ID"/>
              </w:rPr>
            </w:pPr>
            <w:bookmarkStart w:id="407" w:name="_Toc173318591"/>
            <w:r w:rsidRPr="0053072D">
              <w:rPr>
                <w:rFonts w:eastAsia="Times New Roman" w:cs="Arial"/>
                <w:b/>
                <w:bCs/>
                <w:color w:val="FFFFFF"/>
                <w:sz w:val="20"/>
                <w:szCs w:val="20"/>
                <w:lang w:val="en-ID" w:eastAsia="en-ID"/>
              </w:rPr>
              <w:t>Expected outputs</w:t>
            </w:r>
            <w:bookmarkEnd w:id="407"/>
          </w:p>
        </w:tc>
        <w:tc>
          <w:tcPr>
            <w:tcW w:w="3787" w:type="dxa"/>
            <w:tcBorders>
              <w:top w:val="nil"/>
              <w:left w:val="single" w:sz="4" w:space="0" w:color="FFFFFF" w:themeColor="background2"/>
              <w:bottom w:val="nil"/>
            </w:tcBorders>
            <w:shd w:val="clear" w:color="auto" w:fill="262C66"/>
          </w:tcPr>
          <w:p w14:paraId="12BD7DDE" w14:textId="2598A797" w:rsidR="00B30B11" w:rsidRPr="0053072D" w:rsidRDefault="00B30B11" w:rsidP="00F01D1A">
            <w:pPr>
              <w:keepNext/>
              <w:keepLines/>
              <w:spacing w:before="60" w:after="60"/>
              <w:ind w:left="11"/>
              <w:jc w:val="center"/>
              <w:outlineLvl w:val="1"/>
              <w:rPr>
                <w:rFonts w:eastAsia="Times New Roman" w:cs="Arial"/>
                <w:b/>
                <w:bCs/>
                <w:color w:val="FFFFFF"/>
                <w:sz w:val="20"/>
                <w:szCs w:val="20"/>
                <w:lang w:val="en-ID" w:eastAsia="en-ID"/>
              </w:rPr>
            </w:pPr>
            <w:bookmarkStart w:id="408" w:name="_Toc173318592"/>
            <w:r w:rsidRPr="0053072D">
              <w:rPr>
                <w:rFonts w:eastAsia="Times New Roman" w:cs="Arial"/>
                <w:b/>
                <w:bCs/>
                <w:color w:val="FFFFFF"/>
                <w:sz w:val="20"/>
                <w:szCs w:val="20"/>
                <w:lang w:val="en-ID" w:eastAsia="en-ID"/>
              </w:rPr>
              <w:t>Progress update</w:t>
            </w:r>
            <w:bookmarkEnd w:id="408"/>
          </w:p>
        </w:tc>
      </w:tr>
      <w:tr w:rsidR="00B30B11" w:rsidRPr="0053072D" w14:paraId="0BAF4F80" w14:textId="77777777" w:rsidTr="002D6DCE">
        <w:tc>
          <w:tcPr>
            <w:tcW w:w="14560" w:type="dxa"/>
            <w:gridSpan w:val="5"/>
            <w:tcBorders>
              <w:top w:val="nil"/>
              <w:bottom w:val="nil"/>
            </w:tcBorders>
            <w:shd w:val="clear" w:color="auto" w:fill="C7F7FD" w:themeFill="accent1" w:themeFillTint="33"/>
          </w:tcPr>
          <w:p w14:paraId="307ECDF0" w14:textId="6A88DDDB" w:rsidR="00B30B11" w:rsidRPr="0053072D" w:rsidRDefault="00B30B11" w:rsidP="00EE453C">
            <w:pPr>
              <w:keepNext/>
              <w:keepLines/>
              <w:spacing w:after="120"/>
              <w:ind w:left="11"/>
              <w:jc w:val="center"/>
              <w:outlineLvl w:val="1"/>
              <w:rPr>
                <w:rFonts w:eastAsia="Times New Roman" w:cs="Arial"/>
                <w:b/>
                <w:bCs/>
                <w:color w:val="000000"/>
                <w:sz w:val="20"/>
                <w:szCs w:val="20"/>
                <w:lang w:val="en-ID" w:eastAsia="en-ID"/>
              </w:rPr>
            </w:pPr>
            <w:bookmarkStart w:id="409" w:name="_Toc173318593"/>
            <w:r w:rsidRPr="0053072D">
              <w:rPr>
                <w:rFonts w:eastAsia="Times New Roman" w:cs="Arial"/>
                <w:b/>
                <w:bCs/>
                <w:color w:val="262C66"/>
                <w:sz w:val="20"/>
                <w:szCs w:val="20"/>
                <w:lang w:val="en-ID" w:eastAsia="en-ID"/>
              </w:rPr>
              <w:t>Maize Madura</w:t>
            </w:r>
            <w:bookmarkEnd w:id="409"/>
          </w:p>
        </w:tc>
      </w:tr>
      <w:tr w:rsidR="00B30B11" w:rsidRPr="0053072D" w14:paraId="7121C3DE" w14:textId="77777777" w:rsidTr="00EE453C">
        <w:tc>
          <w:tcPr>
            <w:tcW w:w="2122" w:type="dxa"/>
            <w:tcBorders>
              <w:top w:val="nil"/>
            </w:tcBorders>
          </w:tcPr>
          <w:p w14:paraId="5F8996C6" w14:textId="1003BC00"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10" w:name="_Toc173318594"/>
            <w:r w:rsidRPr="0053072D">
              <w:rPr>
                <w:rFonts w:eastAsia="Times New Roman" w:cs="Aptos"/>
                <w:color w:val="000000"/>
                <w:sz w:val="20"/>
                <w:szCs w:val="20"/>
                <w:lang w:val="en-ID" w:eastAsia="en-ID"/>
              </w:rPr>
              <w:t>Strategies towards ensuring greater sustainability</w:t>
            </w:r>
            <w:bookmarkEnd w:id="410"/>
          </w:p>
        </w:tc>
        <w:tc>
          <w:tcPr>
            <w:tcW w:w="2835" w:type="dxa"/>
            <w:tcBorders>
              <w:top w:val="nil"/>
            </w:tcBorders>
          </w:tcPr>
          <w:p w14:paraId="3C6A0964" w14:textId="3BCF8C9F"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11" w:name="_Toc173318595"/>
            <w:r w:rsidRPr="0053072D">
              <w:rPr>
                <w:rFonts w:eastAsia="Times New Roman" w:cs="Aptos"/>
                <w:color w:val="000000"/>
                <w:sz w:val="20"/>
                <w:szCs w:val="20"/>
                <w:lang w:val="en-ID" w:eastAsia="en-ID"/>
              </w:rPr>
              <w:t>Supporting the district office in Madura to disseminate market opportunities and sustainable, inclusive business strategies for Madura to more companies.</w:t>
            </w:r>
            <w:bookmarkEnd w:id="411"/>
          </w:p>
        </w:tc>
        <w:tc>
          <w:tcPr>
            <w:tcW w:w="2698" w:type="dxa"/>
            <w:tcBorders>
              <w:top w:val="nil"/>
            </w:tcBorders>
          </w:tcPr>
          <w:p w14:paraId="4AF7048A"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12" w:name="_Toc173318596"/>
            <w:r w:rsidRPr="0053072D">
              <w:rPr>
                <w:rFonts w:eastAsia="Times New Roman" w:cs="Aptos"/>
                <w:color w:val="000000"/>
                <w:sz w:val="20"/>
                <w:szCs w:val="20"/>
                <w:lang w:val="en-ID" w:eastAsia="en-ID"/>
              </w:rPr>
              <w:t>Capture the new market entry and expansion of companies in Madura.</w:t>
            </w:r>
            <w:bookmarkEnd w:id="412"/>
            <w:r w:rsidRPr="0053072D">
              <w:rPr>
                <w:rFonts w:eastAsia="Times New Roman" w:cs="Aptos"/>
                <w:color w:val="000000"/>
                <w:sz w:val="20"/>
                <w:szCs w:val="20"/>
                <w:lang w:val="en-ID" w:eastAsia="en-ID"/>
              </w:rPr>
              <w:t xml:space="preserve"> </w:t>
            </w:r>
          </w:p>
        </w:tc>
        <w:tc>
          <w:tcPr>
            <w:tcW w:w="3118" w:type="dxa"/>
            <w:tcBorders>
              <w:top w:val="nil"/>
            </w:tcBorders>
          </w:tcPr>
          <w:p w14:paraId="0175F95A" w14:textId="77777777" w:rsidR="00B30B11" w:rsidRPr="0053072D" w:rsidRDefault="00B30B11" w:rsidP="00F01D1A">
            <w:pPr>
              <w:keepNext/>
              <w:keepLines/>
              <w:spacing w:after="80"/>
              <w:ind w:left="37" w:firstLine="14"/>
              <w:outlineLvl w:val="1"/>
              <w:rPr>
                <w:rFonts w:eastAsia="Times New Roman" w:cs="Arial"/>
                <w:color w:val="000000"/>
                <w:sz w:val="20"/>
                <w:szCs w:val="20"/>
                <w:lang w:val="en-ID" w:eastAsia="en-ID"/>
              </w:rPr>
            </w:pPr>
            <w:bookmarkStart w:id="413" w:name="_Toc173318597"/>
            <w:r w:rsidRPr="0053072D">
              <w:rPr>
                <w:rFonts w:eastAsia="Times New Roman" w:cs="Arial"/>
                <w:color w:val="000000"/>
                <w:sz w:val="20"/>
                <w:szCs w:val="20"/>
                <w:lang w:val="en-ID" w:eastAsia="en-ID"/>
              </w:rPr>
              <w:t>List of new entries and expansions of private companies in Madura since September 2023</w:t>
            </w:r>
            <w:bookmarkEnd w:id="413"/>
            <w:r w:rsidRPr="0053072D">
              <w:rPr>
                <w:rFonts w:eastAsia="Times New Roman" w:cs="Arial"/>
                <w:color w:val="000000"/>
                <w:sz w:val="20"/>
                <w:szCs w:val="20"/>
                <w:lang w:val="en-ID" w:eastAsia="en-ID"/>
              </w:rPr>
              <w:t xml:space="preserve"> </w:t>
            </w:r>
          </w:p>
        </w:tc>
        <w:tc>
          <w:tcPr>
            <w:tcW w:w="3787" w:type="dxa"/>
            <w:tcBorders>
              <w:top w:val="nil"/>
            </w:tcBorders>
          </w:tcPr>
          <w:p w14:paraId="25EBB5A8" w14:textId="64279B86" w:rsidR="00B30B11" w:rsidRPr="0053072D" w:rsidRDefault="00B30B11" w:rsidP="00EE453C">
            <w:pPr>
              <w:keepNext/>
              <w:keepLines/>
              <w:spacing w:after="120"/>
              <w:ind w:left="11"/>
              <w:outlineLvl w:val="1"/>
              <w:rPr>
                <w:rFonts w:eastAsia="Times New Roman" w:cs="Arial"/>
                <w:sz w:val="20"/>
                <w:szCs w:val="20"/>
                <w:lang w:val="en-ID" w:eastAsia="en-ID"/>
              </w:rPr>
            </w:pPr>
            <w:bookmarkStart w:id="414" w:name="_Toc173318598"/>
            <w:r w:rsidRPr="0053072D">
              <w:rPr>
                <w:rFonts w:eastAsia="Times New Roman" w:cs="Arial"/>
                <w:sz w:val="20"/>
                <w:szCs w:val="20"/>
                <w:lang w:val="en-ID" w:eastAsia="en-ID"/>
              </w:rPr>
              <w:t>As part of the follow-up to the socialisation event on market opportunities for seed companies conducted in August 2023, PRISMA continues to communicate with several seed companies to encourage them to carry out demo plots using a monoculture or intercropping method following the planting pattern in villages.</w:t>
            </w:r>
            <w:bookmarkEnd w:id="414"/>
          </w:p>
          <w:p w14:paraId="5EA4BE34" w14:textId="2E688ECC" w:rsidR="00B30B11" w:rsidRPr="0053072D" w:rsidRDefault="00B30B11" w:rsidP="00EE453C">
            <w:pPr>
              <w:keepNext/>
              <w:keepLines/>
              <w:spacing w:after="120"/>
              <w:ind w:left="11"/>
              <w:outlineLvl w:val="1"/>
              <w:rPr>
                <w:rFonts w:eastAsia="Times New Roman" w:cs="Arial"/>
                <w:color w:val="C00000"/>
                <w:sz w:val="20"/>
                <w:szCs w:val="20"/>
                <w:lang w:val="en-ID" w:eastAsia="en-ID"/>
              </w:rPr>
            </w:pPr>
            <w:bookmarkStart w:id="415" w:name="_Toc173318599"/>
            <w:r w:rsidRPr="0053072D">
              <w:rPr>
                <w:rFonts w:eastAsia="Times New Roman" w:cs="Arial"/>
                <w:sz w:val="20"/>
                <w:szCs w:val="20"/>
                <w:lang w:val="en-ID" w:eastAsia="en-ID"/>
              </w:rPr>
              <w:t xml:space="preserve">Two new seed producers conducted demo plots in Madura, while 4 others expanded their seed distribution in the area. However, all of them focused on </w:t>
            </w:r>
            <w:r w:rsidRPr="0053072D">
              <w:rPr>
                <w:rFonts w:eastAsia="Times New Roman" w:cs="Arial"/>
                <w:sz w:val="20"/>
                <w:szCs w:val="20"/>
                <w:lang w:val="en-ID" w:eastAsia="en-ID"/>
              </w:rPr>
              <w:lastRenderedPageBreak/>
              <w:t>monocultures, and these new entries did not actively promote themselves to farmers. PRISMA will hold one more learning-sharing activity in August 2024.</w:t>
            </w:r>
            <w:bookmarkEnd w:id="415"/>
          </w:p>
        </w:tc>
      </w:tr>
      <w:tr w:rsidR="00B30B11" w:rsidRPr="0053072D" w14:paraId="3BE099C8" w14:textId="77777777" w:rsidTr="00EE453C">
        <w:tc>
          <w:tcPr>
            <w:tcW w:w="2122" w:type="dxa"/>
            <w:vMerge w:val="restart"/>
          </w:tcPr>
          <w:p w14:paraId="3763FE41" w14:textId="498A6F43"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16" w:name="_Toc173318600"/>
            <w:r w:rsidRPr="0053072D">
              <w:rPr>
                <w:rFonts w:eastAsia="Times New Roman" w:cs="Aptos"/>
                <w:color w:val="000000"/>
                <w:sz w:val="20"/>
                <w:szCs w:val="20"/>
                <w:lang w:val="en-ID" w:eastAsia="en-ID"/>
              </w:rPr>
              <w:lastRenderedPageBreak/>
              <w:t>Policy initiatives</w:t>
            </w:r>
            <w:bookmarkEnd w:id="416"/>
          </w:p>
        </w:tc>
        <w:tc>
          <w:tcPr>
            <w:tcW w:w="2835" w:type="dxa"/>
          </w:tcPr>
          <w:p w14:paraId="121DDEF4" w14:textId="6237C045"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17" w:name="_Toc173318601"/>
            <w:r w:rsidRPr="0053072D">
              <w:rPr>
                <w:rFonts w:eastAsia="Times New Roman" w:cs="Aptos"/>
                <w:color w:val="000000"/>
                <w:sz w:val="20"/>
                <w:szCs w:val="20"/>
                <w:lang w:val="en-ID" w:eastAsia="en-ID"/>
              </w:rPr>
              <w:t>Institutionalising the smart subsidy in Madura</w:t>
            </w:r>
            <w:bookmarkEnd w:id="417"/>
          </w:p>
        </w:tc>
        <w:tc>
          <w:tcPr>
            <w:tcW w:w="2698" w:type="dxa"/>
          </w:tcPr>
          <w:p w14:paraId="1EFEFA3A" w14:textId="5FF784F3"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18" w:name="_Toc173318602"/>
            <w:r w:rsidRPr="0053072D">
              <w:rPr>
                <w:rFonts w:eastAsia="Times New Roman" w:cs="Aptos"/>
                <w:color w:val="000000"/>
                <w:sz w:val="20"/>
                <w:szCs w:val="20"/>
                <w:lang w:val="en-ID" w:eastAsia="en-ID"/>
              </w:rPr>
              <w:t>Assist the district office in releasing official guidelines on the smart subsidy.</w:t>
            </w:r>
            <w:bookmarkEnd w:id="418"/>
          </w:p>
        </w:tc>
        <w:tc>
          <w:tcPr>
            <w:tcW w:w="3118" w:type="dxa"/>
          </w:tcPr>
          <w:p w14:paraId="36D256C4" w14:textId="175A2E5E" w:rsidR="00B30B11" w:rsidRPr="0053072D" w:rsidRDefault="00B30B11" w:rsidP="00F01D1A">
            <w:pPr>
              <w:keepNext/>
              <w:keepLines/>
              <w:spacing w:after="80"/>
              <w:ind w:left="37" w:firstLine="14"/>
              <w:outlineLvl w:val="1"/>
              <w:rPr>
                <w:rFonts w:eastAsia="Times New Roman" w:cs="Arial"/>
                <w:color w:val="000000"/>
                <w:sz w:val="20"/>
                <w:szCs w:val="20"/>
                <w:lang w:val="en-ID" w:eastAsia="en-ID"/>
              </w:rPr>
            </w:pPr>
            <w:bookmarkStart w:id="419" w:name="_Toc173318603"/>
            <w:r w:rsidRPr="0053072D">
              <w:rPr>
                <w:rFonts w:eastAsia="Times New Roman" w:cs="Arial"/>
                <w:color w:val="000000"/>
                <w:sz w:val="20"/>
                <w:szCs w:val="20"/>
                <w:lang w:val="en-ID" w:eastAsia="en-ID"/>
              </w:rPr>
              <w:t>Official guidelines signed by the district office</w:t>
            </w:r>
            <w:bookmarkEnd w:id="419"/>
          </w:p>
        </w:tc>
        <w:tc>
          <w:tcPr>
            <w:tcW w:w="3787" w:type="dxa"/>
          </w:tcPr>
          <w:p w14:paraId="3E5772EC" w14:textId="36A75A50"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20" w:name="_Toc173318604"/>
            <w:r w:rsidRPr="0053072D">
              <w:rPr>
                <w:rFonts w:eastAsia="Times New Roman" w:cs="Arial"/>
                <w:color w:val="000000"/>
                <w:sz w:val="20"/>
                <w:szCs w:val="20"/>
                <w:lang w:val="en-ID" w:eastAsia="en-ID"/>
              </w:rPr>
              <w:t>In April 2024, PRISMA and the Sumenep Food and Agriculture Security Service (DKPP) held a FGD to discuss draft guidelines for determining prospective subsidy recipient candidates (Prospective Farmers and Location Candidates/CPCL) based on smart subsidy principles. This document aims to guide DKPP Sumenep in determining suitable areas for seed subsidy allocation to encourage wider adoption of high quality seeds. It includes guidelines for updating the database to periodically and continuously monitor developments in the commercial seed market so that DKPP Sumenep can prioritise subsidy allocation in new development areas. The final draft of the guidelines has been shared with the district office. PRISMA is following up on its official release.</w:t>
            </w:r>
            <w:bookmarkEnd w:id="420"/>
          </w:p>
        </w:tc>
      </w:tr>
      <w:tr w:rsidR="00B30B11" w:rsidRPr="0053072D" w14:paraId="6B614B47" w14:textId="77777777" w:rsidTr="00EE453C">
        <w:tc>
          <w:tcPr>
            <w:tcW w:w="2122" w:type="dxa"/>
            <w:vMerge/>
          </w:tcPr>
          <w:p w14:paraId="32786386"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835" w:type="dxa"/>
          </w:tcPr>
          <w:p w14:paraId="4F8EEBAA" w14:textId="3181593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21" w:name="_Toc173318605"/>
            <w:r w:rsidRPr="0053072D">
              <w:rPr>
                <w:rFonts w:eastAsia="Times New Roman" w:cs="Aptos"/>
                <w:color w:val="000000"/>
                <w:sz w:val="20"/>
                <w:szCs w:val="20"/>
                <w:lang w:val="en-ID" w:eastAsia="en-ID"/>
              </w:rPr>
              <w:t>Implementing the smart subsidy in Central Java</w:t>
            </w:r>
            <w:bookmarkEnd w:id="421"/>
          </w:p>
        </w:tc>
        <w:tc>
          <w:tcPr>
            <w:tcW w:w="2698" w:type="dxa"/>
          </w:tcPr>
          <w:p w14:paraId="38F3A662" w14:textId="5CA94B3E"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22" w:name="_Toc173318606"/>
            <w:r w:rsidRPr="0053072D">
              <w:rPr>
                <w:rFonts w:eastAsia="Times New Roman" w:cs="Aptos"/>
                <w:color w:val="000000"/>
                <w:sz w:val="20"/>
                <w:szCs w:val="20"/>
                <w:lang w:val="en-ID" w:eastAsia="en-ID"/>
              </w:rPr>
              <w:t>Assist provincial and district offices in implementing the technical guidelines on the smart subsidy in Central Java.</w:t>
            </w:r>
            <w:bookmarkEnd w:id="422"/>
          </w:p>
        </w:tc>
        <w:tc>
          <w:tcPr>
            <w:tcW w:w="3118" w:type="dxa"/>
          </w:tcPr>
          <w:p w14:paraId="7642DE55" w14:textId="0CDCABF3" w:rsidR="00B30B11" w:rsidRPr="0053072D" w:rsidRDefault="00B30B11" w:rsidP="00F01D1A">
            <w:pPr>
              <w:keepNext/>
              <w:keepLines/>
              <w:spacing w:after="80"/>
              <w:ind w:left="37" w:firstLine="14"/>
              <w:outlineLvl w:val="1"/>
              <w:rPr>
                <w:rFonts w:eastAsia="Times New Roman" w:cs="Arial"/>
                <w:color w:val="000000"/>
                <w:sz w:val="20"/>
                <w:szCs w:val="20"/>
                <w:lang w:val="en-ID" w:eastAsia="en-ID"/>
              </w:rPr>
            </w:pPr>
            <w:bookmarkStart w:id="423" w:name="_Toc173318607"/>
            <w:r w:rsidRPr="0053072D">
              <w:rPr>
                <w:rFonts w:eastAsia="Times New Roman" w:cs="Arial"/>
                <w:color w:val="000000"/>
                <w:sz w:val="20"/>
                <w:szCs w:val="20"/>
                <w:lang w:val="en-ID" w:eastAsia="en-ID"/>
              </w:rPr>
              <w:t>A report on data and progress of the implementation</w:t>
            </w:r>
            <w:bookmarkEnd w:id="423"/>
          </w:p>
        </w:tc>
        <w:tc>
          <w:tcPr>
            <w:tcW w:w="3787" w:type="dxa"/>
          </w:tcPr>
          <w:p w14:paraId="7E584FD2"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24" w:name="_Toc173318608"/>
            <w:r w:rsidRPr="0053072D">
              <w:rPr>
                <w:rFonts w:eastAsia="Times New Roman" w:cs="Arial"/>
                <w:color w:val="000000" w:themeColor="text2"/>
                <w:sz w:val="20"/>
                <w:szCs w:val="20"/>
                <w:lang w:val="en-ID" w:eastAsia="en-ID"/>
              </w:rPr>
              <w:t>Following the issue of the smart subsidy technical guidelines and the socialisation events in 2023, the provincial office encouraged district-level offices to complete the needed database.</w:t>
            </w:r>
            <w:bookmarkEnd w:id="424"/>
            <w:r w:rsidRPr="0053072D">
              <w:rPr>
                <w:rFonts w:eastAsia="Times New Roman" w:cs="Arial"/>
                <w:color w:val="000000" w:themeColor="text2"/>
                <w:sz w:val="20"/>
                <w:szCs w:val="20"/>
                <w:lang w:val="en-ID" w:eastAsia="en-ID"/>
              </w:rPr>
              <w:t xml:space="preserve"> </w:t>
            </w:r>
          </w:p>
          <w:p w14:paraId="1CFB2FB1" w14:textId="048B6BF3"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25" w:name="_Toc173318609"/>
            <w:r w:rsidRPr="0053072D">
              <w:rPr>
                <w:rFonts w:eastAsia="Times New Roman" w:cs="Arial"/>
                <w:color w:val="000000" w:themeColor="text2"/>
                <w:sz w:val="20"/>
                <w:szCs w:val="20"/>
                <w:lang w:val="en-ID" w:eastAsia="en-ID"/>
              </w:rPr>
              <w:t xml:space="preserve">In March 2024, a joint visit was conducted to 3 districts to verify the </w:t>
            </w:r>
            <w:r w:rsidRPr="0053072D">
              <w:rPr>
                <w:rFonts w:eastAsia="Times New Roman" w:cs="Arial"/>
                <w:color w:val="000000" w:themeColor="text2"/>
                <w:sz w:val="20"/>
                <w:szCs w:val="20"/>
                <w:lang w:val="en-ID" w:eastAsia="en-ID"/>
              </w:rPr>
              <w:lastRenderedPageBreak/>
              <w:t>data. Around 80% of districts have completed the database, which is the first crucial step in implementing the guidelines as this helps with the provincial office maps, as this area still needs further maize market development.</w:t>
            </w:r>
            <w:bookmarkEnd w:id="425"/>
          </w:p>
        </w:tc>
      </w:tr>
      <w:tr w:rsidR="00B30B11" w:rsidRPr="0053072D" w14:paraId="1DBAE355" w14:textId="77777777" w:rsidTr="00EE453C">
        <w:tc>
          <w:tcPr>
            <w:tcW w:w="2122" w:type="dxa"/>
            <w:vMerge w:val="restart"/>
          </w:tcPr>
          <w:p w14:paraId="0E91C28E" w14:textId="5FC5CD15"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26" w:name="_Toc173318610"/>
            <w:r w:rsidRPr="0053072D">
              <w:rPr>
                <w:rFonts w:eastAsia="Times New Roman" w:cs="Aptos"/>
                <w:color w:val="000000"/>
                <w:sz w:val="20"/>
                <w:szCs w:val="20"/>
                <w:lang w:val="en-ID" w:eastAsia="en-ID"/>
              </w:rPr>
              <w:lastRenderedPageBreak/>
              <w:t>Knowledge harvesting and dissemination</w:t>
            </w:r>
            <w:bookmarkEnd w:id="426"/>
          </w:p>
        </w:tc>
        <w:tc>
          <w:tcPr>
            <w:tcW w:w="2835" w:type="dxa"/>
            <w:vMerge w:val="restart"/>
          </w:tcPr>
          <w:p w14:paraId="08E17A76" w14:textId="4ED3693D"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27" w:name="_Toc173318611"/>
            <w:r w:rsidRPr="0053072D">
              <w:rPr>
                <w:rFonts w:eastAsia="Times New Roman" w:cs="Aptos"/>
                <w:color w:val="000000"/>
                <w:sz w:val="20"/>
                <w:szCs w:val="20"/>
                <w:lang w:val="en-ID" w:eastAsia="en-ID"/>
              </w:rPr>
              <w:t>Harvesting the lessons learned from the smart subsidy implementation in Madura and Central Java and sharing them with other relevant government institutions</w:t>
            </w:r>
            <w:bookmarkEnd w:id="427"/>
          </w:p>
        </w:tc>
        <w:tc>
          <w:tcPr>
            <w:tcW w:w="2698" w:type="dxa"/>
          </w:tcPr>
          <w:p w14:paraId="4D23AF2C" w14:textId="47CB790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28" w:name="_Toc173318612"/>
            <w:r w:rsidRPr="0053072D">
              <w:rPr>
                <w:rFonts w:eastAsia="Times New Roman" w:cs="Aptos"/>
                <w:color w:val="000000"/>
                <w:sz w:val="20"/>
                <w:szCs w:val="20"/>
                <w:lang w:val="en-ID" w:eastAsia="en-ID"/>
              </w:rPr>
              <w:t>Capture data and lessons learned from Madura and Central Java.</w:t>
            </w:r>
            <w:bookmarkEnd w:id="428"/>
          </w:p>
        </w:tc>
        <w:tc>
          <w:tcPr>
            <w:tcW w:w="3118" w:type="dxa"/>
          </w:tcPr>
          <w:p w14:paraId="6D040E90" w14:textId="49625537" w:rsidR="00B30B11" w:rsidRPr="0053072D" w:rsidRDefault="00B30B11" w:rsidP="00F01D1A">
            <w:pPr>
              <w:keepNext/>
              <w:keepLines/>
              <w:spacing w:after="80"/>
              <w:ind w:left="37" w:firstLine="14"/>
              <w:outlineLvl w:val="1"/>
              <w:rPr>
                <w:rFonts w:eastAsia="Times New Roman" w:cs="Arial"/>
                <w:color w:val="000000"/>
                <w:sz w:val="20"/>
                <w:szCs w:val="20"/>
                <w:lang w:val="en-ID" w:eastAsia="en-ID"/>
              </w:rPr>
            </w:pPr>
            <w:bookmarkStart w:id="429" w:name="_Toc173318613"/>
            <w:r w:rsidRPr="0053072D">
              <w:rPr>
                <w:rFonts w:eastAsia="Times New Roman" w:cs="Arial"/>
                <w:color w:val="000000"/>
                <w:sz w:val="20"/>
                <w:szCs w:val="20"/>
                <w:lang w:val="en-ID" w:eastAsia="en-ID"/>
              </w:rPr>
              <w:t>A report on data and lessons learned</w:t>
            </w:r>
            <w:bookmarkEnd w:id="429"/>
          </w:p>
        </w:tc>
        <w:tc>
          <w:tcPr>
            <w:tcW w:w="3787" w:type="dxa"/>
          </w:tcPr>
          <w:p w14:paraId="4FAF9383"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30" w:name="_Toc173318614"/>
            <w:r w:rsidRPr="0053072D">
              <w:rPr>
                <w:rFonts w:eastAsia="Times New Roman" w:cs="Arial"/>
                <w:color w:val="000000"/>
                <w:sz w:val="20"/>
                <w:szCs w:val="20"/>
                <w:lang w:val="en-ID" w:eastAsia="en-ID"/>
              </w:rPr>
              <w:t>PRISMA engaged the Centre for Indonesian Policy Studies (CIPS) to conduct a study to capture the lessons learned. CIPS has completed the literature review and interviews with relevant stakeholders and is currently conducting data analysis and summarising the findings.</w:t>
            </w:r>
            <w:bookmarkEnd w:id="430"/>
            <w:r w:rsidRPr="0053072D">
              <w:rPr>
                <w:rFonts w:eastAsia="Times New Roman" w:cs="Arial"/>
                <w:color w:val="000000"/>
                <w:sz w:val="20"/>
                <w:szCs w:val="20"/>
                <w:lang w:val="en-ID" w:eastAsia="en-ID"/>
              </w:rPr>
              <w:t xml:space="preserve"> </w:t>
            </w:r>
          </w:p>
        </w:tc>
      </w:tr>
      <w:tr w:rsidR="00B30B11" w:rsidRPr="0053072D" w14:paraId="7B2B86D7" w14:textId="77777777" w:rsidTr="00EE453C">
        <w:tc>
          <w:tcPr>
            <w:tcW w:w="2122" w:type="dxa"/>
            <w:vMerge/>
          </w:tcPr>
          <w:p w14:paraId="25AFE615"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835" w:type="dxa"/>
            <w:vMerge/>
          </w:tcPr>
          <w:p w14:paraId="681A81ED"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98" w:type="dxa"/>
          </w:tcPr>
          <w:p w14:paraId="5BF75A2E" w14:textId="0F474662"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31" w:name="_Toc173318615"/>
            <w:r w:rsidRPr="0053072D">
              <w:rPr>
                <w:rFonts w:eastAsia="Times New Roman" w:cs="Aptos"/>
                <w:color w:val="000000"/>
                <w:sz w:val="20"/>
                <w:szCs w:val="20"/>
                <w:lang w:val="en-ID" w:eastAsia="en-ID"/>
              </w:rPr>
              <w:t>National-level awareness event/FGD as evidence-based advocacy for the smart subsidy</w:t>
            </w:r>
            <w:bookmarkEnd w:id="431"/>
          </w:p>
        </w:tc>
        <w:tc>
          <w:tcPr>
            <w:tcW w:w="3118" w:type="dxa"/>
          </w:tcPr>
          <w:p w14:paraId="3B4B84EE" w14:textId="77777777" w:rsidR="00B30B11" w:rsidRPr="0053072D" w:rsidRDefault="00B30B11" w:rsidP="00F01D1A">
            <w:pPr>
              <w:keepNext/>
              <w:keepLines/>
              <w:spacing w:after="80"/>
              <w:ind w:left="37" w:firstLine="14"/>
              <w:outlineLvl w:val="1"/>
              <w:rPr>
                <w:rFonts w:eastAsia="Times New Roman" w:cs="Arial"/>
                <w:color w:val="000000"/>
                <w:sz w:val="20"/>
                <w:szCs w:val="20"/>
                <w:lang w:val="en-ID" w:eastAsia="en-ID"/>
              </w:rPr>
            </w:pPr>
            <w:bookmarkStart w:id="432" w:name="_Toc173318616"/>
            <w:r w:rsidRPr="0053072D">
              <w:rPr>
                <w:rFonts w:eastAsia="Times New Roman" w:cs="Arial"/>
                <w:color w:val="000000"/>
                <w:sz w:val="20"/>
                <w:szCs w:val="20"/>
                <w:lang w:val="en-ID" w:eastAsia="en-ID"/>
              </w:rPr>
              <w:t>FGD event</w:t>
            </w:r>
            <w:bookmarkEnd w:id="432"/>
            <w:r w:rsidRPr="0053072D">
              <w:rPr>
                <w:rFonts w:eastAsia="Times New Roman" w:cs="Arial"/>
                <w:color w:val="000000"/>
                <w:sz w:val="20"/>
                <w:szCs w:val="20"/>
                <w:lang w:val="en-ID" w:eastAsia="en-ID"/>
              </w:rPr>
              <w:t xml:space="preserve"> </w:t>
            </w:r>
          </w:p>
        </w:tc>
        <w:tc>
          <w:tcPr>
            <w:tcW w:w="3787" w:type="dxa"/>
          </w:tcPr>
          <w:p w14:paraId="5B377FB7" w14:textId="3E5B944E"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33" w:name="_Toc173318617"/>
            <w:r w:rsidRPr="0053072D">
              <w:rPr>
                <w:rFonts w:eastAsia="Times New Roman" w:cs="Arial"/>
                <w:color w:val="000000"/>
                <w:sz w:val="20"/>
                <w:szCs w:val="20"/>
                <w:lang w:val="en-ID" w:eastAsia="en-ID"/>
              </w:rPr>
              <w:t>The research institute will present the results of the study and a summary of good practices for smart subsidies in a FGD. The FGD will invite representatives from government institutions and business associations related to maize seeds. PRISMA and CIPS are in progress finalising the concept of the FGD event.</w:t>
            </w:r>
            <w:bookmarkEnd w:id="433"/>
          </w:p>
        </w:tc>
      </w:tr>
      <w:tr w:rsidR="00B30B11" w:rsidRPr="0053072D" w14:paraId="52B981E4" w14:textId="77777777" w:rsidTr="00F01D1A">
        <w:tc>
          <w:tcPr>
            <w:tcW w:w="2122" w:type="dxa"/>
            <w:vMerge/>
          </w:tcPr>
          <w:p w14:paraId="4FE0CD82"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vMerge/>
          </w:tcPr>
          <w:p w14:paraId="7E38C12D"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698" w:type="dxa"/>
            <w:tcBorders>
              <w:bottom w:val="single" w:sz="4" w:space="0" w:color="000000"/>
            </w:tcBorders>
          </w:tcPr>
          <w:p w14:paraId="6257CA17" w14:textId="22803C54"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434" w:name="_Toc173318618"/>
            <w:r w:rsidRPr="0053072D">
              <w:rPr>
                <w:rFonts w:eastAsia="Times New Roman" w:cs="Aptos"/>
                <w:color w:val="000000"/>
                <w:sz w:val="20"/>
                <w:szCs w:val="20"/>
                <w:lang w:val="en-ID" w:eastAsia="en-ID"/>
              </w:rPr>
              <w:t>Write a policy brief on the smart subsidy.</w:t>
            </w:r>
            <w:bookmarkEnd w:id="434"/>
          </w:p>
        </w:tc>
        <w:tc>
          <w:tcPr>
            <w:tcW w:w="3118" w:type="dxa"/>
            <w:tcBorders>
              <w:bottom w:val="single" w:sz="4" w:space="0" w:color="000000"/>
            </w:tcBorders>
          </w:tcPr>
          <w:p w14:paraId="5CF0C02D" w14:textId="77777777" w:rsidR="00B30B11" w:rsidRPr="0053072D" w:rsidRDefault="00B30B11" w:rsidP="00F01D1A">
            <w:pPr>
              <w:keepNext/>
              <w:keepLines/>
              <w:spacing w:after="80"/>
              <w:ind w:left="37" w:firstLine="14"/>
              <w:outlineLvl w:val="1"/>
              <w:rPr>
                <w:rFonts w:eastAsia="Times New Roman" w:cs="Aptos"/>
                <w:color w:val="000000"/>
                <w:sz w:val="20"/>
                <w:szCs w:val="20"/>
                <w:lang w:val="en-ID" w:eastAsia="en-ID"/>
              </w:rPr>
            </w:pPr>
            <w:bookmarkStart w:id="435" w:name="_Toc173318619"/>
            <w:r w:rsidRPr="0053072D">
              <w:rPr>
                <w:rFonts w:eastAsia="Times New Roman" w:cs="Arial"/>
                <w:color w:val="000000"/>
                <w:sz w:val="20"/>
                <w:szCs w:val="20"/>
                <w:lang w:val="en-ID" w:eastAsia="en-ID"/>
              </w:rPr>
              <w:t>A policy brief</w:t>
            </w:r>
            <w:bookmarkEnd w:id="435"/>
            <w:r w:rsidRPr="0053072D">
              <w:rPr>
                <w:rFonts w:eastAsia="Times New Roman" w:cs="Arial"/>
                <w:color w:val="000000"/>
                <w:sz w:val="20"/>
                <w:szCs w:val="20"/>
                <w:lang w:val="en-ID" w:eastAsia="en-ID"/>
              </w:rPr>
              <w:t xml:space="preserve"> </w:t>
            </w:r>
          </w:p>
        </w:tc>
        <w:tc>
          <w:tcPr>
            <w:tcW w:w="3787" w:type="dxa"/>
            <w:tcBorders>
              <w:bottom w:val="single" w:sz="4" w:space="0" w:color="000000"/>
            </w:tcBorders>
          </w:tcPr>
          <w:p w14:paraId="1B0966CD" w14:textId="0EB375B4"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36" w:name="_Toc173318620"/>
            <w:r w:rsidRPr="0053072D">
              <w:rPr>
                <w:rFonts w:eastAsia="Times New Roman" w:cs="Arial"/>
                <w:color w:val="000000"/>
                <w:sz w:val="20"/>
                <w:szCs w:val="20"/>
                <w:lang w:val="en-ID" w:eastAsia="en-ID"/>
              </w:rPr>
              <w:t>The policy brief will be finalised after the FGD event.</w:t>
            </w:r>
            <w:bookmarkEnd w:id="436"/>
          </w:p>
        </w:tc>
      </w:tr>
      <w:tr w:rsidR="00B30B11" w:rsidRPr="0053072D" w14:paraId="68DBF159" w14:textId="77777777" w:rsidTr="00F01D1A">
        <w:tc>
          <w:tcPr>
            <w:tcW w:w="2122" w:type="dxa"/>
            <w:vMerge/>
          </w:tcPr>
          <w:p w14:paraId="31B8E33E"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vMerge/>
          </w:tcPr>
          <w:p w14:paraId="1CF28C14"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698" w:type="dxa"/>
            <w:tcBorders>
              <w:top w:val="single" w:sz="4" w:space="0" w:color="000000"/>
              <w:bottom w:val="single" w:sz="2" w:space="0" w:color="272A5F"/>
            </w:tcBorders>
          </w:tcPr>
          <w:p w14:paraId="1FF4AAD7"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437" w:name="_Toc173318621"/>
            <w:r w:rsidRPr="0053072D">
              <w:rPr>
                <w:rFonts w:eastAsia="Times New Roman" w:cs="Aptos"/>
                <w:color w:val="000000"/>
                <w:sz w:val="20"/>
                <w:szCs w:val="20"/>
                <w:lang w:val="en-ID" w:eastAsia="en-ID"/>
              </w:rPr>
              <w:t>Publish and disseminate the smart subsidy policy brief.</w:t>
            </w:r>
            <w:bookmarkEnd w:id="437"/>
            <w:r w:rsidRPr="0053072D">
              <w:rPr>
                <w:rFonts w:eastAsia="Times New Roman" w:cs="Aptos"/>
                <w:color w:val="000000"/>
                <w:sz w:val="20"/>
                <w:szCs w:val="20"/>
                <w:lang w:val="en-ID" w:eastAsia="en-ID"/>
              </w:rPr>
              <w:t xml:space="preserve">  </w:t>
            </w:r>
          </w:p>
        </w:tc>
        <w:tc>
          <w:tcPr>
            <w:tcW w:w="3118" w:type="dxa"/>
            <w:tcBorders>
              <w:top w:val="single" w:sz="4" w:space="0" w:color="000000"/>
              <w:bottom w:val="single" w:sz="2" w:space="0" w:color="272A5F"/>
            </w:tcBorders>
          </w:tcPr>
          <w:p w14:paraId="084AD034" w14:textId="77777777" w:rsidR="00B30B11" w:rsidRPr="0053072D" w:rsidRDefault="00B30B11" w:rsidP="00F01D1A">
            <w:pPr>
              <w:keepNext/>
              <w:keepLines/>
              <w:spacing w:after="80"/>
              <w:ind w:left="37" w:firstLine="14"/>
              <w:outlineLvl w:val="1"/>
              <w:rPr>
                <w:rFonts w:eastAsia="Times New Roman" w:cs="Aptos"/>
                <w:color w:val="000000"/>
                <w:sz w:val="20"/>
                <w:szCs w:val="20"/>
                <w:lang w:val="en-ID" w:eastAsia="en-ID"/>
              </w:rPr>
            </w:pPr>
            <w:bookmarkStart w:id="438" w:name="_Toc173318622"/>
            <w:r w:rsidRPr="0053072D">
              <w:rPr>
                <w:rFonts w:eastAsia="Times New Roman" w:cs="Arial"/>
                <w:color w:val="000000"/>
                <w:sz w:val="20"/>
                <w:szCs w:val="20"/>
                <w:lang w:val="en-ID" w:eastAsia="en-ID"/>
              </w:rPr>
              <w:t>Dissemination event for the policy brief</w:t>
            </w:r>
            <w:bookmarkEnd w:id="438"/>
            <w:r w:rsidRPr="0053072D">
              <w:rPr>
                <w:rFonts w:eastAsia="Times New Roman" w:cs="Arial"/>
                <w:color w:val="000000"/>
                <w:sz w:val="20"/>
                <w:szCs w:val="20"/>
                <w:lang w:val="en-ID" w:eastAsia="en-ID"/>
              </w:rPr>
              <w:t xml:space="preserve"> </w:t>
            </w:r>
          </w:p>
        </w:tc>
        <w:tc>
          <w:tcPr>
            <w:tcW w:w="3787" w:type="dxa"/>
            <w:tcBorders>
              <w:top w:val="single" w:sz="4" w:space="0" w:color="000000"/>
              <w:bottom w:val="single" w:sz="2" w:space="0" w:color="272A5F"/>
            </w:tcBorders>
          </w:tcPr>
          <w:p w14:paraId="06E874B7" w14:textId="0EE5F539" w:rsidR="00B30B11" w:rsidRDefault="00B30B11" w:rsidP="00EE453C">
            <w:pPr>
              <w:keepNext/>
              <w:keepLines/>
              <w:spacing w:after="120"/>
              <w:ind w:left="11"/>
              <w:outlineLvl w:val="1"/>
              <w:rPr>
                <w:rFonts w:eastAsia="Times New Roman" w:cs="Arial"/>
                <w:color w:val="000000"/>
                <w:sz w:val="20"/>
                <w:szCs w:val="20"/>
                <w:lang w:val="en-ID" w:eastAsia="en-ID"/>
              </w:rPr>
            </w:pPr>
            <w:bookmarkStart w:id="439" w:name="_Toc173318623"/>
            <w:r w:rsidRPr="0053072D">
              <w:rPr>
                <w:rFonts w:eastAsia="Times New Roman" w:cs="Arial"/>
                <w:color w:val="000000"/>
                <w:sz w:val="20"/>
                <w:szCs w:val="20"/>
                <w:lang w:val="en-ID" w:eastAsia="en-ID"/>
              </w:rPr>
              <w:t>A dissemination event will be held after the policy brief is finalised.</w:t>
            </w:r>
            <w:bookmarkEnd w:id="439"/>
          </w:p>
          <w:p w14:paraId="3922030E" w14:textId="1C2B61A3" w:rsidR="00F01D1A" w:rsidRPr="0053072D" w:rsidRDefault="00F01D1A" w:rsidP="009A2585">
            <w:pPr>
              <w:keepNext/>
              <w:keepLines/>
              <w:spacing w:after="120"/>
              <w:outlineLvl w:val="1"/>
              <w:rPr>
                <w:rFonts w:eastAsia="Times New Roman" w:cs="Arial"/>
                <w:color w:val="000000"/>
                <w:sz w:val="20"/>
                <w:szCs w:val="20"/>
                <w:lang w:val="en-ID" w:eastAsia="en-ID"/>
              </w:rPr>
            </w:pPr>
          </w:p>
        </w:tc>
      </w:tr>
      <w:tr w:rsidR="00B30B11" w:rsidRPr="0053072D" w14:paraId="5C87A4D1" w14:textId="77777777" w:rsidTr="002D6DCE">
        <w:tc>
          <w:tcPr>
            <w:tcW w:w="14560" w:type="dxa"/>
            <w:gridSpan w:val="5"/>
            <w:tcBorders>
              <w:top w:val="nil"/>
              <w:bottom w:val="nil"/>
            </w:tcBorders>
            <w:shd w:val="clear" w:color="auto" w:fill="C7F7FD" w:themeFill="accent1" w:themeFillTint="33"/>
          </w:tcPr>
          <w:p w14:paraId="58C6C530" w14:textId="154A56AA" w:rsidR="00B30B11" w:rsidRPr="0053072D" w:rsidRDefault="002D6DCE" w:rsidP="002D6DCE">
            <w:pPr>
              <w:keepNext/>
              <w:keepLines/>
              <w:tabs>
                <w:tab w:val="left" w:pos="400"/>
                <w:tab w:val="center" w:pos="7146"/>
              </w:tabs>
              <w:spacing w:after="120"/>
              <w:ind w:left="11"/>
              <w:outlineLvl w:val="1"/>
              <w:rPr>
                <w:rFonts w:eastAsia="Times New Roman" w:cs="Arial"/>
                <w:b/>
                <w:bCs/>
                <w:color w:val="000000"/>
                <w:sz w:val="20"/>
                <w:szCs w:val="20"/>
                <w:lang w:val="en-ID" w:eastAsia="en-ID"/>
              </w:rPr>
            </w:pPr>
            <w:r>
              <w:rPr>
                <w:rFonts w:eastAsia="Times New Roman" w:cs="Aptos"/>
                <w:b/>
                <w:bCs/>
                <w:color w:val="262C66"/>
                <w:sz w:val="20"/>
                <w:szCs w:val="20"/>
                <w:lang w:val="en-ID" w:eastAsia="en-ID"/>
              </w:rPr>
              <w:lastRenderedPageBreak/>
              <w:tab/>
            </w:r>
            <w:r>
              <w:rPr>
                <w:rFonts w:eastAsia="Times New Roman" w:cs="Aptos"/>
                <w:b/>
                <w:bCs/>
                <w:color w:val="262C66"/>
                <w:sz w:val="20"/>
                <w:szCs w:val="20"/>
                <w:lang w:val="en-ID" w:eastAsia="en-ID"/>
              </w:rPr>
              <w:tab/>
            </w:r>
            <w:bookmarkStart w:id="440" w:name="_Toc173318624"/>
            <w:r w:rsidR="00B30B11" w:rsidRPr="0053072D">
              <w:rPr>
                <w:rFonts w:eastAsia="Times New Roman" w:cs="Aptos"/>
                <w:b/>
                <w:bCs/>
                <w:color w:val="262C66"/>
                <w:sz w:val="20"/>
                <w:szCs w:val="20"/>
                <w:lang w:val="en-ID" w:eastAsia="en-ID"/>
              </w:rPr>
              <w:t>Maize NTT</w:t>
            </w:r>
            <w:bookmarkEnd w:id="440"/>
          </w:p>
        </w:tc>
      </w:tr>
      <w:tr w:rsidR="00B30B11" w:rsidRPr="0053072D" w14:paraId="39C50078" w14:textId="77777777" w:rsidTr="00EE453C">
        <w:tc>
          <w:tcPr>
            <w:tcW w:w="2122" w:type="dxa"/>
            <w:vMerge w:val="restart"/>
            <w:tcBorders>
              <w:top w:val="nil"/>
            </w:tcBorders>
          </w:tcPr>
          <w:p w14:paraId="5ACAD2B8" w14:textId="6211E2D6"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441" w:name="_Toc173318625"/>
            <w:r w:rsidRPr="0053072D">
              <w:rPr>
                <w:rFonts w:eastAsia="Times New Roman" w:cs="Aptos"/>
                <w:color w:val="000000"/>
                <w:sz w:val="20"/>
                <w:szCs w:val="20"/>
                <w:lang w:val="en-ID" w:eastAsia="en-ID"/>
              </w:rPr>
              <w:t>Strategies towards ensuring greater sustainability</w:t>
            </w:r>
            <w:bookmarkEnd w:id="441"/>
          </w:p>
        </w:tc>
        <w:tc>
          <w:tcPr>
            <w:tcW w:w="2835" w:type="dxa"/>
            <w:vMerge w:val="restart"/>
            <w:tcBorders>
              <w:top w:val="nil"/>
            </w:tcBorders>
          </w:tcPr>
          <w:p w14:paraId="3202D328" w14:textId="057A76E6"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442" w:name="_Toc173318626"/>
            <w:r w:rsidRPr="0053072D">
              <w:rPr>
                <w:rFonts w:eastAsia="Times New Roman" w:cs="Aptos"/>
                <w:color w:val="000000"/>
                <w:sz w:val="20"/>
                <w:szCs w:val="20"/>
                <w:lang w:val="en-ID" w:eastAsia="en-ID"/>
              </w:rPr>
              <w:t>Providing business advice and linkages for seed producers and more effective contract farming management</w:t>
            </w:r>
            <w:bookmarkEnd w:id="442"/>
          </w:p>
        </w:tc>
        <w:tc>
          <w:tcPr>
            <w:tcW w:w="2698" w:type="dxa"/>
            <w:tcBorders>
              <w:top w:val="nil"/>
            </w:tcBorders>
          </w:tcPr>
          <w:p w14:paraId="316B781A" w14:textId="556620AE"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443" w:name="_Toc173318627"/>
            <w:r w:rsidRPr="0053072D">
              <w:rPr>
                <w:rFonts w:eastAsia="Times New Roman" w:cs="Aptos"/>
                <w:color w:val="000000"/>
                <w:sz w:val="20"/>
                <w:szCs w:val="20"/>
                <w:lang w:val="en-ID" w:eastAsia="en-ID"/>
              </w:rPr>
              <w:t>Connect seed producers with diverse intermediary service providers (ISPs).</w:t>
            </w:r>
            <w:bookmarkEnd w:id="443"/>
          </w:p>
        </w:tc>
        <w:tc>
          <w:tcPr>
            <w:tcW w:w="3118" w:type="dxa"/>
            <w:tcBorders>
              <w:top w:val="nil"/>
            </w:tcBorders>
          </w:tcPr>
          <w:p w14:paraId="02EB5DBB" w14:textId="69B9FDD5" w:rsidR="00B30B11" w:rsidRPr="0053072D" w:rsidRDefault="00B30B11" w:rsidP="00F01D1A">
            <w:pPr>
              <w:keepNext/>
              <w:keepLines/>
              <w:spacing w:after="80"/>
              <w:ind w:left="37" w:firstLine="14"/>
              <w:outlineLvl w:val="1"/>
              <w:rPr>
                <w:rFonts w:eastAsia="Times New Roman" w:cs="Aptos"/>
                <w:color w:val="000000"/>
                <w:sz w:val="20"/>
                <w:szCs w:val="20"/>
                <w:lang w:val="en-ID" w:eastAsia="en-ID"/>
              </w:rPr>
            </w:pPr>
            <w:bookmarkStart w:id="444" w:name="_Toc173318628"/>
            <w:r w:rsidRPr="0053072D">
              <w:rPr>
                <w:rFonts w:eastAsia="Times New Roman" w:cs="Arial"/>
                <w:color w:val="000000"/>
                <w:sz w:val="20"/>
                <w:szCs w:val="20"/>
                <w:lang w:val="en-ID" w:eastAsia="en-ID"/>
              </w:rPr>
              <w:t>A list of new ISPs linked to seed producers</w:t>
            </w:r>
            <w:bookmarkEnd w:id="444"/>
          </w:p>
        </w:tc>
        <w:tc>
          <w:tcPr>
            <w:tcW w:w="3787" w:type="dxa"/>
            <w:tcBorders>
              <w:top w:val="nil"/>
            </w:tcBorders>
          </w:tcPr>
          <w:p w14:paraId="1A779212" w14:textId="1D90A53C"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45" w:name="_Toc173318629"/>
            <w:r w:rsidRPr="0053072D">
              <w:rPr>
                <w:rFonts w:eastAsia="Times New Roman" w:cs="Arial"/>
                <w:color w:val="000000" w:themeColor="text2"/>
                <w:sz w:val="20"/>
                <w:szCs w:val="20"/>
                <w:lang w:val="en-ID" w:eastAsia="en-ID"/>
              </w:rPr>
              <w:t>Building a wider seed distribution channel is important to ensure more farmers have access to quality seeds and to ensure business continuity for the seed producers. Considering that the agri-input kiosks in NTT are mostly concentrated in urban areas, PRISMA advised seed producers to build their distribution networks by also involving other channels, such as village kiosks, mobile vendors, and extension services.</w:t>
            </w:r>
            <w:bookmarkEnd w:id="445"/>
          </w:p>
          <w:p w14:paraId="782B8CC9"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46" w:name="_Toc173318630"/>
            <w:r w:rsidRPr="0053072D">
              <w:rPr>
                <w:rFonts w:eastAsia="Times New Roman" w:cs="Arial"/>
                <w:color w:val="000000" w:themeColor="text2"/>
                <w:sz w:val="20"/>
                <w:szCs w:val="20"/>
                <w:lang w:val="en-ID" w:eastAsia="en-ID"/>
              </w:rPr>
              <w:t>As a result, the seed producers have engaged with a total of 28 ISPs, including 14 agri-input kiosks, 4 village kiosks, 6 extension services, and 2 mobile vendors.</w:t>
            </w:r>
            <w:bookmarkEnd w:id="446"/>
            <w:r w:rsidRPr="0053072D">
              <w:rPr>
                <w:rFonts w:eastAsia="Times New Roman" w:cs="Arial"/>
                <w:color w:val="000000" w:themeColor="text2"/>
                <w:sz w:val="20"/>
                <w:szCs w:val="20"/>
                <w:lang w:val="en-ID" w:eastAsia="en-ID"/>
              </w:rPr>
              <w:t xml:space="preserve"> </w:t>
            </w:r>
          </w:p>
        </w:tc>
      </w:tr>
      <w:tr w:rsidR="00B30B11" w:rsidRPr="0053072D" w14:paraId="7C0A3CA2" w14:textId="77777777" w:rsidTr="00EE453C">
        <w:tc>
          <w:tcPr>
            <w:tcW w:w="2122" w:type="dxa"/>
            <w:vMerge/>
          </w:tcPr>
          <w:p w14:paraId="55AFC266"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vMerge/>
          </w:tcPr>
          <w:p w14:paraId="52C1B5D8"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698" w:type="dxa"/>
          </w:tcPr>
          <w:p w14:paraId="6C6A03CC" w14:textId="2D75CD73"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447" w:name="_Toc173318631"/>
            <w:r w:rsidRPr="0053072D">
              <w:rPr>
                <w:rFonts w:eastAsia="Times New Roman" w:cs="Aptos"/>
                <w:color w:val="000000"/>
                <w:sz w:val="20"/>
                <w:szCs w:val="20"/>
                <w:lang w:val="en-ID" w:eastAsia="en-ID"/>
              </w:rPr>
              <w:t>Conduct sharing events on the best practices – including contract farming models</w:t>
            </w:r>
            <w:bookmarkEnd w:id="447"/>
          </w:p>
        </w:tc>
        <w:tc>
          <w:tcPr>
            <w:tcW w:w="3118" w:type="dxa"/>
          </w:tcPr>
          <w:p w14:paraId="3A208B44" w14:textId="77777777" w:rsidR="00B30B11" w:rsidRPr="0053072D" w:rsidRDefault="00B30B11" w:rsidP="00F01D1A">
            <w:pPr>
              <w:keepNext/>
              <w:keepLines/>
              <w:spacing w:after="80"/>
              <w:ind w:left="37" w:firstLine="14"/>
              <w:outlineLvl w:val="1"/>
              <w:rPr>
                <w:rFonts w:eastAsia="Times New Roman" w:cs="Aptos"/>
                <w:color w:val="000000"/>
                <w:sz w:val="20"/>
                <w:szCs w:val="20"/>
                <w:lang w:val="en-ID" w:eastAsia="en-ID"/>
              </w:rPr>
            </w:pPr>
            <w:bookmarkStart w:id="448" w:name="_Toc173318632"/>
            <w:r w:rsidRPr="0053072D">
              <w:rPr>
                <w:rFonts w:eastAsia="Times New Roman" w:cs="Arial"/>
                <w:color w:val="000000"/>
                <w:sz w:val="20"/>
                <w:szCs w:val="20"/>
                <w:lang w:val="en-ID" w:eastAsia="en-ID"/>
              </w:rPr>
              <w:t>Sharing events on contract farming models</w:t>
            </w:r>
            <w:bookmarkEnd w:id="448"/>
            <w:r w:rsidRPr="0053072D">
              <w:rPr>
                <w:rFonts w:eastAsia="Times New Roman" w:cs="Arial"/>
                <w:color w:val="000000"/>
                <w:sz w:val="20"/>
                <w:szCs w:val="20"/>
                <w:lang w:val="en-ID" w:eastAsia="en-ID"/>
              </w:rPr>
              <w:t xml:space="preserve"> </w:t>
            </w:r>
          </w:p>
        </w:tc>
        <w:tc>
          <w:tcPr>
            <w:tcW w:w="3787" w:type="dxa"/>
          </w:tcPr>
          <w:p w14:paraId="0D8B87BF"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49" w:name="_Toc173318633"/>
            <w:r w:rsidRPr="0053072D">
              <w:rPr>
                <w:rFonts w:eastAsia="Times New Roman" w:cs="Arial"/>
                <w:color w:val="000000" w:themeColor="text2"/>
                <w:sz w:val="20"/>
                <w:szCs w:val="20"/>
                <w:lang w:val="en-ID" w:eastAsia="en-ID"/>
              </w:rPr>
              <w:t>In February 2024, PRISMA facilitated benchmarking and sharing sessions for 3 local NTT seed producers (Sehati Toka, Sehati, and Dalla Sikka) with private seed companies and government seed production facilities in East Java. This activity aims to provide local NTT seed producers with new insights on how they can better manage seed production and post-harvest processes. As they actively promote their products and build product distribution networks, these local seed producers face the challenge of expanding production scale to meet increasing demand.</w:t>
            </w:r>
            <w:bookmarkEnd w:id="449"/>
            <w:r w:rsidRPr="0053072D">
              <w:rPr>
                <w:rFonts w:eastAsia="Times New Roman" w:cs="Arial"/>
                <w:color w:val="000000" w:themeColor="text2"/>
                <w:sz w:val="20"/>
                <w:szCs w:val="20"/>
                <w:lang w:val="en-ID" w:eastAsia="en-ID"/>
              </w:rPr>
              <w:t xml:space="preserve"> </w:t>
            </w:r>
          </w:p>
          <w:p w14:paraId="3CE36E46" w14:textId="52F71C32"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50" w:name="_Toc173318634"/>
            <w:r w:rsidRPr="0053072D">
              <w:rPr>
                <w:rFonts w:eastAsia="Times New Roman" w:cs="Arial"/>
                <w:color w:val="000000" w:themeColor="text2"/>
                <w:sz w:val="20"/>
                <w:szCs w:val="20"/>
                <w:lang w:val="en-ID" w:eastAsia="en-ID"/>
              </w:rPr>
              <w:lastRenderedPageBreak/>
              <w:t>During the 2024 dry season, 2 seed producers planned to expand their drying floors using the designs they learned during the visit. Meanwhile, another seed producer plans to implement a new contract system with plasma farmers, according to the example learned from the visit.</w:t>
            </w:r>
            <w:bookmarkEnd w:id="450"/>
          </w:p>
        </w:tc>
      </w:tr>
      <w:tr w:rsidR="00B30B11" w:rsidRPr="0053072D" w14:paraId="0C7701B3" w14:textId="77777777" w:rsidTr="00EE453C">
        <w:tc>
          <w:tcPr>
            <w:tcW w:w="2122" w:type="dxa"/>
            <w:vMerge/>
          </w:tcPr>
          <w:p w14:paraId="2FC4FE73"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tcPr>
          <w:p w14:paraId="33625553" w14:textId="695FC01D"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451" w:name="_Toc173318635"/>
            <w:r w:rsidRPr="0053072D">
              <w:rPr>
                <w:rFonts w:eastAsia="Times New Roman" w:cs="Aptos"/>
                <w:color w:val="000000"/>
                <w:sz w:val="20"/>
                <w:szCs w:val="20"/>
                <w:lang w:val="en-ID" w:eastAsia="en-ID"/>
              </w:rPr>
              <w:t>Providing business advice to the NTT Seed Producers Association</w:t>
            </w:r>
            <w:r w:rsidRPr="0053072D" w:rsidDel="00D22AA4">
              <w:rPr>
                <w:rFonts w:eastAsia="Times New Roman" w:cs="Aptos"/>
                <w:color w:val="000000"/>
                <w:sz w:val="20"/>
                <w:szCs w:val="20"/>
                <w:lang w:val="en-ID" w:eastAsia="en-ID"/>
              </w:rPr>
              <w:t xml:space="preserve"> </w:t>
            </w:r>
            <w:r w:rsidRPr="0053072D">
              <w:rPr>
                <w:rFonts w:eastAsia="Times New Roman" w:cs="Aptos"/>
                <w:color w:val="000000"/>
                <w:sz w:val="20"/>
                <w:szCs w:val="20"/>
                <w:lang w:val="en-ID" w:eastAsia="en-ID"/>
              </w:rPr>
              <w:t>on selling branded packaging to other (non-PRISMA partner) seed producers</w:t>
            </w:r>
            <w:bookmarkEnd w:id="451"/>
          </w:p>
        </w:tc>
        <w:tc>
          <w:tcPr>
            <w:tcW w:w="2698" w:type="dxa"/>
          </w:tcPr>
          <w:p w14:paraId="5E7018EF"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452" w:name="_Toc173318636"/>
            <w:r w:rsidRPr="0053072D">
              <w:rPr>
                <w:rFonts w:eastAsia="Times New Roman" w:cs="Aptos"/>
                <w:color w:val="000000"/>
                <w:sz w:val="20"/>
                <w:szCs w:val="20"/>
                <w:lang w:val="en-ID" w:eastAsia="en-ID"/>
              </w:rPr>
              <w:t>Regular (quarterly) monitoring of the business model implementation</w:t>
            </w:r>
            <w:bookmarkEnd w:id="452"/>
            <w:r w:rsidRPr="0053072D">
              <w:rPr>
                <w:rFonts w:eastAsia="Times New Roman" w:cs="Aptos"/>
                <w:color w:val="000000"/>
                <w:sz w:val="20"/>
                <w:szCs w:val="20"/>
                <w:lang w:val="en-ID" w:eastAsia="en-ID"/>
              </w:rPr>
              <w:t xml:space="preserve"> </w:t>
            </w:r>
          </w:p>
        </w:tc>
        <w:tc>
          <w:tcPr>
            <w:tcW w:w="3118" w:type="dxa"/>
          </w:tcPr>
          <w:p w14:paraId="0D79631E" w14:textId="7E5411E0" w:rsidR="00B30B11" w:rsidRPr="0053072D" w:rsidRDefault="00B30B11" w:rsidP="00F01D1A">
            <w:pPr>
              <w:keepNext/>
              <w:keepLines/>
              <w:spacing w:after="80"/>
              <w:ind w:left="37" w:firstLine="14"/>
              <w:outlineLvl w:val="1"/>
              <w:rPr>
                <w:rFonts w:eastAsia="Times New Roman" w:cs="Aptos"/>
                <w:color w:val="000000"/>
                <w:sz w:val="20"/>
                <w:szCs w:val="20"/>
                <w:lang w:val="en-ID" w:eastAsia="en-ID"/>
              </w:rPr>
            </w:pPr>
            <w:bookmarkStart w:id="453" w:name="_Toc173318637"/>
            <w:r w:rsidRPr="0053072D">
              <w:rPr>
                <w:rFonts w:eastAsia="Times New Roman" w:cs="Arial"/>
                <w:color w:val="000000"/>
                <w:sz w:val="20"/>
                <w:szCs w:val="20"/>
                <w:lang w:val="en-ID" w:eastAsia="en-ID"/>
              </w:rPr>
              <w:t>Progress report (quarterly)</w:t>
            </w:r>
            <w:bookmarkEnd w:id="453"/>
          </w:p>
        </w:tc>
        <w:tc>
          <w:tcPr>
            <w:tcW w:w="3787" w:type="dxa"/>
          </w:tcPr>
          <w:p w14:paraId="04DC24A8"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54" w:name="_Toc173318638"/>
            <w:r w:rsidRPr="0053072D">
              <w:rPr>
                <w:rFonts w:eastAsia="Times New Roman" w:cs="Arial"/>
                <w:color w:val="000000"/>
                <w:sz w:val="20"/>
                <w:szCs w:val="20"/>
                <w:lang w:val="en-ID" w:eastAsia="en-ID"/>
              </w:rPr>
              <w:t>Since the end of 2023, PRISMA</w:t>
            </w:r>
            <w:r w:rsidRPr="0053072D">
              <w:rPr>
                <w:sz w:val="20"/>
                <w:szCs w:val="20"/>
              </w:rPr>
              <w:t xml:space="preserve"> </w:t>
            </w:r>
            <w:r w:rsidRPr="0053072D">
              <w:rPr>
                <w:rFonts w:eastAsia="Times New Roman" w:cs="Arial"/>
                <w:color w:val="000000"/>
                <w:sz w:val="20"/>
                <w:szCs w:val="20"/>
                <w:lang w:val="en-ID" w:eastAsia="en-ID"/>
              </w:rPr>
              <w:t>piloted a business model to sell branded seed packaging to seed producers. Access to good seed packaging is a high entry barrier for local seed producers to enter the commercial market because of the high initial investment. The goal of the association’s business model is to have more local seed producers – beyond PRISMA’s partners – sell their products in the commercial market so that farmers can have more access to quality seeds. This semester, The NTT Seed Producers Association succeeded in selling small quantities of branded packaging to other seed producers.</w:t>
            </w:r>
            <w:bookmarkEnd w:id="454"/>
            <w:r w:rsidRPr="0053072D">
              <w:rPr>
                <w:rFonts w:eastAsia="Times New Roman" w:cs="Arial"/>
                <w:color w:val="000000"/>
                <w:sz w:val="20"/>
                <w:szCs w:val="20"/>
                <w:lang w:val="en-ID" w:eastAsia="en-ID"/>
              </w:rPr>
              <w:t xml:space="preserve"> </w:t>
            </w:r>
          </w:p>
        </w:tc>
      </w:tr>
      <w:tr w:rsidR="00B30B11" w:rsidRPr="0053072D" w14:paraId="42ED3C89" w14:textId="77777777" w:rsidTr="00EE453C">
        <w:tc>
          <w:tcPr>
            <w:tcW w:w="2122" w:type="dxa"/>
            <w:vMerge/>
          </w:tcPr>
          <w:p w14:paraId="4C88DA23"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vMerge w:val="restart"/>
          </w:tcPr>
          <w:p w14:paraId="39254DB4" w14:textId="10BDC7AA"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455" w:name="_Toc173318639"/>
            <w:r w:rsidRPr="0053072D">
              <w:rPr>
                <w:rFonts w:eastAsia="Times New Roman" w:cs="Aptos"/>
                <w:color w:val="000000"/>
                <w:sz w:val="20"/>
                <w:szCs w:val="20"/>
                <w:lang w:val="en-ID" w:eastAsia="en-ID"/>
              </w:rPr>
              <w:t>Assisting the provincial government in improving the production planning of parent seed</w:t>
            </w:r>
            <w:bookmarkEnd w:id="455"/>
          </w:p>
        </w:tc>
        <w:tc>
          <w:tcPr>
            <w:tcW w:w="2698" w:type="dxa"/>
          </w:tcPr>
          <w:p w14:paraId="6722B5D3" w14:textId="7834D056"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456" w:name="_Toc173318640"/>
            <w:r w:rsidRPr="0053072D">
              <w:rPr>
                <w:rFonts w:eastAsia="Times New Roman" w:cs="Aptos"/>
                <w:color w:val="000000"/>
                <w:sz w:val="20"/>
                <w:szCs w:val="20"/>
                <w:lang w:val="en-ID" w:eastAsia="en-ID"/>
              </w:rPr>
              <w:t>Advocacy for the provincial agriculture office to allocate a budget for parent seed availability</w:t>
            </w:r>
            <w:bookmarkEnd w:id="456"/>
          </w:p>
        </w:tc>
        <w:tc>
          <w:tcPr>
            <w:tcW w:w="3118" w:type="dxa"/>
          </w:tcPr>
          <w:p w14:paraId="39A64BC6" w14:textId="7E449304" w:rsidR="00B30B11" w:rsidRPr="0053072D" w:rsidRDefault="00B30B11" w:rsidP="00F01D1A">
            <w:pPr>
              <w:keepNext/>
              <w:keepLines/>
              <w:spacing w:after="80"/>
              <w:ind w:left="37" w:firstLine="14"/>
              <w:outlineLvl w:val="1"/>
              <w:rPr>
                <w:rFonts w:eastAsia="Times New Roman" w:cs="Aptos"/>
                <w:color w:val="000000"/>
                <w:sz w:val="20"/>
                <w:szCs w:val="20"/>
                <w:lang w:val="en-ID" w:eastAsia="en-ID"/>
              </w:rPr>
            </w:pPr>
            <w:bookmarkStart w:id="457" w:name="_Toc173318641"/>
            <w:r w:rsidRPr="0053072D">
              <w:rPr>
                <w:rFonts w:eastAsia="Times New Roman" w:cs="Arial"/>
                <w:color w:val="000000"/>
                <w:sz w:val="20"/>
                <w:szCs w:val="20"/>
                <w:lang w:val="en-ID" w:eastAsia="en-ID"/>
              </w:rPr>
              <w:t>Progress report (quarterly)</w:t>
            </w:r>
            <w:bookmarkEnd w:id="457"/>
          </w:p>
        </w:tc>
        <w:tc>
          <w:tcPr>
            <w:tcW w:w="3787" w:type="dxa"/>
          </w:tcPr>
          <w:p w14:paraId="3BB5C8E4"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58" w:name="_Toc173318642"/>
            <w:r w:rsidRPr="0053072D">
              <w:rPr>
                <w:rFonts w:eastAsia="Times New Roman" w:cs="Arial"/>
                <w:color w:val="000000" w:themeColor="text2"/>
                <w:sz w:val="20"/>
                <w:szCs w:val="20"/>
                <w:lang w:val="en-ID" w:eastAsia="en-ID"/>
              </w:rPr>
              <w:t>The provincial government office set aside a budget for parent seed production and communicated this with the  NTT Association of Seed Producers. However, a fire incident in early May 2024 in the main office of the technical unit for seed production may cause operational challenges.</w:t>
            </w:r>
            <w:bookmarkEnd w:id="458"/>
            <w:r w:rsidRPr="0053072D">
              <w:rPr>
                <w:rFonts w:eastAsia="Times New Roman" w:cs="Arial"/>
                <w:color w:val="000000" w:themeColor="text2"/>
                <w:sz w:val="20"/>
                <w:szCs w:val="20"/>
                <w:lang w:val="en-ID" w:eastAsia="en-ID"/>
              </w:rPr>
              <w:t xml:space="preserve"> </w:t>
            </w:r>
          </w:p>
          <w:p w14:paraId="47E8A420" w14:textId="448226C8"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59" w:name="_Toc173318643"/>
            <w:r w:rsidRPr="0053072D">
              <w:rPr>
                <w:rFonts w:eastAsia="Times New Roman" w:cs="Arial"/>
                <w:color w:val="000000" w:themeColor="text2"/>
                <w:sz w:val="20"/>
                <w:szCs w:val="20"/>
                <w:lang w:val="en-ID" w:eastAsia="en-ID"/>
              </w:rPr>
              <w:lastRenderedPageBreak/>
              <w:t>To support the provincial office, PRISMA highlighted the importance of OPV seed production in NTT in an in-depth study (conducted by a research firm, Tulodo) for the</w:t>
            </w:r>
            <w:r w:rsidRPr="0053072D">
              <w:rPr>
                <w:rFonts w:eastAsiaTheme="minorEastAsia" w:cs="Arial"/>
                <w:color w:val="FFFFFF" w:themeColor="background1"/>
                <w:sz w:val="20"/>
                <w:szCs w:val="20"/>
                <w:lang w:eastAsia="en-GB"/>
              </w:rPr>
              <w:t xml:space="preserve"> </w:t>
            </w:r>
            <w:r w:rsidRPr="0053072D">
              <w:rPr>
                <w:rFonts w:eastAsia="Times New Roman" w:cs="Arial"/>
                <w:color w:val="000000" w:themeColor="text2"/>
                <w:sz w:val="20"/>
                <w:szCs w:val="20"/>
                <w:lang w:eastAsia="en-ID"/>
              </w:rPr>
              <w:t>Regional Development Planning, Research, and Innovation Agency (</w:t>
            </w:r>
            <w:r w:rsidRPr="0053072D">
              <w:rPr>
                <w:rFonts w:eastAsia="Times New Roman" w:cs="Arial"/>
                <w:color w:val="000000" w:themeColor="text2"/>
                <w:sz w:val="20"/>
                <w:szCs w:val="20"/>
                <w:lang w:val="en-ID" w:eastAsia="en-ID"/>
              </w:rPr>
              <w:t>Bapperida), which will provide input for the NTT RPJMD.</w:t>
            </w:r>
            <w:bookmarkEnd w:id="459"/>
          </w:p>
        </w:tc>
      </w:tr>
      <w:tr w:rsidR="00B30B11" w:rsidRPr="0053072D" w14:paraId="5C244F03" w14:textId="77777777" w:rsidTr="00EE453C">
        <w:tc>
          <w:tcPr>
            <w:tcW w:w="2122" w:type="dxa"/>
            <w:vMerge/>
          </w:tcPr>
          <w:p w14:paraId="2238369A"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vMerge/>
          </w:tcPr>
          <w:p w14:paraId="61937BD3"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698" w:type="dxa"/>
          </w:tcPr>
          <w:p w14:paraId="72022B3C" w14:textId="233A5CC4"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460" w:name="_Toc173318644"/>
            <w:r w:rsidRPr="0053072D">
              <w:rPr>
                <w:rFonts w:eastAsia="Times New Roman" w:cs="Aptos"/>
                <w:color w:val="000000"/>
                <w:sz w:val="20"/>
                <w:szCs w:val="20"/>
                <w:lang w:val="en-ID" w:eastAsia="en-ID"/>
              </w:rPr>
              <w:t>Support the provincial government in developing a policy brief on the importance of breeder seed production of OPV by the national government (the Agriculture Instrumental Agency).</w:t>
            </w:r>
            <w:bookmarkEnd w:id="460"/>
          </w:p>
        </w:tc>
        <w:tc>
          <w:tcPr>
            <w:tcW w:w="3118" w:type="dxa"/>
          </w:tcPr>
          <w:p w14:paraId="584197FA" w14:textId="77777777" w:rsidR="00B30B11" w:rsidRPr="0053072D" w:rsidRDefault="00B30B11" w:rsidP="00F01D1A">
            <w:pPr>
              <w:keepNext/>
              <w:keepLines/>
              <w:spacing w:after="80"/>
              <w:ind w:left="37" w:firstLine="14"/>
              <w:outlineLvl w:val="1"/>
              <w:rPr>
                <w:rFonts w:eastAsia="Times New Roman" w:cs="Aptos"/>
                <w:color w:val="000000"/>
                <w:sz w:val="20"/>
                <w:szCs w:val="20"/>
                <w:lang w:val="en-ID" w:eastAsia="en-ID"/>
              </w:rPr>
            </w:pPr>
            <w:bookmarkStart w:id="461" w:name="_Toc173318645"/>
            <w:r w:rsidRPr="0053072D">
              <w:rPr>
                <w:rFonts w:eastAsia="Times New Roman" w:cs="Arial"/>
                <w:color w:val="0E2841"/>
                <w:sz w:val="20"/>
                <w:szCs w:val="20"/>
                <w:lang w:val="en-ID" w:eastAsia="en-ID"/>
              </w:rPr>
              <w:t>Published and disseminated policy brief</w:t>
            </w:r>
            <w:r w:rsidRPr="0053072D">
              <w:rPr>
                <w:rFonts w:eastAsia="Times New Roman" w:cs="Arial"/>
                <w:color w:val="000000"/>
                <w:sz w:val="20"/>
                <w:szCs w:val="20"/>
                <w:lang w:val="en-ID" w:eastAsia="en-ID"/>
              </w:rPr>
              <w:br/>
            </w:r>
            <w:r w:rsidRPr="0053072D">
              <w:rPr>
                <w:rFonts w:eastAsia="Times New Roman" w:cs="Arial"/>
                <w:color w:val="0E2841"/>
                <w:sz w:val="20"/>
                <w:szCs w:val="20"/>
                <w:lang w:val="en-ID" w:eastAsia="en-ID"/>
              </w:rPr>
              <w:t>and supporting study report</w:t>
            </w:r>
            <w:bookmarkEnd w:id="461"/>
            <w:r w:rsidRPr="0053072D">
              <w:rPr>
                <w:rFonts w:eastAsia="Times New Roman" w:cs="Arial"/>
                <w:color w:val="0E2841"/>
                <w:sz w:val="20"/>
                <w:szCs w:val="20"/>
                <w:lang w:val="en-ID" w:eastAsia="en-ID"/>
              </w:rPr>
              <w:t xml:space="preserve"> </w:t>
            </w:r>
          </w:p>
        </w:tc>
        <w:tc>
          <w:tcPr>
            <w:tcW w:w="3787" w:type="dxa"/>
          </w:tcPr>
          <w:p w14:paraId="67704356"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62" w:name="_Toc173318646"/>
            <w:r w:rsidRPr="0053072D">
              <w:rPr>
                <w:rFonts w:eastAsia="Times New Roman" w:cs="Arial"/>
                <w:color w:val="000000" w:themeColor="text2"/>
                <w:sz w:val="20"/>
                <w:szCs w:val="20"/>
                <w:lang w:val="en-ID" w:eastAsia="en-ID"/>
              </w:rPr>
              <w:t>PRISMA engaged Tulodo as a research firm to conduct a study focusing on the business-enabling environment for seed producers—including OPV seeds—to develop their supply chains in NTT. Tulodo has conducted a literature review and interviewed key stakeholders.</w:t>
            </w:r>
            <w:bookmarkEnd w:id="462"/>
            <w:r w:rsidRPr="0053072D">
              <w:rPr>
                <w:rFonts w:eastAsia="Times New Roman" w:cs="Arial"/>
                <w:color w:val="000000" w:themeColor="text2"/>
                <w:sz w:val="20"/>
                <w:szCs w:val="20"/>
                <w:lang w:val="en-ID" w:eastAsia="en-ID"/>
              </w:rPr>
              <w:t xml:space="preserve"> </w:t>
            </w:r>
          </w:p>
          <w:p w14:paraId="58D41B33" w14:textId="09EA49AE"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63" w:name="_Toc173318647"/>
            <w:r w:rsidRPr="0053072D">
              <w:rPr>
                <w:rFonts w:eastAsia="Times New Roman" w:cs="Arial"/>
                <w:color w:val="000000" w:themeColor="text2"/>
                <w:sz w:val="20"/>
                <w:szCs w:val="20"/>
                <w:lang w:val="en-ID" w:eastAsia="en-ID"/>
              </w:rPr>
              <w:t>In May 2024, the findings were shared and discussed further in a FGD in Kupang. This event was attended by the NTT Agriculture and Food Security Service, several heads of agricultural services from maize-producing districts (including Southwest Sumba, East Manggarai, and South Central Timor), NTT seed producers, and farmer kiosks. The study’s results will be used to write a policy brief and provide inputs for the NTT RPJMD.</w:t>
            </w:r>
            <w:bookmarkEnd w:id="463"/>
          </w:p>
        </w:tc>
      </w:tr>
      <w:tr w:rsidR="00B30B11" w:rsidRPr="0053072D" w14:paraId="5B2B89C4" w14:textId="77777777" w:rsidTr="00EE453C">
        <w:tc>
          <w:tcPr>
            <w:tcW w:w="2122" w:type="dxa"/>
            <w:vMerge w:val="restart"/>
          </w:tcPr>
          <w:p w14:paraId="77F81DF9" w14:textId="1062158F"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464" w:name="_Toc173318648"/>
            <w:r w:rsidRPr="0053072D">
              <w:rPr>
                <w:rFonts w:eastAsia="Times New Roman" w:cs="Aptos"/>
                <w:color w:val="000000"/>
                <w:sz w:val="20"/>
                <w:szCs w:val="20"/>
                <w:lang w:val="en-ID" w:eastAsia="en-ID"/>
              </w:rPr>
              <w:t>Knowledge harvesting and dissemination</w:t>
            </w:r>
            <w:bookmarkEnd w:id="464"/>
          </w:p>
        </w:tc>
        <w:tc>
          <w:tcPr>
            <w:tcW w:w="2835" w:type="dxa"/>
          </w:tcPr>
          <w:p w14:paraId="04A2CB47" w14:textId="55DC276D"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465" w:name="_Toc173318649"/>
            <w:r w:rsidRPr="0053072D">
              <w:rPr>
                <w:rFonts w:eastAsia="Times New Roman" w:cs="Aptos"/>
                <w:color w:val="000000"/>
                <w:sz w:val="20"/>
                <w:szCs w:val="20"/>
                <w:lang w:val="en-ID" w:eastAsia="en-ID"/>
              </w:rPr>
              <w:t>Capturing and sharing NTT market characteristics and learnings with national seed companies</w:t>
            </w:r>
            <w:bookmarkEnd w:id="465"/>
          </w:p>
        </w:tc>
        <w:tc>
          <w:tcPr>
            <w:tcW w:w="2698" w:type="dxa"/>
          </w:tcPr>
          <w:p w14:paraId="745D12F8" w14:textId="102FD6D1"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466" w:name="_Toc173318650"/>
            <w:r w:rsidRPr="0053072D">
              <w:rPr>
                <w:rFonts w:eastAsia="Times New Roman" w:cs="Aptos"/>
                <w:color w:val="000000"/>
                <w:sz w:val="20"/>
                <w:szCs w:val="20"/>
                <w:lang w:val="en-ID" w:eastAsia="en-ID"/>
              </w:rPr>
              <w:t>Share information and facilitate networking with national seed companies in the NTT context.</w:t>
            </w:r>
            <w:bookmarkEnd w:id="466"/>
          </w:p>
        </w:tc>
        <w:tc>
          <w:tcPr>
            <w:tcW w:w="3118" w:type="dxa"/>
          </w:tcPr>
          <w:p w14:paraId="31ADAC6E" w14:textId="54CB2E2D" w:rsidR="00B30B11" w:rsidRPr="0053072D" w:rsidRDefault="00B30B11" w:rsidP="00F01D1A">
            <w:pPr>
              <w:keepNext/>
              <w:keepLines/>
              <w:spacing w:after="80"/>
              <w:ind w:left="37" w:firstLine="14"/>
              <w:outlineLvl w:val="1"/>
              <w:rPr>
                <w:rFonts w:eastAsia="Times New Roman" w:cs="Aptos"/>
                <w:color w:val="000000"/>
                <w:sz w:val="20"/>
                <w:szCs w:val="20"/>
                <w:lang w:val="en-ID" w:eastAsia="en-ID"/>
              </w:rPr>
            </w:pPr>
            <w:bookmarkStart w:id="467" w:name="_Toc173318651"/>
            <w:r w:rsidRPr="0053072D">
              <w:rPr>
                <w:rFonts w:eastAsia="Times New Roman" w:cs="Arial"/>
                <w:color w:val="000000"/>
                <w:sz w:val="20"/>
                <w:szCs w:val="20"/>
                <w:lang w:val="en-ID" w:eastAsia="en-ID"/>
              </w:rPr>
              <w:t>A list of national companies engaged and linkages made with local networks (semesterly)</w:t>
            </w:r>
            <w:bookmarkEnd w:id="467"/>
          </w:p>
        </w:tc>
        <w:tc>
          <w:tcPr>
            <w:tcW w:w="3787" w:type="dxa"/>
          </w:tcPr>
          <w:p w14:paraId="6EBCC702" w14:textId="7E00A802"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68" w:name="_Toc173318652"/>
            <w:r w:rsidRPr="0053072D">
              <w:rPr>
                <w:rFonts w:eastAsia="Times New Roman" w:cs="Arial"/>
                <w:color w:val="000000"/>
                <w:sz w:val="20"/>
                <w:szCs w:val="20"/>
                <w:lang w:val="en-ID" w:eastAsia="en-ID"/>
              </w:rPr>
              <w:t xml:space="preserve">National seed companies still have little interest in investing in NTT. PRISMA plans to hold a sharing and networking session in August 2024 between national companies and some local NTT players. The event will promote </w:t>
            </w:r>
            <w:r w:rsidRPr="0053072D">
              <w:rPr>
                <w:rFonts w:eastAsia="Times New Roman" w:cs="Arial"/>
                <w:color w:val="000000"/>
                <w:sz w:val="20"/>
                <w:szCs w:val="20"/>
                <w:lang w:val="en-ID" w:eastAsia="en-ID"/>
              </w:rPr>
              <w:lastRenderedPageBreak/>
              <w:t>the market potential of Maize Madura and Maize NTT.</w:t>
            </w:r>
            <w:bookmarkEnd w:id="468"/>
          </w:p>
        </w:tc>
      </w:tr>
      <w:tr w:rsidR="00B30B11" w:rsidRPr="0053072D" w14:paraId="47A6E72F" w14:textId="77777777" w:rsidTr="00EE453C">
        <w:tc>
          <w:tcPr>
            <w:tcW w:w="2122" w:type="dxa"/>
            <w:vMerge/>
          </w:tcPr>
          <w:p w14:paraId="30510FBA"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tcPr>
          <w:p w14:paraId="30D51F26" w14:textId="36B03097"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469" w:name="_Toc173318653"/>
            <w:r w:rsidRPr="0053072D">
              <w:rPr>
                <w:rFonts w:eastAsia="Times New Roman" w:cs="Aptos"/>
                <w:color w:val="000000"/>
                <w:sz w:val="20"/>
                <w:szCs w:val="20"/>
                <w:lang w:val="en-ID" w:eastAsia="en-ID"/>
              </w:rPr>
              <w:t>Capturing the learnings from the independent capacity-building modules for public extension services</w:t>
            </w:r>
            <w:bookmarkEnd w:id="469"/>
          </w:p>
        </w:tc>
        <w:tc>
          <w:tcPr>
            <w:tcW w:w="2698" w:type="dxa"/>
          </w:tcPr>
          <w:p w14:paraId="7B18C0B4" w14:textId="10AF22AB" w:rsidR="00B30B11" w:rsidRPr="0053072D" w:rsidRDefault="00B30B11" w:rsidP="00EE453C">
            <w:pPr>
              <w:keepNext/>
              <w:keepLines/>
              <w:spacing w:after="120"/>
              <w:ind w:left="11"/>
              <w:outlineLvl w:val="1"/>
              <w:rPr>
                <w:rFonts w:eastAsia="Times New Roman" w:cs="Arial"/>
                <w:strike/>
                <w:color w:val="FF0000"/>
                <w:sz w:val="20"/>
                <w:szCs w:val="20"/>
                <w:lang w:val="en-ID" w:eastAsia="en-ID"/>
              </w:rPr>
            </w:pPr>
            <w:bookmarkStart w:id="470" w:name="_Toc173318654"/>
            <w:r w:rsidRPr="0053072D">
              <w:rPr>
                <w:rFonts w:eastAsia="Times New Roman" w:cs="Aptos"/>
                <w:color w:val="000000"/>
                <w:sz w:val="20"/>
                <w:szCs w:val="20"/>
                <w:lang w:val="en-ID" w:eastAsia="en-ID"/>
              </w:rPr>
              <w:t>Monitor the implementation of capacity building through independent learning run by the local district government.</w:t>
            </w:r>
            <w:bookmarkEnd w:id="470"/>
          </w:p>
        </w:tc>
        <w:tc>
          <w:tcPr>
            <w:tcW w:w="3118" w:type="dxa"/>
          </w:tcPr>
          <w:p w14:paraId="7FA5B9AA" w14:textId="306203AD" w:rsidR="00B30B11" w:rsidRPr="0053072D" w:rsidRDefault="00B30B11" w:rsidP="00F01D1A">
            <w:pPr>
              <w:keepNext/>
              <w:keepLines/>
              <w:spacing w:after="80"/>
              <w:ind w:left="37" w:firstLine="14"/>
              <w:outlineLvl w:val="1"/>
              <w:rPr>
                <w:rFonts w:eastAsia="Times New Roman" w:cs="Aptos"/>
                <w:strike/>
                <w:color w:val="FF0000"/>
                <w:sz w:val="20"/>
                <w:szCs w:val="20"/>
                <w:lang w:val="en-ID" w:eastAsia="en-ID"/>
              </w:rPr>
            </w:pPr>
            <w:bookmarkStart w:id="471" w:name="_Toc173318655"/>
            <w:r w:rsidRPr="0053072D">
              <w:rPr>
                <w:rFonts w:eastAsia="Times New Roman" w:cs="Arial"/>
                <w:color w:val="000000"/>
                <w:sz w:val="20"/>
                <w:szCs w:val="20"/>
                <w:lang w:val="en-ID" w:eastAsia="en-ID"/>
              </w:rPr>
              <w:t>A summary of implementation progress and lessons learned</w:t>
            </w:r>
            <w:bookmarkEnd w:id="471"/>
          </w:p>
        </w:tc>
        <w:tc>
          <w:tcPr>
            <w:tcW w:w="3787" w:type="dxa"/>
          </w:tcPr>
          <w:p w14:paraId="13D0ADC4" w14:textId="777B4A0B"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72" w:name="_Toc173318656"/>
            <w:r w:rsidRPr="0053072D">
              <w:rPr>
                <w:rFonts w:eastAsia="Times New Roman" w:cs="Arial"/>
                <w:color w:val="000000"/>
                <w:sz w:val="20"/>
                <w:szCs w:val="20"/>
                <w:lang w:val="en-ID" w:eastAsia="en-ID"/>
              </w:rPr>
              <w:t>Following up on the kick-off events for the independent training modules with 5 district governments in August-September 2023, 2 districts (Southwest Sumba and East Manggarai) with a total of</w:t>
            </w:r>
            <w:r w:rsidRPr="0053072D">
              <w:rPr>
                <w:rFonts w:eastAsiaTheme="minorEastAsia"/>
                <w:sz w:val="20"/>
                <w:szCs w:val="20"/>
                <w:lang w:eastAsia="en-GB"/>
              </w:rPr>
              <w:t xml:space="preserve"> </w:t>
            </w:r>
            <w:r w:rsidRPr="0053072D">
              <w:rPr>
                <w:sz w:val="20"/>
                <w:szCs w:val="20"/>
              </w:rPr>
              <w:t>254</w:t>
            </w:r>
            <w:r w:rsidRPr="0053072D">
              <w:rPr>
                <w:rFonts w:eastAsia="Times New Roman" w:cs="Arial"/>
                <w:color w:val="000000"/>
                <w:sz w:val="20"/>
                <w:szCs w:val="20"/>
                <w:lang w:eastAsia="en-ID"/>
              </w:rPr>
              <w:t xml:space="preserve"> public extension services</w:t>
            </w:r>
            <w:r w:rsidRPr="0053072D">
              <w:rPr>
                <w:rFonts w:eastAsia="Times New Roman" w:cs="Arial"/>
                <w:color w:val="000000"/>
                <w:sz w:val="20"/>
                <w:szCs w:val="20"/>
                <w:lang w:val="en-ID" w:eastAsia="en-ID"/>
              </w:rPr>
              <w:t xml:space="preserve"> have completed the modules. In 3 other districts (Sikka, Belu, and Kupang), progress has stalled because (1) capacity building did not translate to the credit point of the public extension service, and (2) </w:t>
            </w:r>
            <w:r w:rsidRPr="0053072D">
              <w:rPr>
                <w:sz w:val="20"/>
                <w:szCs w:val="20"/>
              </w:rPr>
              <w:t xml:space="preserve"> </w:t>
            </w:r>
            <w:r w:rsidRPr="0053072D">
              <w:rPr>
                <w:rFonts w:eastAsia="Times New Roman" w:cs="Arial"/>
                <w:color w:val="000000"/>
                <w:sz w:val="20"/>
                <w:szCs w:val="20"/>
                <w:lang w:val="en-ID" w:eastAsia="en-ID"/>
              </w:rPr>
              <w:t>the extension workers considered the transportation and meal allowance as important incentives to conduct capacity-building.</w:t>
            </w:r>
            <w:r w:rsidRPr="0053072D">
              <w:rPr>
                <w:rFonts w:eastAsia="Times New Roman" w:cs="Arial"/>
                <w:color w:val="000000"/>
                <w:sz w:val="20"/>
                <w:szCs w:val="20"/>
                <w:vertAlign w:val="superscript"/>
                <w:lang w:val="en-ID" w:eastAsia="en-ID"/>
              </w:rPr>
              <w:footnoteReference w:id="17"/>
            </w:r>
            <w:bookmarkEnd w:id="472"/>
          </w:p>
        </w:tc>
      </w:tr>
      <w:tr w:rsidR="00B30B11" w:rsidRPr="0053072D" w14:paraId="5AAFAD4B" w14:textId="77777777" w:rsidTr="00EE453C">
        <w:tc>
          <w:tcPr>
            <w:tcW w:w="2122" w:type="dxa"/>
            <w:vMerge/>
          </w:tcPr>
          <w:p w14:paraId="68FFCBA4"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tcPr>
          <w:p w14:paraId="38343D0D" w14:textId="1C227747"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473" w:name="_Toc173318657"/>
            <w:r w:rsidRPr="0053072D">
              <w:rPr>
                <w:rFonts w:eastAsia="Times New Roman" w:cs="Aptos"/>
                <w:color w:val="000000"/>
                <w:sz w:val="20"/>
                <w:szCs w:val="20"/>
                <w:lang w:val="en-ID" w:eastAsia="en-ID"/>
              </w:rPr>
              <w:t>Sharing the learnings on developing the maize market in NTT with other stakeholders (for example, local governments, NGOs, the private sector)</w:t>
            </w:r>
            <w:bookmarkEnd w:id="473"/>
          </w:p>
        </w:tc>
        <w:tc>
          <w:tcPr>
            <w:tcW w:w="2698" w:type="dxa"/>
          </w:tcPr>
          <w:p w14:paraId="4716F9D5"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474" w:name="_Toc173318658"/>
            <w:r w:rsidRPr="0053072D">
              <w:rPr>
                <w:rFonts w:eastAsia="Times New Roman" w:cs="Aptos"/>
                <w:color w:val="000000"/>
                <w:sz w:val="20"/>
                <w:szCs w:val="20"/>
                <w:lang w:val="en-ID" w:eastAsia="en-ID"/>
              </w:rPr>
              <w:t>Publish the summary of learnings and conduct sharing events.</w:t>
            </w:r>
            <w:bookmarkEnd w:id="474"/>
            <w:r w:rsidRPr="0053072D">
              <w:rPr>
                <w:rFonts w:eastAsia="Times New Roman" w:cs="Aptos"/>
                <w:color w:val="000000"/>
                <w:sz w:val="20"/>
                <w:szCs w:val="20"/>
                <w:lang w:val="en-ID" w:eastAsia="en-ID"/>
              </w:rPr>
              <w:t xml:space="preserve"> </w:t>
            </w:r>
          </w:p>
        </w:tc>
        <w:tc>
          <w:tcPr>
            <w:tcW w:w="3118" w:type="dxa"/>
          </w:tcPr>
          <w:p w14:paraId="577B3F9D" w14:textId="334B1E3C" w:rsidR="00B30B11" w:rsidRPr="0053072D" w:rsidRDefault="00B30B11" w:rsidP="00F01D1A">
            <w:pPr>
              <w:keepNext/>
              <w:keepLines/>
              <w:spacing w:after="80"/>
              <w:ind w:left="37" w:firstLine="14"/>
              <w:outlineLvl w:val="1"/>
              <w:rPr>
                <w:rFonts w:eastAsia="Times New Roman" w:cs="Aptos"/>
                <w:color w:val="000000"/>
                <w:sz w:val="20"/>
                <w:szCs w:val="20"/>
                <w:lang w:val="en-ID" w:eastAsia="en-ID"/>
              </w:rPr>
            </w:pPr>
            <w:bookmarkStart w:id="475" w:name="_Toc173318659"/>
            <w:r w:rsidRPr="0053072D">
              <w:rPr>
                <w:rFonts w:eastAsia="Times New Roman" w:cs="Arial"/>
                <w:color w:val="000000"/>
                <w:sz w:val="20"/>
                <w:szCs w:val="20"/>
                <w:lang w:val="en-ID" w:eastAsia="en-ID"/>
              </w:rPr>
              <w:t>The summary of learnings is published and distributed during the sharing events.</w:t>
            </w:r>
            <w:bookmarkEnd w:id="475"/>
          </w:p>
        </w:tc>
        <w:tc>
          <w:tcPr>
            <w:tcW w:w="3787" w:type="dxa"/>
          </w:tcPr>
          <w:p w14:paraId="2E443EB5"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76" w:name="_Toc173318660"/>
            <w:r w:rsidRPr="0053072D">
              <w:rPr>
                <w:rFonts w:eastAsia="Times New Roman" w:cs="Arial"/>
                <w:color w:val="000000" w:themeColor="text2"/>
                <w:sz w:val="20"/>
                <w:szCs w:val="20"/>
                <w:lang w:val="en-ID" w:eastAsia="en-ID"/>
              </w:rPr>
              <w:t xml:space="preserve">PRISMA collaborated with the district agriculture offices to hold 2 sharing events – one in Southwest Sumba and the other in East Manggarai. The topic was on the learnings on developing the maize market in the area. It highlighted the important role of public extension services as the front liners of introducing agri-innovations and the need for their continuous capacity building. The event was attended by representatives from 3 other agriculture offices from neighbouring districts (West Sumba, Central Sumba, East </w:t>
            </w:r>
            <w:r w:rsidRPr="0053072D">
              <w:rPr>
                <w:rFonts w:eastAsia="Times New Roman" w:cs="Arial"/>
                <w:color w:val="000000" w:themeColor="text2"/>
                <w:sz w:val="20"/>
                <w:szCs w:val="20"/>
                <w:lang w:val="en-ID" w:eastAsia="en-ID"/>
              </w:rPr>
              <w:lastRenderedPageBreak/>
              <w:t>Sumba, West Manggarai, Manggarai, and Ngada).</w:t>
            </w:r>
            <w:bookmarkEnd w:id="476"/>
            <w:r w:rsidRPr="0053072D">
              <w:rPr>
                <w:rFonts w:eastAsia="Times New Roman" w:cs="Arial"/>
                <w:color w:val="000000" w:themeColor="text2"/>
                <w:sz w:val="20"/>
                <w:szCs w:val="20"/>
                <w:lang w:val="en-ID" w:eastAsia="en-ID"/>
              </w:rPr>
              <w:t xml:space="preserve"> </w:t>
            </w:r>
          </w:p>
          <w:p w14:paraId="0B2662F9" w14:textId="6217731D"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77" w:name="_Toc173318661"/>
            <w:r w:rsidRPr="0053072D">
              <w:rPr>
                <w:rFonts w:eastAsia="Times New Roman" w:cs="Arial"/>
                <w:color w:val="000000" w:themeColor="text2"/>
                <w:sz w:val="20"/>
                <w:szCs w:val="20"/>
                <w:lang w:val="en-ID" w:eastAsia="en-ID"/>
              </w:rPr>
              <w:t>In addition to the local government, representatives from the local private sector (including kiosks, off-takers, and seed producers) and local NGOs were also present. The goal was to facilitate interaction and linkages between stakeholders in advancing the development of the maize market.</w:t>
            </w:r>
            <w:bookmarkEnd w:id="477"/>
          </w:p>
        </w:tc>
      </w:tr>
    </w:tbl>
    <w:p w14:paraId="2097F0FD" w14:textId="77777777" w:rsidR="00B30B11" w:rsidRPr="0053072D" w:rsidRDefault="00B30B11" w:rsidP="00B30B11">
      <w:pPr>
        <w:keepNext/>
        <w:keepLines/>
        <w:spacing w:after="120" w:line="240" w:lineRule="auto"/>
        <w:ind w:left="11"/>
        <w:outlineLvl w:val="1"/>
        <w:rPr>
          <w:rFonts w:eastAsia="Times New Roman" w:cs="Arial"/>
          <w:color w:val="000000"/>
          <w:szCs w:val="20"/>
          <w:lang w:val="en-ID" w:eastAsia="en-ID"/>
        </w:rPr>
      </w:pPr>
    </w:p>
    <w:p w14:paraId="3E6BDE77" w14:textId="0E2E4AA6" w:rsidR="00B30B11" w:rsidRPr="0053072D" w:rsidRDefault="00B30B11" w:rsidP="00B30B11">
      <w:pPr>
        <w:keepNext/>
        <w:keepLines/>
        <w:spacing w:after="360" w:line="240" w:lineRule="auto"/>
        <w:ind w:left="851"/>
        <w:outlineLvl w:val="1"/>
        <w:rPr>
          <w:rFonts w:eastAsia="Times New Roman" w:cs="Arial"/>
          <w:b/>
          <w:bCs/>
          <w:color w:val="262C66"/>
          <w:szCs w:val="20"/>
          <w:lang w:val="en-ID" w:eastAsia="en-ID"/>
        </w:rPr>
      </w:pPr>
      <w:bookmarkStart w:id="478" w:name="_Toc173318662"/>
      <w:r w:rsidRPr="0053072D">
        <w:rPr>
          <w:rFonts w:eastAsia="Times New Roman" w:cs="Arial"/>
          <w:b/>
          <w:bCs/>
          <w:noProof/>
          <w:color w:val="262C66"/>
          <w:szCs w:val="20"/>
          <w:lang w:val="en-ID" w:eastAsia="en-ID"/>
          <w14:ligatures w14:val="standardContextual"/>
        </w:rPr>
        <w:drawing>
          <wp:anchor distT="0" distB="0" distL="114300" distR="114300" simplePos="0" relativeHeight="251658278" behindDoc="0" locked="0" layoutInCell="1" allowOverlap="1" wp14:anchorId="4EF7CCA4" wp14:editId="13729CE7">
            <wp:simplePos x="0" y="0"/>
            <wp:positionH relativeFrom="column">
              <wp:posOffset>1905</wp:posOffset>
            </wp:positionH>
            <wp:positionV relativeFrom="paragraph">
              <wp:posOffset>-120650</wp:posOffset>
            </wp:positionV>
            <wp:extent cx="468000" cy="468000"/>
            <wp:effectExtent l="0" t="0" r="0" b="0"/>
            <wp:wrapNone/>
            <wp:docPr id="1404855566" name="Graphic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65167" name="Graphic 9">
                      <a:extLst>
                        <a:ext uri="{C183D7F6-B498-43B3-948B-1728B52AA6E4}">
                          <adec:decorative xmlns:adec="http://schemas.microsoft.com/office/drawing/2017/decorative" val="1"/>
                        </a:ext>
                      </a:extLst>
                    </pic:cNvPr>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468000" cy="468000"/>
                    </a:xfrm>
                    <a:prstGeom prst="rect">
                      <a:avLst/>
                    </a:prstGeom>
                  </pic:spPr>
                </pic:pic>
              </a:graphicData>
            </a:graphic>
            <wp14:sizeRelH relativeFrom="page">
              <wp14:pctWidth>0</wp14:pctWidth>
            </wp14:sizeRelH>
            <wp14:sizeRelV relativeFrom="page">
              <wp14:pctHeight>0</wp14:pctHeight>
            </wp14:sizeRelV>
          </wp:anchor>
        </w:drawing>
      </w:r>
      <w:r w:rsidR="00321DBB">
        <w:rPr>
          <w:rFonts w:eastAsia="Times New Roman" w:cs="Arial"/>
          <w:b/>
          <w:bCs/>
          <w:color w:val="262C66"/>
          <w:szCs w:val="20"/>
          <w:lang w:val="en-ID" w:eastAsia="en-ID"/>
        </w:rPr>
        <w:t>Progress</w:t>
      </w:r>
      <w:r w:rsidRPr="0053072D">
        <w:rPr>
          <w:rFonts w:eastAsia="Times New Roman" w:cs="Arial"/>
          <w:b/>
          <w:bCs/>
          <w:color w:val="262C66"/>
          <w:szCs w:val="20"/>
          <w:lang w:val="en-ID" w:eastAsia="en-ID"/>
        </w:rPr>
        <w:t>: Mechanisation</w:t>
      </w:r>
      <w:bookmarkEnd w:id="478"/>
    </w:p>
    <w:p w14:paraId="4B4250F3" w14:textId="66907E1A" w:rsidR="00B30B11" w:rsidRPr="0053072D" w:rsidRDefault="007B35F5" w:rsidP="00B30B11">
      <w:pPr>
        <w:keepNext/>
        <w:keepLines/>
        <w:spacing w:before="120" w:after="120" w:line="276" w:lineRule="auto"/>
        <w:contextualSpacing/>
        <w:outlineLvl w:val="1"/>
        <w:rPr>
          <w:rFonts w:eastAsia="Yu Gothic" w:cs="Arial"/>
          <w:b/>
          <w:bCs/>
          <w:color w:val="252D65"/>
          <w:szCs w:val="20"/>
        </w:rPr>
      </w:pPr>
      <w:r>
        <w:rPr>
          <w:rFonts w:eastAsia="Yu Gothic" w:cs="Arial"/>
          <w:b/>
          <w:bCs/>
          <w:color w:val="252D65"/>
          <w:szCs w:val="20"/>
        </w:rPr>
        <w:br/>
      </w:r>
      <w:bookmarkStart w:id="479" w:name="_Toc173318663"/>
      <w:r w:rsidR="00B30B11" w:rsidRPr="0053072D">
        <w:rPr>
          <w:rFonts w:eastAsia="Yu Gothic" w:cs="Arial"/>
          <w:b/>
          <w:bCs/>
          <w:color w:val="252D65"/>
          <w:szCs w:val="20"/>
        </w:rPr>
        <w:t>Vision</w:t>
      </w:r>
      <w:bookmarkEnd w:id="479"/>
    </w:p>
    <w:p w14:paraId="0704E206" w14:textId="173DA34C" w:rsidR="00B30B11" w:rsidRPr="0053072D" w:rsidRDefault="00B30B11" w:rsidP="007B35F5">
      <w:pPr>
        <w:keepNext/>
        <w:keepLines/>
        <w:spacing w:after="120" w:line="276" w:lineRule="auto"/>
        <w:ind w:left="11"/>
        <w:outlineLvl w:val="1"/>
        <w:rPr>
          <w:rFonts w:eastAsia="Times New Roman" w:cs="Arial"/>
          <w:color w:val="000000"/>
          <w:szCs w:val="20"/>
          <w:lang w:val="en-ID" w:eastAsia="en-ID"/>
        </w:rPr>
      </w:pPr>
      <w:bookmarkStart w:id="480" w:name="_Toc173318664"/>
      <w:r w:rsidRPr="0053072D">
        <w:rPr>
          <w:rFonts w:eastAsia="Times New Roman" w:cs="Arial"/>
          <w:color w:val="000000"/>
          <w:szCs w:val="20"/>
          <w:lang w:val="en-ID" w:eastAsia="en-ID"/>
        </w:rPr>
        <w:t>Smallholder farmers increasingly use agriculture machinery and tools (for example, maize combine harvesters and planters), resulting in reduced labour costs and improved yields. PRISMA will achieve this by supporting machinery companies to promote machine access to smallholder farmers and improve aftersales services</w:t>
      </w:r>
      <w:r w:rsidR="007B35F5">
        <w:rPr>
          <w:rFonts w:eastAsia="Times New Roman" w:cs="Arial"/>
          <w:color w:val="000000"/>
          <w:szCs w:val="20"/>
          <w:lang w:val="en-ID" w:eastAsia="en-ID"/>
        </w:rPr>
        <w:t>.</w:t>
      </w:r>
      <w:bookmarkEnd w:id="480"/>
      <w:r w:rsidR="007B35F5">
        <w:rPr>
          <w:rFonts w:eastAsia="Times New Roman" w:cs="Arial"/>
          <w:color w:val="000000"/>
          <w:szCs w:val="20"/>
          <w:lang w:val="en-ID" w:eastAsia="en-ID"/>
        </w:rPr>
        <w:br/>
      </w:r>
    </w:p>
    <w:tbl>
      <w:tblPr>
        <w:tblStyle w:val="TableGrid1"/>
        <w:tblpPr w:leftFromText="181" w:rightFromText="181" w:vertAnchor="text" w:tblpY="1"/>
        <w:tblOverlap w:val="never"/>
        <w:tblW w:w="0" w:type="auto"/>
        <w:tblBorders>
          <w:top w:val="none" w:sz="0" w:space="0" w:color="auto"/>
          <w:left w:val="none" w:sz="0" w:space="0" w:color="auto"/>
          <w:bottom w:val="single" w:sz="4" w:space="0" w:color="000000"/>
          <w:right w:val="none" w:sz="0" w:space="0" w:color="auto"/>
          <w:insideH w:val="single" w:sz="4" w:space="0" w:color="000000"/>
          <w:insideV w:val="none" w:sz="0" w:space="0" w:color="auto"/>
        </w:tblBorders>
        <w:tblCellMar>
          <w:top w:w="170" w:type="dxa"/>
          <w:bottom w:w="113" w:type="dxa"/>
          <w:right w:w="170" w:type="dxa"/>
        </w:tblCellMar>
        <w:tblLook w:val="06A0" w:firstRow="1" w:lastRow="0" w:firstColumn="1" w:lastColumn="0" w:noHBand="1" w:noVBand="1"/>
      </w:tblPr>
      <w:tblGrid>
        <w:gridCol w:w="2122"/>
        <w:gridCol w:w="2835"/>
        <w:gridCol w:w="2698"/>
        <w:gridCol w:w="3118"/>
        <w:gridCol w:w="3787"/>
      </w:tblGrid>
      <w:tr w:rsidR="00B30B11" w:rsidRPr="0053072D" w14:paraId="3FD615DE" w14:textId="77777777" w:rsidTr="00EE453C">
        <w:tc>
          <w:tcPr>
            <w:tcW w:w="2122" w:type="dxa"/>
            <w:tcBorders>
              <w:top w:val="nil"/>
              <w:right w:val="single" w:sz="4" w:space="0" w:color="FFFFFF"/>
            </w:tcBorders>
            <w:shd w:val="clear" w:color="auto" w:fill="262C66"/>
          </w:tcPr>
          <w:p w14:paraId="615FB9CC" w14:textId="443491BC" w:rsidR="00B30B11" w:rsidRPr="0053072D" w:rsidRDefault="00B30B11" w:rsidP="007B35F5">
            <w:pPr>
              <w:keepNext/>
              <w:keepLines/>
              <w:spacing w:before="60" w:after="60"/>
              <w:ind w:left="11"/>
              <w:jc w:val="center"/>
              <w:outlineLvl w:val="1"/>
              <w:rPr>
                <w:rFonts w:eastAsia="Times New Roman" w:cs="Arial"/>
                <w:b/>
                <w:bCs/>
                <w:color w:val="FFFFFF"/>
                <w:sz w:val="20"/>
                <w:szCs w:val="20"/>
                <w:lang w:val="en-ID" w:eastAsia="en-ID"/>
              </w:rPr>
            </w:pPr>
            <w:bookmarkStart w:id="481" w:name="_Toc173318665"/>
            <w:r w:rsidRPr="0053072D">
              <w:rPr>
                <w:rFonts w:eastAsia="Times New Roman" w:cs="Arial"/>
                <w:b/>
                <w:bCs/>
                <w:color w:val="FFFFFF"/>
                <w:sz w:val="20"/>
                <w:szCs w:val="20"/>
                <w:lang w:val="en-ID" w:eastAsia="en-ID"/>
              </w:rPr>
              <w:t>Exit strategies</w:t>
            </w:r>
            <w:bookmarkEnd w:id="481"/>
          </w:p>
        </w:tc>
        <w:tc>
          <w:tcPr>
            <w:tcW w:w="2835" w:type="dxa"/>
            <w:tcBorders>
              <w:top w:val="nil"/>
              <w:left w:val="single" w:sz="4" w:space="0" w:color="FFFFFF"/>
              <w:right w:val="single" w:sz="4" w:space="0" w:color="FFFFFF"/>
            </w:tcBorders>
            <w:shd w:val="clear" w:color="auto" w:fill="262C66"/>
          </w:tcPr>
          <w:p w14:paraId="3067BB1A" w14:textId="3EED6A9E" w:rsidR="00B30B11" w:rsidRPr="0053072D" w:rsidRDefault="00B30B11" w:rsidP="007B35F5">
            <w:pPr>
              <w:keepNext/>
              <w:keepLines/>
              <w:spacing w:before="60" w:after="60"/>
              <w:ind w:left="11"/>
              <w:jc w:val="center"/>
              <w:outlineLvl w:val="1"/>
              <w:rPr>
                <w:rFonts w:eastAsia="Times New Roman" w:cs="Arial"/>
                <w:b/>
                <w:bCs/>
                <w:color w:val="FFFFFF"/>
                <w:sz w:val="20"/>
                <w:szCs w:val="20"/>
                <w:lang w:val="en-ID" w:eastAsia="en-ID"/>
              </w:rPr>
            </w:pPr>
            <w:bookmarkStart w:id="482" w:name="_Toc173318666"/>
            <w:r w:rsidRPr="0053072D">
              <w:rPr>
                <w:rFonts w:eastAsia="Times New Roman" w:cs="Arial"/>
                <w:b/>
                <w:bCs/>
                <w:color w:val="FFFFFF"/>
                <w:sz w:val="20"/>
                <w:szCs w:val="20"/>
                <w:lang w:val="en-ID" w:eastAsia="en-ID"/>
              </w:rPr>
              <w:t>Focus areas</w:t>
            </w:r>
            <w:bookmarkEnd w:id="482"/>
          </w:p>
        </w:tc>
        <w:tc>
          <w:tcPr>
            <w:tcW w:w="2698" w:type="dxa"/>
            <w:tcBorders>
              <w:top w:val="nil"/>
              <w:left w:val="single" w:sz="4" w:space="0" w:color="FFFFFF"/>
              <w:right w:val="single" w:sz="4" w:space="0" w:color="FFFFFF"/>
            </w:tcBorders>
            <w:shd w:val="clear" w:color="auto" w:fill="262C66"/>
          </w:tcPr>
          <w:p w14:paraId="16818ED1" w14:textId="07672967" w:rsidR="00B30B11" w:rsidRPr="0053072D" w:rsidRDefault="00B30B11" w:rsidP="007B35F5">
            <w:pPr>
              <w:keepNext/>
              <w:keepLines/>
              <w:spacing w:before="60" w:after="60"/>
              <w:ind w:left="11"/>
              <w:jc w:val="center"/>
              <w:outlineLvl w:val="1"/>
              <w:rPr>
                <w:rFonts w:eastAsia="Times New Roman" w:cs="Arial"/>
                <w:b/>
                <w:bCs/>
                <w:color w:val="FFFFFF"/>
                <w:sz w:val="20"/>
                <w:szCs w:val="20"/>
                <w:lang w:val="en-ID" w:eastAsia="en-ID"/>
              </w:rPr>
            </w:pPr>
            <w:bookmarkStart w:id="483" w:name="_Toc173318667"/>
            <w:r w:rsidRPr="0053072D">
              <w:rPr>
                <w:rFonts w:eastAsia="Times New Roman" w:cs="Arial"/>
                <w:b/>
                <w:bCs/>
                <w:color w:val="FFFFFF"/>
                <w:sz w:val="20"/>
                <w:szCs w:val="20"/>
                <w:lang w:val="en-ID" w:eastAsia="en-ID"/>
              </w:rPr>
              <w:t>Planned initiatives</w:t>
            </w:r>
            <w:bookmarkEnd w:id="483"/>
          </w:p>
        </w:tc>
        <w:tc>
          <w:tcPr>
            <w:tcW w:w="3118" w:type="dxa"/>
            <w:tcBorders>
              <w:top w:val="nil"/>
              <w:left w:val="single" w:sz="4" w:space="0" w:color="FFFFFF"/>
              <w:right w:val="single" w:sz="4" w:space="0" w:color="FFFFFF"/>
            </w:tcBorders>
            <w:shd w:val="clear" w:color="auto" w:fill="262C66"/>
          </w:tcPr>
          <w:p w14:paraId="0350AE83" w14:textId="00FF6F26" w:rsidR="00B30B11" w:rsidRPr="0053072D" w:rsidRDefault="00B30B11" w:rsidP="007B35F5">
            <w:pPr>
              <w:keepNext/>
              <w:keepLines/>
              <w:spacing w:before="60" w:after="60"/>
              <w:ind w:left="11"/>
              <w:jc w:val="center"/>
              <w:outlineLvl w:val="1"/>
              <w:rPr>
                <w:rFonts w:eastAsia="Times New Roman" w:cs="Arial"/>
                <w:b/>
                <w:bCs/>
                <w:color w:val="FFFFFF"/>
                <w:sz w:val="20"/>
                <w:szCs w:val="20"/>
                <w:lang w:val="en-ID" w:eastAsia="en-ID"/>
              </w:rPr>
            </w:pPr>
            <w:bookmarkStart w:id="484" w:name="_Toc173318668"/>
            <w:r w:rsidRPr="0053072D">
              <w:rPr>
                <w:rFonts w:eastAsia="Times New Roman" w:cs="Arial"/>
                <w:b/>
                <w:bCs/>
                <w:color w:val="FFFFFF"/>
                <w:sz w:val="20"/>
                <w:szCs w:val="20"/>
                <w:lang w:val="en-ID" w:eastAsia="en-ID"/>
              </w:rPr>
              <w:t>Expected outputs</w:t>
            </w:r>
            <w:bookmarkEnd w:id="484"/>
          </w:p>
        </w:tc>
        <w:tc>
          <w:tcPr>
            <w:tcW w:w="3787" w:type="dxa"/>
            <w:tcBorders>
              <w:top w:val="nil"/>
              <w:left w:val="single" w:sz="4" w:space="0" w:color="FFFFFF"/>
            </w:tcBorders>
            <w:shd w:val="clear" w:color="auto" w:fill="262C66"/>
          </w:tcPr>
          <w:p w14:paraId="49438F1D" w14:textId="7CEFCBA8" w:rsidR="00B30B11" w:rsidRPr="0053072D" w:rsidRDefault="00B30B11" w:rsidP="007B35F5">
            <w:pPr>
              <w:keepNext/>
              <w:keepLines/>
              <w:spacing w:before="60" w:after="60"/>
              <w:ind w:left="11"/>
              <w:jc w:val="center"/>
              <w:outlineLvl w:val="1"/>
              <w:rPr>
                <w:rFonts w:eastAsia="Times New Roman" w:cs="Arial"/>
                <w:b/>
                <w:bCs/>
                <w:color w:val="FFFFFF"/>
                <w:sz w:val="20"/>
                <w:szCs w:val="20"/>
                <w:lang w:val="en-ID" w:eastAsia="en-ID"/>
              </w:rPr>
            </w:pPr>
            <w:bookmarkStart w:id="485" w:name="_Toc173318669"/>
            <w:r w:rsidRPr="0053072D">
              <w:rPr>
                <w:rFonts w:eastAsia="Times New Roman" w:cs="Arial"/>
                <w:b/>
                <w:bCs/>
                <w:color w:val="FFFFFF"/>
                <w:sz w:val="20"/>
                <w:szCs w:val="20"/>
                <w:lang w:val="en-ID" w:eastAsia="en-ID"/>
              </w:rPr>
              <w:t>Progress update</w:t>
            </w:r>
            <w:bookmarkEnd w:id="485"/>
          </w:p>
        </w:tc>
      </w:tr>
      <w:tr w:rsidR="00B30B11" w:rsidRPr="0053072D" w14:paraId="324FD50B" w14:textId="77777777" w:rsidTr="00EE453C">
        <w:tc>
          <w:tcPr>
            <w:tcW w:w="2122" w:type="dxa"/>
          </w:tcPr>
          <w:p w14:paraId="1311B753" w14:textId="543F9640" w:rsidR="00B30B11" w:rsidRPr="0053072D" w:rsidRDefault="00B30B11" w:rsidP="007B35F5">
            <w:pPr>
              <w:keepNext/>
              <w:keepLines/>
              <w:spacing w:after="80"/>
              <w:ind w:left="42" w:firstLine="20"/>
              <w:outlineLvl w:val="1"/>
              <w:rPr>
                <w:rFonts w:eastAsia="Times New Roman" w:cs="Arial"/>
                <w:b/>
                <w:bCs/>
                <w:color w:val="000000"/>
                <w:sz w:val="20"/>
                <w:szCs w:val="20"/>
                <w:lang w:val="en-ID" w:eastAsia="en-ID"/>
              </w:rPr>
            </w:pPr>
            <w:bookmarkStart w:id="486" w:name="_Toc173318670"/>
            <w:r w:rsidRPr="0053072D">
              <w:rPr>
                <w:rFonts w:eastAsia="Times New Roman" w:cs="Arial"/>
                <w:color w:val="000000"/>
                <w:sz w:val="20"/>
                <w:szCs w:val="20"/>
                <w:lang w:val="en-ID" w:eastAsia="en-ID"/>
              </w:rPr>
              <w:t>Strategies towards ensuring greater sustainability</w:t>
            </w:r>
            <w:bookmarkEnd w:id="486"/>
          </w:p>
          <w:p w14:paraId="29B29E2E" w14:textId="4BF430C4" w:rsidR="00B30B11" w:rsidRPr="0053072D" w:rsidRDefault="00B30B11" w:rsidP="007B35F5">
            <w:pPr>
              <w:keepNext/>
              <w:keepLines/>
              <w:spacing w:after="80"/>
              <w:ind w:left="42" w:firstLine="20"/>
              <w:outlineLvl w:val="1"/>
              <w:rPr>
                <w:rFonts w:eastAsia="Times New Roman" w:cs="Arial"/>
                <w:color w:val="000000"/>
                <w:sz w:val="20"/>
                <w:szCs w:val="20"/>
                <w:lang w:val="en-ID" w:eastAsia="en-ID"/>
              </w:rPr>
            </w:pPr>
            <w:bookmarkStart w:id="487" w:name="_Toc173318671"/>
            <w:r w:rsidRPr="0053072D">
              <w:rPr>
                <w:rFonts w:eastAsia="Times New Roman" w:cs="Arial"/>
                <w:color w:val="000000"/>
                <w:sz w:val="20"/>
                <w:szCs w:val="20"/>
                <w:lang w:val="en-ID" w:eastAsia="en-ID"/>
              </w:rPr>
              <w:t>Knowledge harvesting and dissemination</w:t>
            </w:r>
            <w:bookmarkEnd w:id="487"/>
          </w:p>
        </w:tc>
        <w:tc>
          <w:tcPr>
            <w:tcW w:w="2835" w:type="dxa"/>
          </w:tcPr>
          <w:p w14:paraId="446B18F0" w14:textId="2C591D24"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88" w:name="_Toc173318672"/>
            <w:r w:rsidRPr="0053072D">
              <w:rPr>
                <w:rFonts w:eastAsia="Times New Roman" w:cs="Aptos"/>
                <w:color w:val="000000"/>
                <w:sz w:val="20"/>
                <w:szCs w:val="20"/>
                <w:lang w:val="en-ID" w:eastAsia="en-ID"/>
              </w:rPr>
              <w:t>Conducting a series of workshops to socialise information on market potential to attract more machinery companies to enter the NTT market</w:t>
            </w:r>
            <w:bookmarkEnd w:id="488"/>
          </w:p>
        </w:tc>
        <w:tc>
          <w:tcPr>
            <w:tcW w:w="2698" w:type="dxa"/>
          </w:tcPr>
          <w:p w14:paraId="5BA87AF0"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89" w:name="_Toc173318673"/>
            <w:r w:rsidRPr="0053072D">
              <w:rPr>
                <w:rFonts w:eastAsia="Times New Roman" w:cs="Aptos"/>
                <w:color w:val="000000"/>
                <w:sz w:val="20"/>
                <w:szCs w:val="20"/>
                <w:lang w:val="en-ID" w:eastAsia="en-ID"/>
              </w:rPr>
              <w:t>Collaborate with the government to socialise the information on market potential to attract more machinery entering the NTT market.</w:t>
            </w:r>
            <w:bookmarkEnd w:id="489"/>
            <w:r w:rsidRPr="0053072D">
              <w:rPr>
                <w:rFonts w:eastAsia="Times New Roman" w:cs="Aptos"/>
                <w:color w:val="000000"/>
                <w:sz w:val="20"/>
                <w:szCs w:val="20"/>
                <w:lang w:val="en-ID" w:eastAsia="en-ID"/>
              </w:rPr>
              <w:t xml:space="preserve"> </w:t>
            </w:r>
          </w:p>
        </w:tc>
        <w:tc>
          <w:tcPr>
            <w:tcW w:w="3118" w:type="dxa"/>
          </w:tcPr>
          <w:p w14:paraId="69813B87" w14:textId="77777777" w:rsidR="00B30B11" w:rsidRPr="0053072D" w:rsidRDefault="00B30B11" w:rsidP="007B35F5">
            <w:pPr>
              <w:keepNext/>
              <w:keepLines/>
              <w:spacing w:after="80"/>
              <w:ind w:left="37" w:firstLine="14"/>
              <w:outlineLvl w:val="1"/>
              <w:rPr>
                <w:rFonts w:eastAsia="Times New Roman" w:cs="Arial"/>
                <w:color w:val="000000"/>
                <w:sz w:val="20"/>
                <w:szCs w:val="20"/>
                <w:lang w:val="en-ID" w:eastAsia="en-ID"/>
              </w:rPr>
            </w:pPr>
            <w:bookmarkStart w:id="490" w:name="_Toc173318674"/>
            <w:r w:rsidRPr="0053072D">
              <w:rPr>
                <w:rFonts w:eastAsia="Times New Roman" w:cs="Arial"/>
                <w:color w:val="000000"/>
                <w:sz w:val="20"/>
                <w:szCs w:val="20"/>
                <w:lang w:val="en-ID" w:eastAsia="en-ID"/>
              </w:rPr>
              <w:t>A workshop for disseminating the NTT market study report</w:t>
            </w:r>
            <w:bookmarkEnd w:id="490"/>
            <w:r w:rsidRPr="0053072D">
              <w:rPr>
                <w:rFonts w:eastAsia="Times New Roman" w:cs="Arial"/>
                <w:color w:val="000000"/>
                <w:sz w:val="20"/>
                <w:szCs w:val="20"/>
                <w:lang w:val="en-ID" w:eastAsia="en-ID"/>
              </w:rPr>
              <w:t xml:space="preserve"> </w:t>
            </w:r>
          </w:p>
        </w:tc>
        <w:tc>
          <w:tcPr>
            <w:tcW w:w="3787" w:type="dxa"/>
          </w:tcPr>
          <w:p w14:paraId="1DD58AED" w14:textId="77777777" w:rsidR="00B30B11" w:rsidRDefault="00B30B11" w:rsidP="00EE453C">
            <w:pPr>
              <w:keepNext/>
              <w:keepLines/>
              <w:spacing w:after="80"/>
              <w:outlineLvl w:val="1"/>
              <w:rPr>
                <w:rFonts w:eastAsia="Times New Roman" w:cs="Arial"/>
                <w:color w:val="000000"/>
                <w:sz w:val="20"/>
                <w:szCs w:val="20"/>
                <w:lang w:val="en-ID" w:eastAsia="en-ID"/>
              </w:rPr>
            </w:pPr>
            <w:bookmarkStart w:id="491" w:name="_Toc173318675"/>
            <w:r>
              <w:rPr>
                <w:rFonts w:eastAsia="Times New Roman" w:cs="Arial"/>
                <w:color w:val="000000"/>
                <w:sz w:val="20"/>
                <w:szCs w:val="20"/>
                <w:lang w:val="en-ID" w:eastAsia="en-ID"/>
              </w:rPr>
              <w:t>PRISMA teamed up with NTT's Agriculture and Food Security Department to organize a workshop in Kupang, NTT. The participants included members of the Government Mechanisation Service Unit (UPJA) and Agriculture Department staff from key rice-producing districts in NTT. AGRINDO, an agricultural machinery company, shared best practices for the machinery rental business.</w:t>
            </w:r>
            <w:bookmarkEnd w:id="491"/>
            <w:r>
              <w:rPr>
                <w:rFonts w:eastAsia="Times New Roman" w:cs="Arial"/>
                <w:color w:val="000000"/>
                <w:sz w:val="20"/>
                <w:szCs w:val="20"/>
                <w:lang w:val="en-ID" w:eastAsia="en-ID"/>
              </w:rPr>
              <w:t xml:space="preserve"> </w:t>
            </w:r>
          </w:p>
          <w:p w14:paraId="243F7A9E" w14:textId="16550E53" w:rsidR="00B30B11" w:rsidRPr="0053072D" w:rsidRDefault="00B30B11" w:rsidP="00EE453C">
            <w:pPr>
              <w:keepNext/>
              <w:keepLines/>
              <w:spacing w:after="80"/>
              <w:outlineLvl w:val="1"/>
              <w:rPr>
                <w:rFonts w:eastAsia="Times New Roman" w:cs="Arial"/>
                <w:i/>
                <w:iCs/>
                <w:color w:val="C00000"/>
                <w:sz w:val="20"/>
                <w:szCs w:val="20"/>
                <w:lang w:val="en-ID" w:eastAsia="en-ID"/>
              </w:rPr>
            </w:pPr>
            <w:bookmarkStart w:id="492" w:name="_Toc173318676"/>
            <w:r>
              <w:rPr>
                <w:rFonts w:eastAsia="Times New Roman" w:cs="Arial"/>
                <w:color w:val="000000"/>
                <w:sz w:val="20"/>
                <w:szCs w:val="20"/>
                <w:lang w:val="en-ID" w:eastAsia="en-ID"/>
              </w:rPr>
              <w:lastRenderedPageBreak/>
              <w:t>Furthermore, recognizing the significant potential in NTT, AGRINDO proposed collaborating with the Agriculture and Food Security Department to support machinery operation.</w:t>
            </w:r>
            <w:bookmarkEnd w:id="492"/>
          </w:p>
        </w:tc>
      </w:tr>
      <w:tr w:rsidR="00B30B11" w:rsidRPr="0053072D" w14:paraId="0670971E" w14:textId="77777777" w:rsidTr="00EE453C">
        <w:tc>
          <w:tcPr>
            <w:tcW w:w="2122" w:type="dxa"/>
            <w:vMerge w:val="restart"/>
          </w:tcPr>
          <w:p w14:paraId="3BACD213" w14:textId="1164C17F" w:rsidR="00B30B11" w:rsidRPr="0053072D" w:rsidRDefault="00B30B11" w:rsidP="007B35F5">
            <w:pPr>
              <w:keepNext/>
              <w:keepLines/>
              <w:spacing w:after="120"/>
              <w:ind w:left="42" w:firstLine="20"/>
              <w:outlineLvl w:val="1"/>
              <w:rPr>
                <w:rFonts w:eastAsia="Times New Roman" w:cs="Arial"/>
                <w:color w:val="000000"/>
                <w:sz w:val="20"/>
                <w:szCs w:val="20"/>
                <w:lang w:val="en-ID" w:eastAsia="en-ID"/>
              </w:rPr>
            </w:pPr>
            <w:bookmarkStart w:id="493" w:name="_Toc173318677"/>
            <w:r w:rsidRPr="0053072D">
              <w:rPr>
                <w:rFonts w:eastAsia="Times New Roman" w:cs="Aptos"/>
                <w:color w:val="000000"/>
                <w:sz w:val="20"/>
                <w:szCs w:val="20"/>
                <w:lang w:val="en-ID" w:eastAsia="en-ID"/>
              </w:rPr>
              <w:lastRenderedPageBreak/>
              <w:t>Strategies towards ensuring greater sustainability</w:t>
            </w:r>
            <w:bookmarkEnd w:id="493"/>
          </w:p>
        </w:tc>
        <w:tc>
          <w:tcPr>
            <w:tcW w:w="2835" w:type="dxa"/>
            <w:vMerge w:val="restart"/>
          </w:tcPr>
          <w:p w14:paraId="7003FCE3"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94" w:name="_Toc173318678"/>
            <w:r w:rsidRPr="0053072D">
              <w:rPr>
                <w:rFonts w:eastAsia="Times New Roman" w:cs="Aptos"/>
                <w:color w:val="000000"/>
                <w:sz w:val="20"/>
                <w:szCs w:val="20"/>
                <w:lang w:val="en-ID" w:eastAsia="en-ID"/>
              </w:rPr>
              <w:t>Improving the capacity of parent companies to expand machinery businesses without further PRISMA support</w:t>
            </w:r>
            <w:bookmarkEnd w:id="494"/>
            <w:r w:rsidRPr="0053072D">
              <w:rPr>
                <w:rFonts w:eastAsia="Times New Roman" w:cs="Aptos"/>
                <w:color w:val="000000"/>
                <w:sz w:val="20"/>
                <w:szCs w:val="20"/>
                <w:lang w:val="en-ID" w:eastAsia="en-ID"/>
              </w:rPr>
              <w:t xml:space="preserve"> </w:t>
            </w:r>
          </w:p>
        </w:tc>
        <w:tc>
          <w:tcPr>
            <w:tcW w:w="2698" w:type="dxa"/>
          </w:tcPr>
          <w:p w14:paraId="6409966F" w14:textId="217EB984"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495" w:name="_Toc173318679"/>
            <w:r w:rsidRPr="0053072D">
              <w:rPr>
                <w:rFonts w:eastAsia="Times New Roman" w:cs="Aptos"/>
                <w:color w:val="000000"/>
                <w:sz w:val="20"/>
                <w:szCs w:val="20"/>
                <w:lang w:val="en-ID" w:eastAsia="en-ID"/>
              </w:rPr>
              <w:t>Explore collaborations with training providers to develop and promote modules for lean market research, aftersales operations, and digital marketing.</w:t>
            </w:r>
            <w:bookmarkEnd w:id="495"/>
          </w:p>
        </w:tc>
        <w:tc>
          <w:tcPr>
            <w:tcW w:w="3118" w:type="dxa"/>
          </w:tcPr>
          <w:p w14:paraId="5EDD17D5" w14:textId="77777777" w:rsidR="00B30B11" w:rsidRPr="0053072D" w:rsidRDefault="00B30B11" w:rsidP="007B35F5">
            <w:pPr>
              <w:keepNext/>
              <w:keepLines/>
              <w:spacing w:after="80"/>
              <w:ind w:left="37" w:firstLine="14"/>
              <w:outlineLvl w:val="1"/>
              <w:rPr>
                <w:rFonts w:eastAsia="Times New Roman" w:cs="Arial"/>
                <w:color w:val="000000"/>
                <w:sz w:val="20"/>
                <w:szCs w:val="20"/>
                <w:lang w:val="en-ID" w:eastAsia="en-ID"/>
              </w:rPr>
            </w:pPr>
            <w:bookmarkStart w:id="496" w:name="_Toc173318680"/>
            <w:r w:rsidRPr="0053072D">
              <w:rPr>
                <w:rFonts w:eastAsia="Times New Roman" w:cs="Arial"/>
                <w:color w:val="000000"/>
                <w:sz w:val="20"/>
                <w:szCs w:val="20"/>
                <w:lang w:val="en-ID" w:eastAsia="en-ID"/>
              </w:rPr>
              <w:t>A new module for each of the functions (lean market research, aftersales operation, and digital marketing) developed by the training providers</w:t>
            </w:r>
            <w:bookmarkEnd w:id="496"/>
            <w:r w:rsidRPr="0053072D">
              <w:rPr>
                <w:rFonts w:eastAsia="Times New Roman" w:cs="Arial"/>
                <w:color w:val="000000"/>
                <w:sz w:val="20"/>
                <w:szCs w:val="20"/>
                <w:lang w:val="en-ID" w:eastAsia="en-ID"/>
              </w:rPr>
              <w:t xml:space="preserve"> </w:t>
            </w:r>
          </w:p>
          <w:p w14:paraId="62E83BB7" w14:textId="56655A21" w:rsidR="00B30B11" w:rsidRPr="0053072D" w:rsidRDefault="00B30B11" w:rsidP="007B35F5">
            <w:pPr>
              <w:keepNext/>
              <w:keepLines/>
              <w:spacing w:after="80"/>
              <w:ind w:left="37" w:firstLine="14"/>
              <w:outlineLvl w:val="1"/>
              <w:rPr>
                <w:rFonts w:eastAsia="Times New Roman" w:cs="Arial"/>
                <w:color w:val="000000"/>
                <w:sz w:val="20"/>
                <w:szCs w:val="20"/>
                <w:lang w:val="en-ID" w:eastAsia="en-ID"/>
              </w:rPr>
            </w:pPr>
            <w:bookmarkStart w:id="497" w:name="_Toc173318681"/>
            <w:r w:rsidRPr="0053072D">
              <w:rPr>
                <w:rFonts w:eastAsia="Times New Roman" w:cs="Arial"/>
                <w:color w:val="000000"/>
                <w:sz w:val="20"/>
                <w:szCs w:val="20"/>
                <w:lang w:val="en-ID" w:eastAsia="en-ID"/>
              </w:rPr>
              <w:t>One promotion event to promote the training availability</w:t>
            </w:r>
            <w:bookmarkEnd w:id="497"/>
          </w:p>
        </w:tc>
        <w:tc>
          <w:tcPr>
            <w:tcW w:w="3787" w:type="dxa"/>
          </w:tcPr>
          <w:p w14:paraId="0247C68F" w14:textId="77777777" w:rsidR="00B30B11" w:rsidRDefault="00B30B11" w:rsidP="00EE453C">
            <w:pPr>
              <w:keepNext/>
              <w:keepLines/>
              <w:spacing w:after="120"/>
              <w:ind w:left="11"/>
              <w:outlineLvl w:val="1"/>
              <w:rPr>
                <w:rFonts w:eastAsia="Times New Roman" w:cs="Arial"/>
                <w:color w:val="000000"/>
                <w:sz w:val="20"/>
                <w:szCs w:val="20"/>
                <w:lang w:val="en-ID" w:eastAsia="en-ID"/>
              </w:rPr>
            </w:pPr>
            <w:bookmarkStart w:id="498" w:name="_Toc173318682"/>
            <w:r>
              <w:rPr>
                <w:rFonts w:eastAsia="Times New Roman" w:cs="Arial"/>
                <w:color w:val="000000"/>
                <w:sz w:val="20"/>
                <w:szCs w:val="20"/>
                <w:lang w:val="en-ID" w:eastAsia="en-ID"/>
              </w:rPr>
              <w:t>PRISMA has collaborated with three training institutions to create courses on lean market research, aftersales management, and digital marketing. These training providers are now offering these courses as new training modules.</w:t>
            </w:r>
            <w:bookmarkEnd w:id="498"/>
            <w:r>
              <w:rPr>
                <w:rFonts w:eastAsia="Times New Roman" w:cs="Arial"/>
                <w:color w:val="000000"/>
                <w:sz w:val="20"/>
                <w:szCs w:val="20"/>
                <w:lang w:val="en-ID" w:eastAsia="en-ID"/>
              </w:rPr>
              <w:t xml:space="preserve"> </w:t>
            </w:r>
          </w:p>
          <w:p w14:paraId="1698FEB8" w14:textId="26C03453" w:rsidR="00B30B11" w:rsidRPr="0053072D" w:rsidRDefault="00B30B11" w:rsidP="00EE453C">
            <w:pPr>
              <w:keepNext/>
              <w:keepLines/>
              <w:spacing w:after="120"/>
              <w:outlineLvl w:val="1"/>
              <w:rPr>
                <w:rFonts w:eastAsia="Times New Roman" w:cs="Arial"/>
                <w:color w:val="000000"/>
                <w:sz w:val="20"/>
                <w:szCs w:val="20"/>
                <w:lang w:val="en-ID" w:eastAsia="en-ID"/>
              </w:rPr>
            </w:pPr>
            <w:bookmarkStart w:id="499" w:name="_Toc173318683"/>
            <w:r>
              <w:rPr>
                <w:rFonts w:eastAsia="Times New Roman" w:cs="Arial"/>
                <w:color w:val="000000"/>
                <w:sz w:val="20"/>
                <w:szCs w:val="20"/>
                <w:lang w:val="en-ID" w:eastAsia="en-ID"/>
              </w:rPr>
              <w:t>Additionally, MRTKG, a training institute, has hosted a webinar to promote the market research module.</w:t>
            </w:r>
            <w:bookmarkEnd w:id="499"/>
          </w:p>
        </w:tc>
      </w:tr>
      <w:tr w:rsidR="00B30B11" w:rsidRPr="0053072D" w14:paraId="0BC16E84" w14:textId="77777777" w:rsidTr="00EE453C">
        <w:tc>
          <w:tcPr>
            <w:tcW w:w="2122" w:type="dxa"/>
            <w:vMerge/>
          </w:tcPr>
          <w:p w14:paraId="2861FBD8" w14:textId="77777777" w:rsidR="00B30B11" w:rsidRPr="0053072D" w:rsidRDefault="00B30B11" w:rsidP="007B35F5">
            <w:pPr>
              <w:keepNext/>
              <w:keepLines/>
              <w:spacing w:after="120"/>
              <w:ind w:left="42" w:firstLine="20"/>
              <w:outlineLvl w:val="1"/>
              <w:rPr>
                <w:rFonts w:eastAsia="Times New Roman" w:cs="Arial"/>
                <w:color w:val="000000"/>
                <w:sz w:val="20"/>
                <w:szCs w:val="20"/>
                <w:lang w:val="en-ID" w:eastAsia="en-ID"/>
              </w:rPr>
            </w:pPr>
          </w:p>
        </w:tc>
        <w:tc>
          <w:tcPr>
            <w:tcW w:w="2835" w:type="dxa"/>
            <w:vMerge/>
          </w:tcPr>
          <w:p w14:paraId="52074BCF"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98" w:type="dxa"/>
          </w:tcPr>
          <w:p w14:paraId="7CF422D5"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00" w:name="_Toc173318684"/>
            <w:r w:rsidRPr="0053072D">
              <w:rPr>
                <w:rFonts w:eastAsia="Times New Roman" w:cs="Aptos"/>
                <w:color w:val="000000"/>
                <w:sz w:val="20"/>
                <w:szCs w:val="20"/>
                <w:lang w:val="en-ID" w:eastAsia="en-ID"/>
              </w:rPr>
              <w:t>Partnerships with parent companies to build capacity for marketing and sales operations</w:t>
            </w:r>
            <w:bookmarkEnd w:id="500"/>
            <w:r w:rsidRPr="0053072D">
              <w:rPr>
                <w:rFonts w:eastAsia="Times New Roman" w:cs="Aptos"/>
                <w:color w:val="000000"/>
                <w:sz w:val="20"/>
                <w:szCs w:val="20"/>
                <w:lang w:val="en-ID" w:eastAsia="en-ID"/>
              </w:rPr>
              <w:br/>
              <w:t xml:space="preserve">  </w:t>
            </w:r>
          </w:p>
        </w:tc>
        <w:tc>
          <w:tcPr>
            <w:tcW w:w="3118" w:type="dxa"/>
          </w:tcPr>
          <w:p w14:paraId="3CE92F07" w14:textId="77777777" w:rsidR="00B30B11" w:rsidRPr="0053072D" w:rsidRDefault="00B30B11" w:rsidP="007B35F5">
            <w:pPr>
              <w:keepNext/>
              <w:keepLines/>
              <w:spacing w:after="80"/>
              <w:ind w:left="37" w:firstLine="14"/>
              <w:outlineLvl w:val="1"/>
              <w:rPr>
                <w:rFonts w:eastAsia="Times New Roman" w:cs="Arial"/>
                <w:color w:val="000000"/>
                <w:sz w:val="20"/>
                <w:szCs w:val="20"/>
                <w:lang w:val="en-ID" w:eastAsia="en-ID"/>
              </w:rPr>
            </w:pPr>
            <w:bookmarkStart w:id="501" w:name="_Toc173318685"/>
            <w:r w:rsidRPr="0053072D">
              <w:rPr>
                <w:rFonts w:eastAsia="Times New Roman" w:cs="Arial"/>
                <w:color w:val="000000"/>
                <w:sz w:val="20"/>
                <w:szCs w:val="20"/>
                <w:lang w:val="en-ID" w:eastAsia="en-ID"/>
              </w:rPr>
              <w:t>A capacity-building workshop in sales and marketing for 2 parent companies</w:t>
            </w:r>
            <w:bookmarkEnd w:id="501"/>
            <w:r w:rsidRPr="0053072D">
              <w:rPr>
                <w:rFonts w:eastAsia="Times New Roman" w:cs="Arial"/>
                <w:color w:val="000000"/>
                <w:sz w:val="20"/>
                <w:szCs w:val="20"/>
                <w:lang w:val="en-ID" w:eastAsia="en-ID"/>
              </w:rPr>
              <w:t xml:space="preserve"> </w:t>
            </w:r>
          </w:p>
        </w:tc>
        <w:tc>
          <w:tcPr>
            <w:tcW w:w="3787" w:type="dxa"/>
          </w:tcPr>
          <w:p w14:paraId="58BDFDE0" w14:textId="3E17F9F2"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02" w:name="_Toc173318686"/>
            <w:r>
              <w:rPr>
                <w:rFonts w:eastAsia="Times New Roman" w:cs="Arial"/>
                <w:color w:val="000000"/>
                <w:sz w:val="20"/>
                <w:szCs w:val="20"/>
                <w:lang w:val="en-ID" w:eastAsia="en-ID"/>
              </w:rPr>
              <w:t xml:space="preserve">Plans to </w:t>
            </w:r>
            <w:r w:rsidRPr="0053072D">
              <w:rPr>
                <w:rFonts w:eastAsia="Times New Roman" w:cs="Arial"/>
                <w:color w:val="000000"/>
                <w:sz w:val="20"/>
                <w:szCs w:val="20"/>
                <w:lang w:val="en-ID" w:eastAsia="en-ID"/>
              </w:rPr>
              <w:t>partner with parent agri-machinery companies</w:t>
            </w:r>
            <w:r>
              <w:rPr>
                <w:rFonts w:eastAsia="Times New Roman" w:cs="Arial"/>
                <w:color w:val="000000"/>
                <w:sz w:val="20"/>
                <w:szCs w:val="20"/>
                <w:lang w:val="en-ID" w:eastAsia="en-ID"/>
              </w:rPr>
              <w:t xml:space="preserve"> were</w:t>
            </w:r>
            <w:r w:rsidRPr="0053072D">
              <w:rPr>
                <w:rFonts w:eastAsia="Times New Roman" w:cs="Arial"/>
                <w:color w:val="000000"/>
                <w:sz w:val="20"/>
                <w:szCs w:val="20"/>
                <w:lang w:val="en-ID" w:eastAsia="en-ID"/>
              </w:rPr>
              <w:t xml:space="preserve"> hindered</w:t>
            </w:r>
            <w:r>
              <w:rPr>
                <w:rFonts w:eastAsia="Times New Roman" w:cs="Arial"/>
                <w:color w:val="000000"/>
                <w:sz w:val="20"/>
                <w:szCs w:val="20"/>
                <w:lang w:val="en-ID" w:eastAsia="en-ID"/>
              </w:rPr>
              <w:t xml:space="preserve"> by confidential business concerns</w:t>
            </w:r>
            <w:r w:rsidRPr="0053072D">
              <w:rPr>
                <w:rFonts w:eastAsia="Times New Roman" w:cs="Arial"/>
                <w:color w:val="000000"/>
                <w:sz w:val="20"/>
                <w:szCs w:val="20"/>
                <w:lang w:val="en-ID" w:eastAsia="en-ID"/>
              </w:rPr>
              <w:t xml:space="preserve">. </w:t>
            </w:r>
            <w:r>
              <w:rPr>
                <w:rFonts w:eastAsia="Times New Roman" w:cs="Arial"/>
                <w:color w:val="000000"/>
                <w:sz w:val="20"/>
                <w:szCs w:val="20"/>
                <w:lang w:val="en-ID" w:eastAsia="en-ID"/>
              </w:rPr>
              <w:t>T</w:t>
            </w:r>
            <w:r w:rsidRPr="0053072D">
              <w:rPr>
                <w:rFonts w:eastAsia="Times New Roman" w:cs="Arial"/>
                <w:color w:val="000000"/>
                <w:sz w:val="20"/>
                <w:szCs w:val="20"/>
                <w:lang w:val="en-ID" w:eastAsia="en-ID"/>
              </w:rPr>
              <w:t>h</w:t>
            </w:r>
            <w:r>
              <w:rPr>
                <w:rFonts w:eastAsia="Times New Roman" w:cs="Arial"/>
                <w:color w:val="000000"/>
                <w:sz w:val="20"/>
                <w:szCs w:val="20"/>
                <w:lang w:val="en-ID" w:eastAsia="en-ID"/>
              </w:rPr>
              <w:t>e</w:t>
            </w:r>
            <w:r w:rsidRPr="0053072D">
              <w:rPr>
                <w:rFonts w:eastAsia="Times New Roman" w:cs="Arial"/>
                <w:color w:val="000000"/>
                <w:sz w:val="20"/>
                <w:szCs w:val="20"/>
                <w:lang w:val="en-ID" w:eastAsia="en-ID"/>
              </w:rPr>
              <w:t xml:space="preserve"> activity was </w:t>
            </w:r>
            <w:r>
              <w:rPr>
                <w:rFonts w:eastAsia="Times New Roman" w:cs="Arial"/>
                <w:color w:val="000000"/>
                <w:sz w:val="20"/>
                <w:szCs w:val="20"/>
                <w:lang w:val="en-ID" w:eastAsia="en-ID"/>
              </w:rPr>
              <w:t xml:space="preserve">subsequently </w:t>
            </w:r>
            <w:r w:rsidRPr="0053072D">
              <w:rPr>
                <w:rFonts w:eastAsia="Times New Roman" w:cs="Arial"/>
                <w:color w:val="000000"/>
                <w:sz w:val="20"/>
                <w:szCs w:val="20"/>
                <w:lang w:val="en-ID" w:eastAsia="en-ID"/>
              </w:rPr>
              <w:t>dropped.</w:t>
            </w:r>
            <w:bookmarkEnd w:id="502"/>
          </w:p>
        </w:tc>
      </w:tr>
      <w:tr w:rsidR="00B30B11" w:rsidRPr="0053072D" w14:paraId="4EC726ED" w14:textId="77777777" w:rsidTr="00EE453C">
        <w:tc>
          <w:tcPr>
            <w:tcW w:w="2122" w:type="dxa"/>
          </w:tcPr>
          <w:p w14:paraId="16B98643" w14:textId="2D73622C" w:rsidR="00B30B11" w:rsidRPr="0053072D" w:rsidRDefault="00B30B11" w:rsidP="007B35F5">
            <w:pPr>
              <w:keepNext/>
              <w:keepLines/>
              <w:spacing w:after="120"/>
              <w:ind w:left="42" w:firstLine="20"/>
              <w:outlineLvl w:val="1"/>
              <w:rPr>
                <w:rFonts w:eastAsia="Times New Roman" w:cs="Arial"/>
                <w:color w:val="000000"/>
                <w:sz w:val="20"/>
                <w:szCs w:val="20"/>
                <w:lang w:val="en-ID" w:eastAsia="en-ID"/>
              </w:rPr>
            </w:pPr>
            <w:bookmarkStart w:id="503" w:name="_Toc173318687"/>
            <w:r w:rsidRPr="0053072D">
              <w:rPr>
                <w:rFonts w:eastAsia="Times New Roman" w:cs="Aptos"/>
                <w:color w:val="000000"/>
                <w:sz w:val="20"/>
                <w:szCs w:val="20"/>
                <w:lang w:val="en-ID" w:eastAsia="en-ID"/>
              </w:rPr>
              <w:t>Knowledge harvesting and dissemination</w:t>
            </w:r>
            <w:bookmarkEnd w:id="503"/>
          </w:p>
        </w:tc>
        <w:tc>
          <w:tcPr>
            <w:tcW w:w="2835" w:type="dxa"/>
          </w:tcPr>
          <w:p w14:paraId="666076AE" w14:textId="3EAD94B1"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04" w:name="_Toc173318688"/>
            <w:r w:rsidRPr="0053072D">
              <w:rPr>
                <w:rFonts w:eastAsia="Times New Roman" w:cs="Aptos"/>
                <w:color w:val="000000"/>
                <w:sz w:val="20"/>
                <w:szCs w:val="20"/>
                <w:lang w:val="en-ID" w:eastAsia="en-ID"/>
              </w:rPr>
              <w:t>Conducting stakeholder consultations to stimulate market competition and disseminate information on market potential</w:t>
            </w:r>
            <w:bookmarkEnd w:id="504"/>
          </w:p>
        </w:tc>
        <w:tc>
          <w:tcPr>
            <w:tcW w:w="2698" w:type="dxa"/>
          </w:tcPr>
          <w:p w14:paraId="1DB5CFD9" w14:textId="7A85566E"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05" w:name="_Toc173318689"/>
            <w:r w:rsidRPr="0053072D">
              <w:rPr>
                <w:rFonts w:eastAsia="Times New Roman" w:cs="Aptos"/>
                <w:color w:val="000000"/>
                <w:sz w:val="20"/>
                <w:szCs w:val="20"/>
                <w:lang w:val="en-ID" w:eastAsia="en-ID"/>
              </w:rPr>
              <w:t>Work with governments, associations, and the media to share the potential of the agricultural machinery market and its challenges.</w:t>
            </w:r>
            <w:bookmarkEnd w:id="505"/>
          </w:p>
        </w:tc>
        <w:tc>
          <w:tcPr>
            <w:tcW w:w="3118" w:type="dxa"/>
          </w:tcPr>
          <w:p w14:paraId="62F37B1E" w14:textId="77777777" w:rsidR="00B30B11" w:rsidRPr="0053072D" w:rsidRDefault="00B30B11" w:rsidP="007B35F5">
            <w:pPr>
              <w:keepNext/>
              <w:keepLines/>
              <w:spacing w:after="80"/>
              <w:ind w:left="37" w:firstLine="14"/>
              <w:outlineLvl w:val="1"/>
              <w:rPr>
                <w:rFonts w:eastAsia="Times New Roman" w:cs="Arial"/>
                <w:color w:val="000000"/>
                <w:sz w:val="20"/>
                <w:szCs w:val="20"/>
                <w:lang w:val="en-ID" w:eastAsia="en-ID"/>
              </w:rPr>
            </w:pPr>
            <w:bookmarkStart w:id="506" w:name="_Toc173318690"/>
            <w:r w:rsidRPr="0053072D">
              <w:rPr>
                <w:rFonts w:eastAsia="Times New Roman" w:cs="Arial"/>
                <w:color w:val="000000"/>
                <w:sz w:val="20"/>
                <w:szCs w:val="20"/>
                <w:lang w:val="en-ID" w:eastAsia="en-ID"/>
              </w:rPr>
              <w:t>Two seminars in collaboration with the media to disseminate information on the market potential of rice and maize machinery, including drones</w:t>
            </w:r>
            <w:bookmarkEnd w:id="506"/>
            <w:r w:rsidRPr="0053072D">
              <w:rPr>
                <w:rFonts w:eastAsia="Times New Roman" w:cs="Arial"/>
                <w:color w:val="000000"/>
                <w:sz w:val="20"/>
                <w:szCs w:val="20"/>
                <w:lang w:val="en-ID" w:eastAsia="en-ID"/>
              </w:rPr>
              <w:t xml:space="preserve"> </w:t>
            </w:r>
          </w:p>
        </w:tc>
        <w:tc>
          <w:tcPr>
            <w:tcW w:w="3787" w:type="dxa"/>
          </w:tcPr>
          <w:p w14:paraId="31C70C16"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07" w:name="_Toc173318691"/>
            <w:r w:rsidRPr="0053072D">
              <w:rPr>
                <w:rFonts w:eastAsia="Times New Roman" w:cs="Arial"/>
                <w:color w:val="000000"/>
                <w:sz w:val="20"/>
                <w:szCs w:val="20"/>
                <w:lang w:val="en-ID" w:eastAsia="en-ID"/>
              </w:rPr>
              <w:t>In partnership with Agrina Magazine, an agribusiness magazine, PRISMA organised a seminar in March in Jakarta. Key representatives from the machinery industry participated in the event. The seminar outlined the challenges and opportunities in the agri-machinery industry and shared possible solutions available in the market.</w:t>
            </w:r>
            <w:bookmarkEnd w:id="507"/>
            <w:r w:rsidRPr="0053072D">
              <w:rPr>
                <w:rFonts w:eastAsia="Times New Roman" w:cs="Arial"/>
                <w:color w:val="000000"/>
                <w:sz w:val="20"/>
                <w:szCs w:val="20"/>
                <w:lang w:val="en-ID" w:eastAsia="en-ID"/>
              </w:rPr>
              <w:t xml:space="preserve"> </w:t>
            </w:r>
          </w:p>
          <w:p w14:paraId="3C2767D5"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08" w:name="_Toc173318692"/>
            <w:r>
              <w:rPr>
                <w:rFonts w:eastAsia="Times New Roman" w:cs="Arial"/>
                <w:color w:val="000000"/>
                <w:sz w:val="20"/>
                <w:szCs w:val="20"/>
                <w:lang w:val="en-ID" w:eastAsia="en-ID"/>
              </w:rPr>
              <w:lastRenderedPageBreak/>
              <w:t xml:space="preserve">Agrina conducted a business forum in early June </w:t>
            </w:r>
            <w:r w:rsidRPr="0053072D">
              <w:rPr>
                <w:rFonts w:eastAsia="Times New Roman" w:cs="Arial"/>
                <w:color w:val="000000"/>
                <w:sz w:val="20"/>
                <w:szCs w:val="20"/>
                <w:lang w:val="en-ID" w:eastAsia="en-ID"/>
              </w:rPr>
              <w:t>as follow up to the event.</w:t>
            </w:r>
            <w:bookmarkEnd w:id="508"/>
            <w:r w:rsidRPr="0053072D">
              <w:rPr>
                <w:rFonts w:eastAsia="Times New Roman" w:cs="Arial"/>
                <w:color w:val="000000"/>
                <w:sz w:val="20"/>
                <w:szCs w:val="20"/>
                <w:lang w:val="en-ID" w:eastAsia="en-ID"/>
              </w:rPr>
              <w:t xml:space="preserve">  </w:t>
            </w:r>
          </w:p>
        </w:tc>
      </w:tr>
      <w:tr w:rsidR="00B30B11" w:rsidRPr="0053072D" w14:paraId="0090A79D" w14:textId="77777777" w:rsidTr="00EE453C">
        <w:tc>
          <w:tcPr>
            <w:tcW w:w="2122" w:type="dxa"/>
          </w:tcPr>
          <w:p w14:paraId="492D360D" w14:textId="3DF2B5CB" w:rsidR="00B30B11" w:rsidRPr="0053072D" w:rsidRDefault="00B30B11" w:rsidP="007B35F5">
            <w:pPr>
              <w:keepNext/>
              <w:keepLines/>
              <w:spacing w:after="120"/>
              <w:ind w:left="42" w:firstLine="20"/>
              <w:outlineLvl w:val="1"/>
              <w:rPr>
                <w:rFonts w:eastAsia="Times New Roman" w:cs="Arial"/>
                <w:color w:val="000000"/>
                <w:sz w:val="20"/>
                <w:szCs w:val="20"/>
                <w:lang w:val="en-ID" w:eastAsia="en-ID"/>
              </w:rPr>
            </w:pPr>
            <w:bookmarkStart w:id="509" w:name="_Toc173318693"/>
            <w:r w:rsidRPr="0053072D">
              <w:rPr>
                <w:rFonts w:eastAsia="Times New Roman" w:cs="Aptos"/>
                <w:color w:val="000000"/>
                <w:sz w:val="20"/>
                <w:szCs w:val="20"/>
                <w:lang w:val="en-ID" w:eastAsia="en-ID"/>
              </w:rPr>
              <w:lastRenderedPageBreak/>
              <w:t>Policy initiatives</w:t>
            </w:r>
            <w:bookmarkEnd w:id="509"/>
          </w:p>
        </w:tc>
        <w:tc>
          <w:tcPr>
            <w:tcW w:w="2835" w:type="dxa"/>
          </w:tcPr>
          <w:p w14:paraId="667F7666"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98" w:type="dxa"/>
          </w:tcPr>
          <w:p w14:paraId="42EE138D"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10" w:name="_Toc173318694"/>
            <w:r w:rsidRPr="0053072D">
              <w:rPr>
                <w:rFonts w:eastAsia="Times New Roman" w:cs="Aptos"/>
                <w:color w:val="000000"/>
                <w:sz w:val="20"/>
                <w:szCs w:val="20"/>
                <w:lang w:val="en-ID" w:eastAsia="en-ID"/>
              </w:rPr>
              <w:t>Work with governments, associations, or training institutions to streamline agriculture drone operation processes and procedures for pilot certification.</w:t>
            </w:r>
            <w:bookmarkEnd w:id="510"/>
            <w:r w:rsidRPr="0053072D">
              <w:rPr>
                <w:rFonts w:eastAsia="Times New Roman" w:cs="Aptos"/>
                <w:color w:val="000000"/>
                <w:sz w:val="20"/>
                <w:szCs w:val="20"/>
                <w:lang w:val="en-ID" w:eastAsia="en-ID"/>
              </w:rPr>
              <w:t xml:space="preserve">    </w:t>
            </w:r>
          </w:p>
        </w:tc>
        <w:tc>
          <w:tcPr>
            <w:tcW w:w="3118" w:type="dxa"/>
          </w:tcPr>
          <w:p w14:paraId="4270E2A9" w14:textId="77777777" w:rsidR="00B30B11" w:rsidRPr="0053072D" w:rsidRDefault="00B30B11" w:rsidP="007B35F5">
            <w:pPr>
              <w:keepNext/>
              <w:keepLines/>
              <w:spacing w:after="80"/>
              <w:ind w:left="37" w:firstLine="14"/>
              <w:outlineLvl w:val="1"/>
              <w:rPr>
                <w:rFonts w:eastAsia="Times New Roman" w:cs="Arial"/>
                <w:color w:val="000000"/>
                <w:sz w:val="20"/>
                <w:szCs w:val="20"/>
                <w:lang w:val="en-ID" w:eastAsia="en-ID"/>
              </w:rPr>
            </w:pPr>
            <w:bookmarkStart w:id="511" w:name="_Toc173318695"/>
            <w:r w:rsidRPr="0053072D">
              <w:rPr>
                <w:rFonts w:eastAsia="Times New Roman" w:cs="Arial"/>
                <w:color w:val="000000"/>
                <w:sz w:val="20"/>
                <w:szCs w:val="20"/>
                <w:lang w:val="en-ID" w:eastAsia="en-ID"/>
              </w:rPr>
              <w:t>A new drone spraying certification module is developed and implemented as an industry standard for drone pilots.</w:t>
            </w:r>
            <w:bookmarkEnd w:id="511"/>
            <w:r w:rsidRPr="0053072D">
              <w:rPr>
                <w:rFonts w:eastAsia="Times New Roman" w:cs="Arial"/>
                <w:color w:val="000000"/>
                <w:sz w:val="20"/>
                <w:szCs w:val="20"/>
                <w:lang w:val="en-ID" w:eastAsia="en-ID"/>
              </w:rPr>
              <w:t xml:space="preserve"> </w:t>
            </w:r>
          </w:p>
        </w:tc>
        <w:tc>
          <w:tcPr>
            <w:tcW w:w="3787" w:type="dxa"/>
          </w:tcPr>
          <w:p w14:paraId="7FB45072" w14:textId="0740ED0D"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12" w:name="_Toc173318696"/>
            <w:r w:rsidRPr="0053072D">
              <w:rPr>
                <w:rFonts w:eastAsia="Times New Roman" w:cs="Arial"/>
                <w:color w:val="000000"/>
                <w:sz w:val="20"/>
                <w:szCs w:val="20"/>
                <w:lang w:val="en-ID" w:eastAsia="en-ID"/>
              </w:rPr>
              <w:t>A new training module focused on drone spraying for pilot certification has been developed and socialised to market actors during the Agrina national seminar event.</w:t>
            </w:r>
            <w:bookmarkEnd w:id="512"/>
          </w:p>
          <w:p w14:paraId="437F2A90" w14:textId="3C7C4EBE"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13" w:name="_Toc173318697"/>
            <w:r w:rsidRPr="0053072D">
              <w:rPr>
                <w:rFonts w:eastAsia="Times New Roman" w:cs="Arial"/>
                <w:color w:val="000000"/>
                <w:sz w:val="20"/>
                <w:szCs w:val="20"/>
                <w:lang w:val="en-ID" w:eastAsia="en-ID"/>
              </w:rPr>
              <w:t>Furthermore, the Association of the Unmanned Systems and Technology Association will socialise the module at the Indonesian Drone Expo 2024 in August.</w:t>
            </w:r>
            <w:bookmarkEnd w:id="513"/>
          </w:p>
        </w:tc>
      </w:tr>
    </w:tbl>
    <w:p w14:paraId="487AE895" w14:textId="77777777" w:rsidR="00B30B11" w:rsidRPr="0053072D" w:rsidRDefault="00B30B11" w:rsidP="00B30B11">
      <w:pPr>
        <w:keepNext/>
        <w:keepLines/>
        <w:spacing w:after="120" w:line="240" w:lineRule="auto"/>
        <w:ind w:left="11"/>
        <w:outlineLvl w:val="1"/>
        <w:rPr>
          <w:rFonts w:eastAsia="Times New Roman" w:cs="Arial"/>
          <w:color w:val="000000"/>
          <w:szCs w:val="20"/>
          <w:lang w:val="en-ID" w:eastAsia="en-ID"/>
        </w:rPr>
      </w:pPr>
    </w:p>
    <w:p w14:paraId="6A59E933" w14:textId="77777777" w:rsidR="007B35F5" w:rsidRDefault="007B35F5" w:rsidP="00B30B11">
      <w:pPr>
        <w:keepNext/>
        <w:keepLines/>
        <w:spacing w:after="360" w:line="240" w:lineRule="auto"/>
        <w:ind w:left="851"/>
        <w:outlineLvl w:val="1"/>
        <w:rPr>
          <w:rFonts w:eastAsia="Times New Roman" w:cs="Arial"/>
          <w:b/>
          <w:bCs/>
          <w:color w:val="262C66"/>
          <w:szCs w:val="20"/>
          <w:lang w:val="en-ID" w:eastAsia="en-ID"/>
        </w:rPr>
      </w:pPr>
    </w:p>
    <w:p w14:paraId="6EC878B5" w14:textId="7DBD9FAD" w:rsidR="00B30B11" w:rsidRPr="0053072D" w:rsidRDefault="00B30B11" w:rsidP="00B30B11">
      <w:pPr>
        <w:keepNext/>
        <w:keepLines/>
        <w:spacing w:after="360" w:line="240" w:lineRule="auto"/>
        <w:ind w:left="851"/>
        <w:outlineLvl w:val="1"/>
        <w:rPr>
          <w:rFonts w:eastAsia="Times New Roman" w:cs="Arial"/>
          <w:b/>
          <w:bCs/>
          <w:color w:val="262C66"/>
          <w:szCs w:val="20"/>
          <w:lang w:val="en-ID" w:eastAsia="en-ID"/>
        </w:rPr>
      </w:pPr>
      <w:bookmarkStart w:id="514" w:name="_Toc173318698"/>
      <w:r w:rsidRPr="0053072D">
        <w:rPr>
          <w:rFonts w:eastAsia="Times New Roman" w:cs="Arial"/>
          <w:b/>
          <w:bCs/>
          <w:noProof/>
          <w:color w:val="262C66"/>
          <w:szCs w:val="20"/>
          <w:lang w:val="en-ID" w:eastAsia="en-ID"/>
          <w14:ligatures w14:val="standardContextual"/>
        </w:rPr>
        <w:drawing>
          <wp:anchor distT="0" distB="0" distL="114300" distR="114300" simplePos="0" relativeHeight="251658279" behindDoc="0" locked="0" layoutInCell="1" allowOverlap="1" wp14:anchorId="2EF9FDEB" wp14:editId="478EFC75">
            <wp:simplePos x="0" y="0"/>
            <wp:positionH relativeFrom="column">
              <wp:posOffset>13618</wp:posOffset>
            </wp:positionH>
            <wp:positionV relativeFrom="paragraph">
              <wp:posOffset>-110349</wp:posOffset>
            </wp:positionV>
            <wp:extent cx="432000" cy="432000"/>
            <wp:effectExtent l="0" t="0" r="0" b="0"/>
            <wp:wrapNone/>
            <wp:docPr id="2039792958" name="Graphic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132139" name="Graphic 10">
                      <a:extLst>
                        <a:ext uri="{C183D7F6-B498-43B3-948B-1728B52AA6E4}">
                          <adec:decorative xmlns:adec="http://schemas.microsoft.com/office/drawing/2017/decorative" val="1"/>
                        </a:ext>
                      </a:extLst>
                    </pic:cNvPr>
                    <pic:cNvPicPr/>
                  </pic:nvPicPr>
                  <pic:blipFill>
                    <a:blip r:embed="rId159" cstate="print">
                      <a:extLst>
                        <a:ext uri="{28A0092B-C50C-407E-A947-70E740481C1C}">
                          <a14:useLocalDpi xmlns:a14="http://schemas.microsoft.com/office/drawing/2010/main" val="0"/>
                        </a:ext>
                        <a:ext uri="{96DAC541-7B7A-43D3-8B79-37D633B846F1}">
                          <asvg:svgBlip xmlns:asvg="http://schemas.microsoft.com/office/drawing/2016/SVG/main" r:embed="rId160"/>
                        </a:ext>
                      </a:extLst>
                    </a:blip>
                    <a:stretch>
                      <a:fillRect/>
                    </a:stretch>
                  </pic:blipFill>
                  <pic:spPr>
                    <a:xfrm>
                      <a:off x="0" y="0"/>
                      <a:ext cx="432000" cy="432000"/>
                    </a:xfrm>
                    <a:prstGeom prst="rect">
                      <a:avLst/>
                    </a:prstGeom>
                  </pic:spPr>
                </pic:pic>
              </a:graphicData>
            </a:graphic>
            <wp14:sizeRelH relativeFrom="page">
              <wp14:pctWidth>0</wp14:pctWidth>
            </wp14:sizeRelH>
            <wp14:sizeRelV relativeFrom="page">
              <wp14:pctHeight>0</wp14:pctHeight>
            </wp14:sizeRelV>
          </wp:anchor>
        </w:drawing>
      </w:r>
      <w:r w:rsidR="00321DBB">
        <w:rPr>
          <w:rFonts w:eastAsia="Times New Roman" w:cs="Arial"/>
          <w:b/>
          <w:bCs/>
          <w:color w:val="262C66"/>
          <w:szCs w:val="20"/>
          <w:lang w:val="en-ID" w:eastAsia="en-ID"/>
        </w:rPr>
        <w:t>Progress</w:t>
      </w:r>
      <w:r w:rsidRPr="0053072D">
        <w:rPr>
          <w:rFonts w:eastAsia="Times New Roman" w:cs="Arial"/>
          <w:b/>
          <w:bCs/>
          <w:color w:val="262C66"/>
          <w:szCs w:val="20"/>
          <w:lang w:val="en-ID" w:eastAsia="en-ID"/>
        </w:rPr>
        <w:t>: Mungbeans</w:t>
      </w:r>
      <w:bookmarkEnd w:id="514"/>
    </w:p>
    <w:p w14:paraId="1BCBB3B0" w14:textId="5F728A34" w:rsidR="00B30B11" w:rsidRPr="0053072D" w:rsidRDefault="007B35F5" w:rsidP="00B30B11">
      <w:pPr>
        <w:keepNext/>
        <w:keepLines/>
        <w:spacing w:before="120" w:after="120" w:line="276" w:lineRule="auto"/>
        <w:contextualSpacing/>
        <w:outlineLvl w:val="1"/>
        <w:rPr>
          <w:rFonts w:eastAsia="Yu Gothic" w:cs="Arial"/>
          <w:b/>
          <w:bCs/>
          <w:color w:val="252D65"/>
          <w:szCs w:val="20"/>
        </w:rPr>
      </w:pPr>
      <w:r>
        <w:rPr>
          <w:rFonts w:eastAsia="Yu Gothic" w:cs="Arial"/>
          <w:b/>
          <w:bCs/>
          <w:color w:val="252D65"/>
          <w:szCs w:val="20"/>
        </w:rPr>
        <w:br/>
      </w:r>
      <w:bookmarkStart w:id="515" w:name="_Toc173318699"/>
      <w:r w:rsidR="00B30B11" w:rsidRPr="0053072D">
        <w:rPr>
          <w:rFonts w:eastAsia="Yu Gothic" w:cs="Arial"/>
          <w:b/>
          <w:bCs/>
          <w:color w:val="252D65"/>
          <w:szCs w:val="20"/>
        </w:rPr>
        <w:t>Vision</w:t>
      </w:r>
      <w:bookmarkEnd w:id="515"/>
    </w:p>
    <w:p w14:paraId="0ABB0937" w14:textId="373C2389" w:rsidR="00B30B11" w:rsidRPr="0053072D" w:rsidRDefault="00B30B11" w:rsidP="007B35F5">
      <w:pPr>
        <w:keepNext/>
        <w:keepLines/>
        <w:spacing w:after="120" w:line="276" w:lineRule="auto"/>
        <w:ind w:left="11"/>
        <w:outlineLvl w:val="1"/>
        <w:rPr>
          <w:rFonts w:eastAsia="Times New Roman" w:cs="Arial"/>
          <w:color w:val="000000"/>
          <w:szCs w:val="20"/>
          <w:lang w:val="en-ID" w:eastAsia="en-ID"/>
        </w:rPr>
      </w:pPr>
      <w:bookmarkStart w:id="516" w:name="_Toc173318700"/>
      <w:r w:rsidRPr="0053072D">
        <w:rPr>
          <w:rFonts w:eastAsia="Times New Roman" w:cs="Arial"/>
          <w:color w:val="000000"/>
          <w:szCs w:val="20"/>
          <w:lang w:val="en-ID" w:eastAsia="en-ID"/>
        </w:rPr>
        <w:t>Smallholder mungbean farmers in Central and East Java adopt quality seed and GAP and have increased access to improved off-taking services. This will be achieved by encouraging additional mungbean seed producers to enter the market and connecting relevant market players to improve the downstream mungbean market.</w:t>
      </w:r>
      <w:bookmarkEnd w:id="516"/>
      <w:r w:rsidRPr="0053072D">
        <w:rPr>
          <w:rFonts w:eastAsia="Times New Roman" w:cs="Arial"/>
          <w:color w:val="000000"/>
          <w:szCs w:val="20"/>
          <w:lang w:val="en-ID" w:eastAsia="en-ID"/>
        </w:rPr>
        <w:t xml:space="preserve"> </w:t>
      </w:r>
      <w:r w:rsidR="007B35F5">
        <w:rPr>
          <w:rFonts w:eastAsia="Times New Roman" w:cs="Arial"/>
          <w:color w:val="000000"/>
          <w:szCs w:val="20"/>
          <w:lang w:val="en-ID" w:eastAsia="en-ID"/>
        </w:rPr>
        <w:br/>
      </w:r>
    </w:p>
    <w:tbl>
      <w:tblPr>
        <w:tblStyle w:val="TableGrid1"/>
        <w:tblpPr w:leftFromText="181" w:rightFromText="181" w:vertAnchor="text" w:tblpY="1"/>
        <w:tblOverlap w:val="never"/>
        <w:tblW w:w="0" w:type="auto"/>
        <w:tblBorders>
          <w:top w:val="none" w:sz="0" w:space="0" w:color="auto"/>
          <w:left w:val="none" w:sz="0" w:space="0" w:color="auto"/>
          <w:bottom w:val="single" w:sz="4" w:space="0" w:color="000000"/>
          <w:right w:val="none" w:sz="0" w:space="0" w:color="auto"/>
          <w:insideH w:val="single" w:sz="4" w:space="0" w:color="000000"/>
          <w:insideV w:val="none" w:sz="0" w:space="0" w:color="auto"/>
        </w:tblBorders>
        <w:tblCellMar>
          <w:top w:w="170" w:type="dxa"/>
          <w:bottom w:w="113" w:type="dxa"/>
          <w:right w:w="170" w:type="dxa"/>
        </w:tblCellMar>
        <w:tblLook w:val="06A0" w:firstRow="1" w:lastRow="0" w:firstColumn="1" w:lastColumn="0" w:noHBand="1" w:noVBand="1"/>
      </w:tblPr>
      <w:tblGrid>
        <w:gridCol w:w="2122"/>
        <w:gridCol w:w="2835"/>
        <w:gridCol w:w="2698"/>
        <w:gridCol w:w="3118"/>
        <w:gridCol w:w="3787"/>
      </w:tblGrid>
      <w:tr w:rsidR="00B30B11" w:rsidRPr="0053072D" w14:paraId="25C9E2B1" w14:textId="77777777" w:rsidTr="00EE453C">
        <w:tc>
          <w:tcPr>
            <w:tcW w:w="2122" w:type="dxa"/>
            <w:tcBorders>
              <w:top w:val="nil"/>
              <w:right w:val="single" w:sz="4" w:space="0" w:color="FFFFFF"/>
            </w:tcBorders>
            <w:shd w:val="clear" w:color="auto" w:fill="262C66"/>
          </w:tcPr>
          <w:p w14:paraId="445D33C2" w14:textId="6DD5F5A8" w:rsidR="00B30B11" w:rsidRPr="0053072D" w:rsidRDefault="00B30B11" w:rsidP="007B35F5">
            <w:pPr>
              <w:keepNext/>
              <w:keepLines/>
              <w:spacing w:before="60" w:after="60"/>
              <w:ind w:left="11"/>
              <w:jc w:val="center"/>
              <w:outlineLvl w:val="1"/>
              <w:rPr>
                <w:rFonts w:eastAsia="Times New Roman" w:cs="Arial"/>
                <w:b/>
                <w:bCs/>
                <w:color w:val="FFFFFF"/>
                <w:sz w:val="20"/>
                <w:szCs w:val="20"/>
                <w:lang w:val="en-ID" w:eastAsia="en-ID"/>
              </w:rPr>
            </w:pPr>
            <w:bookmarkStart w:id="517" w:name="_Toc173318701"/>
            <w:r w:rsidRPr="0053072D">
              <w:rPr>
                <w:rFonts w:eastAsia="Times New Roman" w:cs="Arial"/>
                <w:b/>
                <w:bCs/>
                <w:color w:val="FFFFFF"/>
                <w:sz w:val="20"/>
                <w:szCs w:val="20"/>
                <w:lang w:val="en-ID" w:eastAsia="en-ID"/>
              </w:rPr>
              <w:t>Exit strategies</w:t>
            </w:r>
            <w:bookmarkEnd w:id="517"/>
          </w:p>
        </w:tc>
        <w:tc>
          <w:tcPr>
            <w:tcW w:w="2835" w:type="dxa"/>
            <w:tcBorders>
              <w:top w:val="nil"/>
              <w:left w:val="single" w:sz="4" w:space="0" w:color="FFFFFF"/>
              <w:right w:val="single" w:sz="4" w:space="0" w:color="FFFFFF"/>
            </w:tcBorders>
            <w:shd w:val="clear" w:color="auto" w:fill="262C66"/>
          </w:tcPr>
          <w:p w14:paraId="46977CD5" w14:textId="703B5F0D" w:rsidR="00B30B11" w:rsidRPr="0053072D" w:rsidRDefault="00B30B11" w:rsidP="007B35F5">
            <w:pPr>
              <w:keepNext/>
              <w:keepLines/>
              <w:spacing w:before="60" w:after="60"/>
              <w:ind w:left="11"/>
              <w:jc w:val="center"/>
              <w:outlineLvl w:val="1"/>
              <w:rPr>
                <w:rFonts w:eastAsia="Times New Roman" w:cs="Arial"/>
                <w:b/>
                <w:bCs/>
                <w:color w:val="FFFFFF"/>
                <w:sz w:val="20"/>
                <w:szCs w:val="20"/>
                <w:lang w:val="en-ID" w:eastAsia="en-ID"/>
              </w:rPr>
            </w:pPr>
            <w:bookmarkStart w:id="518" w:name="_Toc173318702"/>
            <w:r w:rsidRPr="0053072D">
              <w:rPr>
                <w:rFonts w:eastAsia="Times New Roman" w:cs="Arial"/>
                <w:b/>
                <w:bCs/>
                <w:color w:val="FFFFFF"/>
                <w:sz w:val="20"/>
                <w:szCs w:val="20"/>
                <w:lang w:val="en-ID" w:eastAsia="en-ID"/>
              </w:rPr>
              <w:t>Focus areas</w:t>
            </w:r>
            <w:bookmarkEnd w:id="518"/>
          </w:p>
        </w:tc>
        <w:tc>
          <w:tcPr>
            <w:tcW w:w="2698" w:type="dxa"/>
            <w:tcBorders>
              <w:top w:val="nil"/>
              <w:left w:val="single" w:sz="4" w:space="0" w:color="FFFFFF"/>
              <w:right w:val="single" w:sz="4" w:space="0" w:color="FFFFFF"/>
            </w:tcBorders>
            <w:shd w:val="clear" w:color="auto" w:fill="262C66"/>
          </w:tcPr>
          <w:p w14:paraId="3C9CCBAC" w14:textId="5E073AC4" w:rsidR="00B30B11" w:rsidRPr="0053072D" w:rsidRDefault="00B30B11" w:rsidP="007B35F5">
            <w:pPr>
              <w:keepNext/>
              <w:keepLines/>
              <w:spacing w:before="60" w:after="60"/>
              <w:ind w:left="11"/>
              <w:jc w:val="center"/>
              <w:outlineLvl w:val="1"/>
              <w:rPr>
                <w:rFonts w:eastAsia="Times New Roman" w:cs="Arial"/>
                <w:b/>
                <w:bCs/>
                <w:color w:val="FFFFFF"/>
                <w:sz w:val="20"/>
                <w:szCs w:val="20"/>
                <w:lang w:val="en-ID" w:eastAsia="en-ID"/>
              </w:rPr>
            </w:pPr>
            <w:bookmarkStart w:id="519" w:name="_Toc173318703"/>
            <w:r w:rsidRPr="0053072D">
              <w:rPr>
                <w:rFonts w:eastAsia="Times New Roman" w:cs="Arial"/>
                <w:b/>
                <w:bCs/>
                <w:color w:val="FFFFFF"/>
                <w:sz w:val="20"/>
                <w:szCs w:val="20"/>
                <w:lang w:val="en-ID" w:eastAsia="en-ID"/>
              </w:rPr>
              <w:t>Planned initiatives</w:t>
            </w:r>
            <w:bookmarkEnd w:id="519"/>
          </w:p>
        </w:tc>
        <w:tc>
          <w:tcPr>
            <w:tcW w:w="3118" w:type="dxa"/>
            <w:tcBorders>
              <w:top w:val="nil"/>
              <w:left w:val="single" w:sz="4" w:space="0" w:color="FFFFFF"/>
              <w:right w:val="single" w:sz="4" w:space="0" w:color="FFFFFF"/>
            </w:tcBorders>
            <w:shd w:val="clear" w:color="auto" w:fill="262C66"/>
          </w:tcPr>
          <w:p w14:paraId="663E6C95" w14:textId="6F67B359" w:rsidR="00B30B11" w:rsidRPr="0053072D" w:rsidRDefault="00B30B11" w:rsidP="007B35F5">
            <w:pPr>
              <w:keepNext/>
              <w:keepLines/>
              <w:spacing w:before="60" w:after="60"/>
              <w:ind w:left="11"/>
              <w:jc w:val="center"/>
              <w:outlineLvl w:val="1"/>
              <w:rPr>
                <w:rFonts w:eastAsia="Times New Roman" w:cs="Arial"/>
                <w:b/>
                <w:bCs/>
                <w:color w:val="FFFFFF"/>
                <w:sz w:val="20"/>
                <w:szCs w:val="20"/>
                <w:lang w:val="en-ID" w:eastAsia="en-ID"/>
              </w:rPr>
            </w:pPr>
            <w:bookmarkStart w:id="520" w:name="_Toc173318704"/>
            <w:r w:rsidRPr="0053072D">
              <w:rPr>
                <w:rFonts w:eastAsia="Times New Roman" w:cs="Arial"/>
                <w:b/>
                <w:bCs/>
                <w:color w:val="FFFFFF"/>
                <w:sz w:val="20"/>
                <w:szCs w:val="20"/>
                <w:lang w:val="en-ID" w:eastAsia="en-ID"/>
              </w:rPr>
              <w:t>Expected outputs</w:t>
            </w:r>
            <w:bookmarkEnd w:id="520"/>
          </w:p>
        </w:tc>
        <w:tc>
          <w:tcPr>
            <w:tcW w:w="3787" w:type="dxa"/>
            <w:tcBorders>
              <w:top w:val="nil"/>
              <w:left w:val="single" w:sz="4" w:space="0" w:color="FFFFFF"/>
            </w:tcBorders>
            <w:shd w:val="clear" w:color="auto" w:fill="262C66"/>
          </w:tcPr>
          <w:p w14:paraId="03D88DF0" w14:textId="6AD2060E" w:rsidR="00B30B11" w:rsidRPr="0053072D" w:rsidRDefault="00B30B11" w:rsidP="007B35F5">
            <w:pPr>
              <w:keepNext/>
              <w:keepLines/>
              <w:spacing w:before="60" w:after="60"/>
              <w:ind w:left="11"/>
              <w:jc w:val="center"/>
              <w:outlineLvl w:val="1"/>
              <w:rPr>
                <w:rFonts w:eastAsia="Times New Roman" w:cs="Arial"/>
                <w:b/>
                <w:bCs/>
                <w:color w:val="FFFFFF"/>
                <w:sz w:val="20"/>
                <w:szCs w:val="20"/>
                <w:lang w:val="en-ID" w:eastAsia="en-ID"/>
              </w:rPr>
            </w:pPr>
            <w:bookmarkStart w:id="521" w:name="_Toc173318705"/>
            <w:r w:rsidRPr="0053072D">
              <w:rPr>
                <w:rFonts w:eastAsia="Times New Roman" w:cs="Arial"/>
                <w:b/>
                <w:bCs/>
                <w:color w:val="FFFFFF"/>
                <w:sz w:val="20"/>
                <w:szCs w:val="20"/>
                <w:lang w:val="en-ID" w:eastAsia="en-ID"/>
              </w:rPr>
              <w:t>Progress update</w:t>
            </w:r>
            <w:bookmarkEnd w:id="521"/>
          </w:p>
        </w:tc>
      </w:tr>
      <w:tr w:rsidR="00B30B11" w:rsidRPr="0053072D" w14:paraId="7FF58859" w14:textId="77777777" w:rsidTr="00EE453C">
        <w:tc>
          <w:tcPr>
            <w:tcW w:w="2122" w:type="dxa"/>
          </w:tcPr>
          <w:p w14:paraId="4D0A641C" w14:textId="7DD94710"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22" w:name="_Toc173318706"/>
            <w:r w:rsidRPr="0053072D">
              <w:rPr>
                <w:rFonts w:eastAsia="Times New Roman" w:cs="Aptos"/>
                <w:color w:val="000000"/>
                <w:sz w:val="20"/>
                <w:szCs w:val="20"/>
                <w:lang w:val="en-ID" w:eastAsia="en-ID"/>
              </w:rPr>
              <w:t>Strategies towards ensuring greater sustainability</w:t>
            </w:r>
            <w:bookmarkEnd w:id="522"/>
          </w:p>
        </w:tc>
        <w:tc>
          <w:tcPr>
            <w:tcW w:w="2835" w:type="dxa"/>
          </w:tcPr>
          <w:p w14:paraId="22AF6EC6" w14:textId="6BFF78C0"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23" w:name="_Toc173318707"/>
            <w:r w:rsidRPr="0053072D">
              <w:rPr>
                <w:rFonts w:eastAsia="Times New Roman" w:cs="Aptos"/>
                <w:color w:val="000000"/>
                <w:sz w:val="20"/>
                <w:szCs w:val="20"/>
                <w:lang w:val="en-ID" w:eastAsia="en-ID"/>
              </w:rPr>
              <w:t>Supporting the commercialisation of parent seed</w:t>
            </w:r>
            <w:bookmarkEnd w:id="523"/>
          </w:p>
        </w:tc>
        <w:tc>
          <w:tcPr>
            <w:tcW w:w="2698" w:type="dxa"/>
          </w:tcPr>
          <w:p w14:paraId="3F396B49" w14:textId="64D6FD88"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24" w:name="_Toc173318708"/>
            <w:r w:rsidRPr="0053072D">
              <w:rPr>
                <w:rFonts w:eastAsia="Times New Roman" w:cs="Aptos"/>
                <w:color w:val="000000"/>
                <w:sz w:val="20"/>
                <w:szCs w:val="20"/>
                <w:lang w:val="en-ID" w:eastAsia="en-ID"/>
              </w:rPr>
              <w:t>Support producers to promote parent seed to nurseries.</w:t>
            </w:r>
            <w:bookmarkEnd w:id="524"/>
          </w:p>
        </w:tc>
        <w:tc>
          <w:tcPr>
            <w:tcW w:w="3118" w:type="dxa"/>
          </w:tcPr>
          <w:p w14:paraId="18D5A2B1" w14:textId="58291C4D" w:rsidR="00B30B11" w:rsidRPr="0053072D" w:rsidRDefault="00B30B11" w:rsidP="007B35F5">
            <w:pPr>
              <w:keepNext/>
              <w:keepLines/>
              <w:spacing w:after="80"/>
              <w:ind w:left="37" w:firstLine="14"/>
              <w:outlineLvl w:val="1"/>
              <w:rPr>
                <w:rFonts w:eastAsia="Times New Roman" w:cs="Arial"/>
                <w:color w:val="000000"/>
                <w:sz w:val="20"/>
                <w:szCs w:val="20"/>
                <w:lang w:val="en-ID" w:eastAsia="en-ID"/>
              </w:rPr>
            </w:pPr>
            <w:bookmarkStart w:id="525" w:name="_Toc173318709"/>
            <w:r w:rsidRPr="0053072D">
              <w:rPr>
                <w:rFonts w:eastAsia="Times New Roman" w:cs="Arial"/>
                <w:color w:val="000000"/>
                <w:sz w:val="20"/>
                <w:szCs w:val="20"/>
                <w:lang w:val="en-ID" w:eastAsia="en-ID"/>
              </w:rPr>
              <w:t>Parent seed producers conduct promotion activities with 3 nurseries by Q2 2024.</w:t>
            </w:r>
            <w:bookmarkEnd w:id="525"/>
          </w:p>
        </w:tc>
        <w:tc>
          <w:tcPr>
            <w:tcW w:w="3787" w:type="dxa"/>
          </w:tcPr>
          <w:p w14:paraId="56CF2B9A" w14:textId="36E56CDB"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26" w:name="_Toc173318710"/>
            <w:r w:rsidRPr="0053072D">
              <w:rPr>
                <w:rFonts w:eastAsia="Times New Roman" w:cs="Arial"/>
                <w:color w:val="000000"/>
                <w:sz w:val="20"/>
                <w:szCs w:val="20"/>
                <w:lang w:val="en-ID" w:eastAsia="en-ID"/>
              </w:rPr>
              <w:t xml:space="preserve">Following the completion and delivery of the parent seed business model to CV Luwes, a seed producer, the company then conducted 4 gathering </w:t>
            </w:r>
            <w:r w:rsidRPr="0053072D">
              <w:rPr>
                <w:rFonts w:eastAsia="Times New Roman" w:cs="Arial"/>
                <w:color w:val="000000"/>
                <w:sz w:val="20"/>
                <w:szCs w:val="20"/>
                <w:lang w:val="en-ID" w:eastAsia="en-ID"/>
              </w:rPr>
              <w:lastRenderedPageBreak/>
              <w:t>events as promotional activities to traditional seed retailers and nurseries.</w:t>
            </w:r>
            <w:bookmarkEnd w:id="526"/>
          </w:p>
          <w:p w14:paraId="64C8A1D6"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27" w:name="_Toc173318711"/>
            <w:r w:rsidRPr="0053072D">
              <w:rPr>
                <w:rFonts w:eastAsia="Times New Roman" w:cs="Arial"/>
                <w:color w:val="000000"/>
                <w:sz w:val="20"/>
                <w:szCs w:val="20"/>
                <w:lang w:val="en-ID" w:eastAsia="en-ID"/>
              </w:rPr>
              <w:t>However, CV Luwes has decided not to continue its promotional activities. This decision is due to a shift in strategic priorities to focus more on the extension seeds.</w:t>
            </w:r>
            <w:bookmarkEnd w:id="527"/>
            <w:r w:rsidRPr="0053072D">
              <w:rPr>
                <w:rFonts w:eastAsia="Times New Roman" w:cs="Arial"/>
                <w:color w:val="000000"/>
                <w:sz w:val="20"/>
                <w:szCs w:val="20"/>
                <w:lang w:val="en-ID" w:eastAsia="en-ID"/>
              </w:rPr>
              <w:t xml:space="preserve"> </w:t>
            </w:r>
          </w:p>
        </w:tc>
      </w:tr>
      <w:tr w:rsidR="00B30B11" w:rsidRPr="0053072D" w14:paraId="561A51E1" w14:textId="77777777" w:rsidTr="00EE453C">
        <w:tc>
          <w:tcPr>
            <w:tcW w:w="2122" w:type="dxa"/>
            <w:vMerge w:val="restart"/>
          </w:tcPr>
          <w:p w14:paraId="097CB6F8" w14:textId="7B6F43ED"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28" w:name="_Toc173318712"/>
            <w:r w:rsidRPr="0053072D">
              <w:rPr>
                <w:rFonts w:eastAsia="Times New Roman" w:cs="Aptos"/>
                <w:color w:val="000000"/>
                <w:sz w:val="20"/>
                <w:szCs w:val="20"/>
                <w:lang w:val="en-ID" w:eastAsia="en-ID"/>
              </w:rPr>
              <w:lastRenderedPageBreak/>
              <w:t>Knowledge harvesting and dissemination</w:t>
            </w:r>
            <w:bookmarkEnd w:id="528"/>
          </w:p>
        </w:tc>
        <w:tc>
          <w:tcPr>
            <w:tcW w:w="2835" w:type="dxa"/>
          </w:tcPr>
          <w:p w14:paraId="10840CA8" w14:textId="0C5CF63F"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29" w:name="_Toc173318713"/>
            <w:r w:rsidRPr="0053072D">
              <w:rPr>
                <w:rFonts w:eastAsia="Times New Roman" w:cs="Aptos"/>
                <w:color w:val="000000"/>
                <w:sz w:val="20"/>
                <w:szCs w:val="20"/>
                <w:lang w:val="en-ID" w:eastAsia="en-ID"/>
              </w:rPr>
              <w:t>Supporting the commercialisation of parent seed</w:t>
            </w:r>
            <w:bookmarkEnd w:id="529"/>
          </w:p>
        </w:tc>
        <w:tc>
          <w:tcPr>
            <w:tcW w:w="2698" w:type="dxa"/>
          </w:tcPr>
          <w:p w14:paraId="34E6443A" w14:textId="20B2FFD4"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30" w:name="_Toc173318714"/>
            <w:r w:rsidRPr="0053072D">
              <w:rPr>
                <w:rFonts w:eastAsia="Times New Roman" w:cs="Aptos"/>
                <w:color w:val="000000"/>
                <w:sz w:val="20"/>
                <w:szCs w:val="20"/>
                <w:lang w:val="en-ID" w:eastAsia="en-ID"/>
              </w:rPr>
              <w:t>Disseminate knowledge on parent seed business potential to other producers.</w:t>
            </w:r>
            <w:bookmarkEnd w:id="530"/>
          </w:p>
        </w:tc>
        <w:tc>
          <w:tcPr>
            <w:tcW w:w="3118" w:type="dxa"/>
          </w:tcPr>
          <w:p w14:paraId="00D42B95" w14:textId="068B93E7" w:rsidR="00B30B11" w:rsidRPr="0053072D" w:rsidRDefault="00B30B11" w:rsidP="007B35F5">
            <w:pPr>
              <w:keepNext/>
              <w:keepLines/>
              <w:spacing w:after="80"/>
              <w:ind w:left="37" w:firstLine="14"/>
              <w:outlineLvl w:val="1"/>
              <w:rPr>
                <w:rFonts w:eastAsia="Times New Roman" w:cs="Arial"/>
                <w:color w:val="000000"/>
                <w:sz w:val="20"/>
                <w:szCs w:val="20"/>
                <w:lang w:val="en-ID" w:eastAsia="en-ID"/>
              </w:rPr>
            </w:pPr>
            <w:bookmarkStart w:id="531" w:name="_Toc173318715"/>
            <w:r w:rsidRPr="0053072D">
              <w:rPr>
                <w:rFonts w:eastAsia="Times New Roman" w:cs="Arial"/>
                <w:color w:val="000000"/>
                <w:sz w:val="20"/>
                <w:szCs w:val="20"/>
                <w:lang w:val="en-ID" w:eastAsia="en-ID"/>
              </w:rPr>
              <w:t>Three dissemination events for seed producers to be held in Jakarta (national), Central Java, and East Java</w:t>
            </w:r>
            <w:bookmarkEnd w:id="531"/>
          </w:p>
        </w:tc>
        <w:tc>
          <w:tcPr>
            <w:tcW w:w="3787" w:type="dxa"/>
            <w:vMerge w:val="restart"/>
          </w:tcPr>
          <w:p w14:paraId="6698A3AE" w14:textId="59FA1B8D" w:rsidR="00B30B11" w:rsidRPr="0053072D" w:rsidRDefault="00B30B11" w:rsidP="00EE453C">
            <w:pPr>
              <w:keepNext/>
              <w:keepLines/>
              <w:spacing w:after="120"/>
              <w:outlineLvl w:val="1"/>
              <w:rPr>
                <w:rFonts w:eastAsia="Times New Roman" w:cs="Arial"/>
                <w:color w:val="000000"/>
                <w:sz w:val="20"/>
                <w:szCs w:val="20"/>
                <w:lang w:val="en-ID" w:eastAsia="en-ID"/>
              </w:rPr>
            </w:pPr>
            <w:bookmarkStart w:id="532" w:name="_Toc173318716"/>
            <w:r w:rsidRPr="0053072D">
              <w:rPr>
                <w:rFonts w:eastAsia="Times New Roman" w:cs="Arial"/>
                <w:color w:val="000000"/>
                <w:sz w:val="20"/>
                <w:szCs w:val="20"/>
                <w:lang w:val="en-ID" w:eastAsia="en-ID"/>
              </w:rPr>
              <w:t>Given the scale and intricacy of each dissemination event, PRISMA strategically decided to consolidate the 3 dissemination events and business meetings into one. This unified event took place in Semarang on 12-13 June 2024. Semarang was a logical choice as it is a major hub for mungbean production. Semarang was a practical and efficient choice for the event rather than Jakarta or East Java, as many market actors are based there.</w:t>
            </w:r>
            <w:bookmarkEnd w:id="532"/>
          </w:p>
          <w:p w14:paraId="08CC3F07" w14:textId="77777777" w:rsidR="00B30B11" w:rsidRPr="0053072D" w:rsidRDefault="00B30B11" w:rsidP="00EE453C">
            <w:pPr>
              <w:keepNext/>
              <w:keepLines/>
              <w:spacing w:after="120"/>
              <w:outlineLvl w:val="1"/>
              <w:rPr>
                <w:rFonts w:eastAsia="Times New Roman" w:cs="Arial"/>
                <w:color w:val="000000"/>
                <w:sz w:val="20"/>
                <w:szCs w:val="20"/>
                <w:lang w:val="en-ID" w:eastAsia="en-ID"/>
              </w:rPr>
            </w:pPr>
          </w:p>
          <w:p w14:paraId="1E9AB54E" w14:textId="2C608FD0" w:rsidR="00B30B11" w:rsidRPr="0053072D" w:rsidRDefault="00B30B11" w:rsidP="00EE453C">
            <w:pPr>
              <w:keepNext/>
              <w:keepLines/>
              <w:spacing w:after="120"/>
              <w:outlineLvl w:val="1"/>
              <w:rPr>
                <w:rFonts w:eastAsia="Times New Roman" w:cs="Arial"/>
                <w:color w:val="000000"/>
                <w:sz w:val="20"/>
                <w:szCs w:val="20"/>
                <w:lang w:val="en-ID" w:eastAsia="en-ID"/>
              </w:rPr>
            </w:pPr>
            <w:bookmarkStart w:id="533" w:name="_Toc173318717"/>
            <w:r w:rsidRPr="0053072D">
              <w:rPr>
                <w:rFonts w:eastAsia="Times New Roman" w:cs="Arial"/>
                <w:color w:val="000000"/>
                <w:sz w:val="20"/>
                <w:szCs w:val="20"/>
                <w:lang w:val="en-ID" w:eastAsia="en-ID"/>
              </w:rPr>
              <w:t>More than 100 people attended the event, including upstream and downstream market actors - seed producers, nurseries, local off-takers, international traders and associations, and government officials.</w:t>
            </w:r>
            <w:bookmarkEnd w:id="533"/>
          </w:p>
          <w:p w14:paraId="302A28EF" w14:textId="77777777" w:rsidR="00B30B11" w:rsidRPr="0053072D" w:rsidRDefault="00B30B11" w:rsidP="00EE453C">
            <w:pPr>
              <w:keepNext/>
              <w:keepLines/>
              <w:spacing w:after="120"/>
              <w:outlineLvl w:val="1"/>
              <w:rPr>
                <w:rFonts w:eastAsia="Times New Roman" w:cs="Arial"/>
                <w:color w:val="000000"/>
                <w:sz w:val="20"/>
                <w:szCs w:val="20"/>
                <w:lang w:val="en-ID" w:eastAsia="en-ID"/>
              </w:rPr>
            </w:pPr>
          </w:p>
          <w:p w14:paraId="5C712A1F" w14:textId="5D8A3951" w:rsidR="00B30B11" w:rsidRPr="0053072D" w:rsidRDefault="00B30B11" w:rsidP="00EE453C">
            <w:pPr>
              <w:keepNext/>
              <w:keepLines/>
              <w:spacing w:after="120"/>
              <w:outlineLvl w:val="1"/>
              <w:rPr>
                <w:rFonts w:eastAsia="Times New Roman" w:cs="Arial"/>
                <w:color w:val="000000"/>
                <w:sz w:val="20"/>
                <w:szCs w:val="20"/>
                <w:lang w:val="en-ID" w:eastAsia="en-ID"/>
              </w:rPr>
            </w:pPr>
            <w:bookmarkStart w:id="534" w:name="_Toc173318718"/>
            <w:r w:rsidRPr="0053072D">
              <w:rPr>
                <w:rFonts w:eastAsia="Times New Roman" w:cs="Arial"/>
                <w:color w:val="000000"/>
                <w:sz w:val="20"/>
                <w:szCs w:val="20"/>
                <w:lang w:val="en-ID" w:eastAsia="en-ID"/>
              </w:rPr>
              <w:t xml:space="preserve">PRISMA collaborated with a key partner, the MoA, to host the event. The MoA, represented by the Seed Directorate, the Legume and Tuber Directorate, and the Processing and Marketing Directorate, played a crucial role. Their active involvement and </w:t>
            </w:r>
            <w:r w:rsidRPr="0053072D">
              <w:rPr>
                <w:rFonts w:eastAsia="Times New Roman" w:cs="Arial"/>
                <w:color w:val="000000"/>
                <w:sz w:val="20"/>
                <w:szCs w:val="20"/>
                <w:lang w:val="en-ID" w:eastAsia="en-ID"/>
              </w:rPr>
              <w:lastRenderedPageBreak/>
              <w:t>support were instrumental to the success of the event.</w:t>
            </w:r>
            <w:bookmarkEnd w:id="534"/>
          </w:p>
          <w:p w14:paraId="7C69C42B" w14:textId="77777777" w:rsidR="00B30B11" w:rsidRPr="0053072D" w:rsidRDefault="00B30B11" w:rsidP="00EE453C">
            <w:pPr>
              <w:keepNext/>
              <w:keepLines/>
              <w:spacing w:after="120"/>
              <w:outlineLvl w:val="1"/>
              <w:rPr>
                <w:rFonts w:eastAsia="Times New Roman" w:cs="Arial"/>
                <w:color w:val="000000"/>
                <w:sz w:val="20"/>
                <w:szCs w:val="20"/>
                <w:lang w:val="en-ID" w:eastAsia="en-ID"/>
              </w:rPr>
            </w:pPr>
          </w:p>
          <w:p w14:paraId="0097AED2" w14:textId="398509EC"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35" w:name="_Toc173318719"/>
            <w:r w:rsidRPr="0053072D">
              <w:rPr>
                <w:rFonts w:eastAsia="Times New Roman" w:cs="Arial"/>
                <w:color w:val="000000"/>
                <w:sz w:val="20"/>
                <w:szCs w:val="20"/>
                <w:lang w:val="en-ID" w:eastAsia="en-ID"/>
              </w:rPr>
              <w:t>PRISMA shared the market briefs on the downstream market and women farmers' involvement during the event.</w:t>
            </w:r>
            <w:bookmarkEnd w:id="535"/>
          </w:p>
        </w:tc>
      </w:tr>
      <w:tr w:rsidR="00B30B11" w:rsidRPr="0053072D" w14:paraId="079B6B2D" w14:textId="77777777" w:rsidTr="00EE453C">
        <w:tc>
          <w:tcPr>
            <w:tcW w:w="2122" w:type="dxa"/>
            <w:vMerge/>
          </w:tcPr>
          <w:p w14:paraId="4AC4094B"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835" w:type="dxa"/>
          </w:tcPr>
          <w:p w14:paraId="5DA55E68" w14:textId="3355D1FB"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36" w:name="_Toc173318720"/>
            <w:r w:rsidRPr="0053072D">
              <w:rPr>
                <w:rFonts w:eastAsia="Times New Roman" w:cs="Aptos"/>
                <w:color w:val="000000"/>
                <w:sz w:val="20"/>
                <w:szCs w:val="20"/>
                <w:lang w:val="en-ID" w:eastAsia="en-ID"/>
              </w:rPr>
              <w:t>Inducing free market entry of other seed producers</w:t>
            </w:r>
            <w:bookmarkEnd w:id="536"/>
          </w:p>
        </w:tc>
        <w:tc>
          <w:tcPr>
            <w:tcW w:w="2698" w:type="dxa"/>
          </w:tcPr>
          <w:p w14:paraId="2C23A5A8" w14:textId="1C0E0351"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37" w:name="_Toc173318721"/>
            <w:r w:rsidRPr="0053072D">
              <w:rPr>
                <w:rFonts w:eastAsia="Times New Roman" w:cs="Aptos"/>
                <w:color w:val="000000"/>
                <w:sz w:val="20"/>
                <w:szCs w:val="20"/>
                <w:lang w:val="en-ID" w:eastAsia="en-ID"/>
              </w:rPr>
              <w:t>Share lessons learned on marketing in the free market with entry-level producers.</w:t>
            </w:r>
            <w:bookmarkEnd w:id="537"/>
          </w:p>
        </w:tc>
        <w:tc>
          <w:tcPr>
            <w:tcW w:w="3118" w:type="dxa"/>
          </w:tcPr>
          <w:p w14:paraId="6E96EAC1" w14:textId="5814853A" w:rsidR="00B30B11" w:rsidRPr="0053072D" w:rsidRDefault="00B30B11" w:rsidP="007B35F5">
            <w:pPr>
              <w:keepNext/>
              <w:keepLines/>
              <w:spacing w:after="80"/>
              <w:ind w:left="37" w:firstLine="14"/>
              <w:outlineLvl w:val="1"/>
              <w:rPr>
                <w:rFonts w:eastAsia="Times New Roman" w:cs="Arial"/>
                <w:color w:val="000000"/>
                <w:sz w:val="20"/>
                <w:szCs w:val="20"/>
                <w:lang w:val="en-ID" w:eastAsia="en-ID"/>
              </w:rPr>
            </w:pPr>
            <w:bookmarkStart w:id="538" w:name="_Toc173318722"/>
            <w:r w:rsidRPr="0053072D">
              <w:rPr>
                <w:rFonts w:eastAsia="Times New Roman" w:cs="Arial"/>
                <w:color w:val="000000"/>
                <w:sz w:val="20"/>
                <w:szCs w:val="20"/>
                <w:lang w:val="en-ID" w:eastAsia="en-ID"/>
              </w:rPr>
              <w:t>Three dissemination events for seed producers to be held in Jakarta (national), Central Java, and East Java</w:t>
            </w:r>
            <w:bookmarkEnd w:id="538"/>
          </w:p>
        </w:tc>
        <w:tc>
          <w:tcPr>
            <w:tcW w:w="3787" w:type="dxa"/>
            <w:vMerge/>
          </w:tcPr>
          <w:p w14:paraId="2EB8EE51"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r>
      <w:tr w:rsidR="00B30B11" w:rsidRPr="0053072D" w14:paraId="6087C968" w14:textId="77777777" w:rsidTr="00EE453C">
        <w:tc>
          <w:tcPr>
            <w:tcW w:w="2122" w:type="dxa"/>
            <w:vMerge/>
          </w:tcPr>
          <w:p w14:paraId="706B5757"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835" w:type="dxa"/>
            <w:vMerge w:val="restart"/>
          </w:tcPr>
          <w:p w14:paraId="61029512" w14:textId="542CF97E"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39" w:name="_Toc173318723"/>
            <w:r w:rsidRPr="0053072D">
              <w:rPr>
                <w:rFonts w:eastAsia="Times New Roman" w:cs="Aptos"/>
                <w:color w:val="000000"/>
                <w:sz w:val="20"/>
                <w:szCs w:val="20"/>
                <w:lang w:val="en-ID" w:eastAsia="en-ID"/>
              </w:rPr>
              <w:t>Conducting stakeholder consultations to stimulate market competition and disseminate information on market potential</w:t>
            </w:r>
            <w:bookmarkEnd w:id="539"/>
          </w:p>
        </w:tc>
        <w:tc>
          <w:tcPr>
            <w:tcW w:w="2698" w:type="dxa"/>
          </w:tcPr>
          <w:p w14:paraId="3B1DC61B" w14:textId="46CEC72F"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40" w:name="_Toc173318724"/>
            <w:r w:rsidRPr="0053072D">
              <w:rPr>
                <w:rFonts w:eastAsia="Times New Roman" w:cs="Aptos"/>
                <w:color w:val="000000"/>
                <w:sz w:val="20"/>
                <w:szCs w:val="20"/>
                <w:lang w:val="en-ID" w:eastAsia="en-ID"/>
              </w:rPr>
              <w:t>Disseminate knowledge on seed business potential to potential producers.</w:t>
            </w:r>
            <w:bookmarkEnd w:id="540"/>
          </w:p>
        </w:tc>
        <w:tc>
          <w:tcPr>
            <w:tcW w:w="3118" w:type="dxa"/>
          </w:tcPr>
          <w:p w14:paraId="0045C93D" w14:textId="6A2749DB" w:rsidR="00B30B11" w:rsidRPr="0053072D" w:rsidRDefault="00B30B11" w:rsidP="007B35F5">
            <w:pPr>
              <w:keepNext/>
              <w:keepLines/>
              <w:spacing w:after="80"/>
              <w:ind w:left="37" w:firstLine="14"/>
              <w:outlineLvl w:val="1"/>
              <w:rPr>
                <w:rFonts w:eastAsia="Times New Roman" w:cs="Arial"/>
                <w:color w:val="000000"/>
                <w:sz w:val="20"/>
                <w:szCs w:val="20"/>
                <w:lang w:val="en-ID" w:eastAsia="en-ID"/>
              </w:rPr>
            </w:pPr>
            <w:bookmarkStart w:id="541" w:name="_Toc173318725"/>
            <w:r w:rsidRPr="0053072D">
              <w:rPr>
                <w:rFonts w:eastAsia="Times New Roman" w:cs="Arial"/>
                <w:color w:val="000000"/>
                <w:sz w:val="20"/>
                <w:szCs w:val="20"/>
                <w:lang w:val="en-ID" w:eastAsia="en-ID"/>
              </w:rPr>
              <w:t>Three dissemination events for seed producers to be held in Jakarta (national), Central Java, and East Java</w:t>
            </w:r>
            <w:bookmarkEnd w:id="541"/>
          </w:p>
        </w:tc>
        <w:tc>
          <w:tcPr>
            <w:tcW w:w="3787" w:type="dxa"/>
            <w:vMerge/>
          </w:tcPr>
          <w:p w14:paraId="1045CAF5"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r>
      <w:tr w:rsidR="00B30B11" w:rsidRPr="0053072D" w14:paraId="1B0FB512" w14:textId="77777777" w:rsidTr="00EE453C">
        <w:tc>
          <w:tcPr>
            <w:tcW w:w="2122" w:type="dxa"/>
            <w:vMerge/>
          </w:tcPr>
          <w:p w14:paraId="54469006"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835" w:type="dxa"/>
            <w:vMerge/>
          </w:tcPr>
          <w:p w14:paraId="32102227"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98" w:type="dxa"/>
          </w:tcPr>
          <w:p w14:paraId="2FFB0231" w14:textId="605D01A8"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42" w:name="_Toc173318726"/>
            <w:r w:rsidRPr="0053072D">
              <w:rPr>
                <w:rFonts w:eastAsia="Times New Roman" w:cs="Aptos"/>
                <w:color w:val="000000"/>
                <w:sz w:val="20"/>
                <w:szCs w:val="20"/>
                <w:lang w:val="en-ID" w:eastAsia="en-ID"/>
              </w:rPr>
              <w:t>Harvest and disseminate learning on women farmers’ commercial involvement to relevant producers.</w:t>
            </w:r>
            <w:bookmarkEnd w:id="542"/>
          </w:p>
        </w:tc>
        <w:tc>
          <w:tcPr>
            <w:tcW w:w="3118" w:type="dxa"/>
          </w:tcPr>
          <w:p w14:paraId="4B8FEB57" w14:textId="47EF77DD" w:rsidR="00B30B11" w:rsidRPr="0053072D" w:rsidRDefault="00B30B11" w:rsidP="007B35F5">
            <w:pPr>
              <w:keepNext/>
              <w:keepLines/>
              <w:spacing w:after="80"/>
              <w:ind w:left="37" w:firstLine="14"/>
              <w:outlineLvl w:val="1"/>
              <w:rPr>
                <w:rFonts w:eastAsia="Times New Roman" w:cs="Arial"/>
                <w:color w:val="000000"/>
                <w:sz w:val="20"/>
                <w:szCs w:val="20"/>
                <w:lang w:val="en-ID" w:eastAsia="en-ID"/>
              </w:rPr>
            </w:pPr>
            <w:bookmarkStart w:id="543" w:name="_Toc173318727"/>
            <w:r w:rsidRPr="0053072D">
              <w:rPr>
                <w:rFonts w:eastAsia="Times New Roman" w:cs="Arial"/>
                <w:color w:val="000000"/>
                <w:sz w:val="20"/>
                <w:szCs w:val="20"/>
                <w:lang w:val="en-ID" w:eastAsia="en-ID"/>
              </w:rPr>
              <w:t>A report on women farmers' commercial involvement delivered by Q2</w:t>
            </w:r>
            <w:bookmarkEnd w:id="543"/>
          </w:p>
          <w:p w14:paraId="6B4444C4" w14:textId="185767A4" w:rsidR="00B30B11" w:rsidRPr="0053072D" w:rsidRDefault="00B30B11" w:rsidP="007B35F5">
            <w:pPr>
              <w:keepNext/>
              <w:keepLines/>
              <w:spacing w:after="80"/>
              <w:ind w:left="37" w:firstLine="14"/>
              <w:outlineLvl w:val="1"/>
              <w:rPr>
                <w:rFonts w:eastAsia="Times New Roman" w:cs="Arial"/>
                <w:color w:val="000000"/>
                <w:sz w:val="20"/>
                <w:szCs w:val="20"/>
                <w:lang w:val="en-ID" w:eastAsia="en-ID"/>
              </w:rPr>
            </w:pPr>
            <w:bookmarkStart w:id="544" w:name="_Toc173318728"/>
            <w:r w:rsidRPr="0053072D">
              <w:rPr>
                <w:rFonts w:eastAsia="Times New Roman" w:cs="Arial"/>
                <w:color w:val="000000"/>
                <w:sz w:val="20"/>
                <w:szCs w:val="20"/>
                <w:lang w:val="en-ID" w:eastAsia="en-ID"/>
              </w:rPr>
              <w:t>Three dissemination events for seed producers to be held in Jakarta (national), Central Java, and East Java</w:t>
            </w:r>
            <w:bookmarkEnd w:id="544"/>
          </w:p>
        </w:tc>
        <w:tc>
          <w:tcPr>
            <w:tcW w:w="3787" w:type="dxa"/>
            <w:vMerge/>
          </w:tcPr>
          <w:p w14:paraId="350EFD14"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r>
      <w:tr w:rsidR="00B30B11" w:rsidRPr="0053072D" w14:paraId="51FF5202" w14:textId="77777777" w:rsidTr="00EE453C">
        <w:tc>
          <w:tcPr>
            <w:tcW w:w="2122" w:type="dxa"/>
            <w:vMerge/>
          </w:tcPr>
          <w:p w14:paraId="44A22DFC"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vMerge/>
          </w:tcPr>
          <w:p w14:paraId="1CCAEA1A"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98" w:type="dxa"/>
          </w:tcPr>
          <w:p w14:paraId="2F839AD9" w14:textId="36D6033F"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545" w:name="_Toc173318729"/>
            <w:r w:rsidRPr="0053072D">
              <w:rPr>
                <w:rFonts w:eastAsia="Times New Roman" w:cs="Aptos"/>
                <w:color w:val="000000"/>
                <w:sz w:val="20"/>
                <w:szCs w:val="20"/>
                <w:lang w:val="en-ID" w:eastAsia="en-ID"/>
              </w:rPr>
              <w:t xml:space="preserve">Share lessons on mungbean business </w:t>
            </w:r>
            <w:r w:rsidRPr="0053072D">
              <w:rPr>
                <w:rFonts w:eastAsia="Times New Roman" w:cs="Aptos"/>
                <w:color w:val="000000"/>
                <w:sz w:val="20"/>
                <w:szCs w:val="20"/>
                <w:lang w:val="en-ID" w:eastAsia="en-ID"/>
              </w:rPr>
              <w:lastRenderedPageBreak/>
              <w:t>potential and demand requirements.</w:t>
            </w:r>
            <w:bookmarkEnd w:id="545"/>
          </w:p>
        </w:tc>
        <w:tc>
          <w:tcPr>
            <w:tcW w:w="3118" w:type="dxa"/>
          </w:tcPr>
          <w:p w14:paraId="66D84189" w14:textId="44D5093A" w:rsidR="00B30B11" w:rsidRPr="0053072D" w:rsidRDefault="00B30B11" w:rsidP="007B35F5">
            <w:pPr>
              <w:keepNext/>
              <w:keepLines/>
              <w:spacing w:after="80"/>
              <w:ind w:left="37" w:firstLine="14"/>
              <w:outlineLvl w:val="1"/>
              <w:rPr>
                <w:rFonts w:eastAsia="Times New Roman" w:cs="Aptos"/>
                <w:color w:val="000000"/>
                <w:sz w:val="20"/>
                <w:szCs w:val="20"/>
                <w:lang w:val="en-ID" w:eastAsia="en-ID"/>
              </w:rPr>
            </w:pPr>
            <w:bookmarkStart w:id="546" w:name="_Toc173318730"/>
            <w:r w:rsidRPr="0053072D">
              <w:rPr>
                <w:rFonts w:eastAsia="Times New Roman" w:cs="Arial"/>
                <w:color w:val="000000"/>
                <w:sz w:val="20"/>
                <w:szCs w:val="20"/>
                <w:lang w:val="en-ID" w:eastAsia="en-ID"/>
              </w:rPr>
              <w:lastRenderedPageBreak/>
              <w:t xml:space="preserve">Three dissemination and networking events for upstream, downstream, and </w:t>
            </w:r>
            <w:r w:rsidRPr="0053072D">
              <w:rPr>
                <w:rFonts w:eastAsia="Times New Roman" w:cs="Arial"/>
                <w:color w:val="000000"/>
                <w:sz w:val="20"/>
                <w:szCs w:val="20"/>
                <w:lang w:val="en-ID" w:eastAsia="en-ID"/>
              </w:rPr>
              <w:lastRenderedPageBreak/>
              <w:t>public actors to be held in Jakarta (national), Central Java, and East Java</w:t>
            </w:r>
            <w:bookmarkEnd w:id="546"/>
          </w:p>
        </w:tc>
        <w:tc>
          <w:tcPr>
            <w:tcW w:w="3787" w:type="dxa"/>
            <w:vMerge/>
          </w:tcPr>
          <w:p w14:paraId="11570249"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r>
    </w:tbl>
    <w:p w14:paraId="537B09D7" w14:textId="5D87D8FE" w:rsidR="00B30B11" w:rsidRPr="0053072D" w:rsidRDefault="00B30B11" w:rsidP="00B30B11">
      <w:pPr>
        <w:keepNext/>
        <w:keepLines/>
        <w:spacing w:after="360" w:line="240" w:lineRule="auto"/>
        <w:ind w:left="851"/>
        <w:outlineLvl w:val="1"/>
        <w:rPr>
          <w:rFonts w:eastAsia="Times New Roman" w:cs="Arial"/>
          <w:b/>
          <w:bCs/>
          <w:color w:val="262C66"/>
          <w:szCs w:val="20"/>
          <w:lang w:val="en-ID" w:eastAsia="en-ID"/>
        </w:rPr>
      </w:pPr>
      <w:bookmarkStart w:id="547" w:name="_Toc173318731"/>
      <w:r w:rsidRPr="0053072D">
        <w:rPr>
          <w:rFonts w:eastAsia="Times New Roman" w:cs="Arial"/>
          <w:b/>
          <w:bCs/>
          <w:noProof/>
          <w:color w:val="262C66"/>
          <w:szCs w:val="20"/>
          <w:lang w:val="en-ID" w:eastAsia="en-ID"/>
          <w14:ligatures w14:val="standardContextual"/>
        </w:rPr>
        <w:drawing>
          <wp:anchor distT="0" distB="0" distL="114300" distR="114300" simplePos="0" relativeHeight="251658281" behindDoc="0" locked="0" layoutInCell="1" allowOverlap="1" wp14:anchorId="5377F769" wp14:editId="3C5B47FE">
            <wp:simplePos x="0" y="0"/>
            <wp:positionH relativeFrom="column">
              <wp:posOffset>-42545</wp:posOffset>
            </wp:positionH>
            <wp:positionV relativeFrom="paragraph">
              <wp:posOffset>-132221</wp:posOffset>
            </wp:positionV>
            <wp:extent cx="468000" cy="468000"/>
            <wp:effectExtent l="0" t="0" r="0" b="0"/>
            <wp:wrapNone/>
            <wp:docPr id="627974664" name="Graphic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11889" name="Graphic 11">
                      <a:extLst>
                        <a:ext uri="{C183D7F6-B498-43B3-948B-1728B52AA6E4}">
                          <adec:decorative xmlns:adec="http://schemas.microsoft.com/office/drawing/2017/decorative" val="1"/>
                        </a:ext>
                      </a:extLst>
                    </pic:cNvPr>
                    <pic:cNvPicPr/>
                  </pic:nvPicPr>
                  <pic:blipFill>
                    <a:blip r:embed="rId161" cstate="print">
                      <a:extLst>
                        <a:ext uri="{28A0092B-C50C-407E-A947-70E740481C1C}">
                          <a14:useLocalDpi xmlns:a14="http://schemas.microsoft.com/office/drawing/2010/main" val="0"/>
                        </a:ext>
                        <a:ext uri="{96DAC541-7B7A-43D3-8B79-37D633B846F1}">
                          <asvg:svgBlip xmlns:asvg="http://schemas.microsoft.com/office/drawing/2016/SVG/main" r:embed="rId162"/>
                        </a:ext>
                      </a:extLst>
                    </a:blip>
                    <a:stretch>
                      <a:fillRect/>
                    </a:stretch>
                  </pic:blipFill>
                  <pic:spPr>
                    <a:xfrm>
                      <a:off x="0" y="0"/>
                      <a:ext cx="468000" cy="468000"/>
                    </a:xfrm>
                    <a:prstGeom prst="rect">
                      <a:avLst/>
                    </a:prstGeom>
                  </pic:spPr>
                </pic:pic>
              </a:graphicData>
            </a:graphic>
            <wp14:sizeRelH relativeFrom="page">
              <wp14:pctWidth>0</wp14:pctWidth>
            </wp14:sizeRelH>
            <wp14:sizeRelV relativeFrom="page">
              <wp14:pctHeight>0</wp14:pctHeight>
            </wp14:sizeRelV>
          </wp:anchor>
        </w:drawing>
      </w:r>
      <w:r w:rsidR="00321DBB">
        <w:rPr>
          <w:rFonts w:eastAsia="Times New Roman" w:cs="Arial"/>
          <w:b/>
          <w:bCs/>
          <w:color w:val="262C66"/>
          <w:szCs w:val="20"/>
          <w:lang w:val="en-ID" w:eastAsia="en-ID"/>
        </w:rPr>
        <w:t>Progress</w:t>
      </w:r>
      <w:r w:rsidRPr="0053072D">
        <w:rPr>
          <w:rFonts w:eastAsia="Times New Roman" w:cs="Arial"/>
          <w:b/>
          <w:bCs/>
          <w:color w:val="262C66"/>
          <w:szCs w:val="20"/>
          <w:lang w:val="en-ID" w:eastAsia="en-ID"/>
        </w:rPr>
        <w:t>: Pig</w:t>
      </w:r>
      <w:bookmarkEnd w:id="547"/>
    </w:p>
    <w:p w14:paraId="32356D0D" w14:textId="1D13B2B1" w:rsidR="00B30B11" w:rsidRPr="0053072D" w:rsidRDefault="007B35F5" w:rsidP="00B30B11">
      <w:pPr>
        <w:keepNext/>
        <w:keepLines/>
        <w:spacing w:before="120" w:after="120" w:line="276" w:lineRule="auto"/>
        <w:contextualSpacing/>
        <w:outlineLvl w:val="1"/>
        <w:rPr>
          <w:rFonts w:eastAsia="Yu Gothic" w:cs="Arial"/>
          <w:b/>
          <w:bCs/>
          <w:color w:val="252D65"/>
          <w:szCs w:val="20"/>
        </w:rPr>
      </w:pPr>
      <w:r>
        <w:rPr>
          <w:rFonts w:eastAsia="Yu Gothic" w:cs="Arial"/>
          <w:b/>
          <w:bCs/>
          <w:color w:val="252D65"/>
          <w:szCs w:val="20"/>
        </w:rPr>
        <w:br/>
      </w:r>
      <w:bookmarkStart w:id="548" w:name="_Toc173318732"/>
      <w:r w:rsidR="00B30B11" w:rsidRPr="0053072D">
        <w:rPr>
          <w:rFonts w:eastAsia="Yu Gothic" w:cs="Arial"/>
          <w:b/>
          <w:bCs/>
          <w:color w:val="252D65"/>
          <w:szCs w:val="20"/>
        </w:rPr>
        <w:t>Vision</w:t>
      </w:r>
      <w:bookmarkEnd w:id="548"/>
    </w:p>
    <w:p w14:paraId="4E9880A0" w14:textId="70B73D03" w:rsidR="00B30B11" w:rsidRPr="007B35F5" w:rsidRDefault="00B30B11" w:rsidP="007B35F5">
      <w:pPr>
        <w:keepNext/>
        <w:keepLines/>
        <w:spacing w:after="120" w:line="276" w:lineRule="auto"/>
        <w:ind w:left="11"/>
        <w:outlineLvl w:val="1"/>
        <w:rPr>
          <w:rFonts w:eastAsia="Times New Roman" w:cs="Arial"/>
          <w:color w:val="000000"/>
          <w:szCs w:val="20"/>
          <w:lang w:val="en-ID" w:eastAsia="en-ID"/>
        </w:rPr>
      </w:pPr>
      <w:bookmarkStart w:id="549" w:name="_Toc173318733"/>
      <w:r w:rsidRPr="0053072D">
        <w:rPr>
          <w:rFonts w:eastAsia="Times New Roman" w:cs="Arial"/>
          <w:color w:val="000000"/>
          <w:szCs w:val="20"/>
          <w:lang w:val="en-ID" w:eastAsia="en-ID"/>
        </w:rPr>
        <w:t>Smallholder farmers and market players in the pig industry benefit from increased availability and appropriate use of quality inputs and improved husbandry practices, supported by a conducive regulatory environment. PRISMA will work towards a 10% recovery of the pig sector in NTT. The focus is on detection, response, prevention, and recovery from African swine fever (ASF) by improving restocking, awareness, and information about animal husbandry practices. Sector resilience will focus on breed improvement by building the capacity of the key market actors and strengthening the regulatory environment, along with feed and pharma distribution networks.</w:t>
      </w:r>
      <w:bookmarkEnd w:id="549"/>
      <w:r w:rsidR="007B35F5">
        <w:rPr>
          <w:rFonts w:eastAsia="Times New Roman" w:cs="Arial"/>
          <w:color w:val="000000"/>
          <w:szCs w:val="20"/>
          <w:lang w:val="en-ID" w:eastAsia="en-ID"/>
        </w:rPr>
        <w:br/>
      </w:r>
    </w:p>
    <w:tbl>
      <w:tblPr>
        <w:tblStyle w:val="TableGrid1"/>
        <w:tblpPr w:leftFromText="181" w:rightFromText="181" w:vertAnchor="text" w:tblpY="1"/>
        <w:tblOverlap w:val="never"/>
        <w:tblW w:w="0" w:type="auto"/>
        <w:tblBorders>
          <w:top w:val="none" w:sz="0" w:space="0" w:color="auto"/>
          <w:left w:val="none" w:sz="0" w:space="0" w:color="auto"/>
          <w:bottom w:val="single" w:sz="4" w:space="0" w:color="000000"/>
          <w:right w:val="none" w:sz="0" w:space="0" w:color="auto"/>
          <w:insideH w:val="single" w:sz="4" w:space="0" w:color="000000"/>
          <w:insideV w:val="none" w:sz="0" w:space="0" w:color="auto"/>
        </w:tblBorders>
        <w:tblCellMar>
          <w:top w:w="170" w:type="dxa"/>
          <w:bottom w:w="113" w:type="dxa"/>
          <w:right w:w="170" w:type="dxa"/>
        </w:tblCellMar>
        <w:tblLook w:val="06A0" w:firstRow="1" w:lastRow="0" w:firstColumn="1" w:lastColumn="0" w:noHBand="1" w:noVBand="1"/>
      </w:tblPr>
      <w:tblGrid>
        <w:gridCol w:w="2122"/>
        <w:gridCol w:w="2835"/>
        <w:gridCol w:w="2698"/>
        <w:gridCol w:w="3118"/>
        <w:gridCol w:w="3787"/>
      </w:tblGrid>
      <w:tr w:rsidR="00B30B11" w:rsidRPr="0053072D" w14:paraId="1E2170FB" w14:textId="77777777" w:rsidTr="00EE453C">
        <w:tc>
          <w:tcPr>
            <w:tcW w:w="2122" w:type="dxa"/>
            <w:tcBorders>
              <w:top w:val="nil"/>
              <w:right w:val="single" w:sz="4" w:space="0" w:color="FFFFFF"/>
            </w:tcBorders>
            <w:shd w:val="clear" w:color="auto" w:fill="262C66"/>
          </w:tcPr>
          <w:p w14:paraId="4B8B6A24" w14:textId="454EEDC3" w:rsidR="00B30B11" w:rsidRPr="0053072D" w:rsidRDefault="00B30B11" w:rsidP="007B35F5">
            <w:pPr>
              <w:keepNext/>
              <w:keepLines/>
              <w:spacing w:before="60" w:after="60"/>
              <w:ind w:left="11"/>
              <w:jc w:val="center"/>
              <w:outlineLvl w:val="1"/>
              <w:rPr>
                <w:rFonts w:eastAsia="Times New Roman" w:cs="Arial"/>
                <w:b/>
                <w:bCs/>
                <w:color w:val="FFFFFF"/>
                <w:sz w:val="20"/>
                <w:szCs w:val="20"/>
                <w:lang w:val="en-ID" w:eastAsia="en-ID"/>
              </w:rPr>
            </w:pPr>
            <w:bookmarkStart w:id="550" w:name="_Toc173318734"/>
            <w:r w:rsidRPr="0053072D">
              <w:rPr>
                <w:rFonts w:eastAsia="Times New Roman" w:cs="Arial"/>
                <w:b/>
                <w:bCs/>
                <w:color w:val="FFFFFF"/>
                <w:sz w:val="20"/>
                <w:szCs w:val="20"/>
                <w:lang w:val="en-ID" w:eastAsia="en-ID"/>
              </w:rPr>
              <w:t>Exit strategies</w:t>
            </w:r>
            <w:bookmarkEnd w:id="550"/>
          </w:p>
        </w:tc>
        <w:tc>
          <w:tcPr>
            <w:tcW w:w="2835" w:type="dxa"/>
            <w:tcBorders>
              <w:top w:val="nil"/>
              <w:left w:val="single" w:sz="4" w:space="0" w:color="FFFFFF"/>
              <w:right w:val="single" w:sz="4" w:space="0" w:color="FFFFFF"/>
            </w:tcBorders>
            <w:shd w:val="clear" w:color="auto" w:fill="262C66"/>
          </w:tcPr>
          <w:p w14:paraId="3E73D61F" w14:textId="4B393A20" w:rsidR="00B30B11" w:rsidRPr="0053072D" w:rsidRDefault="00B30B11" w:rsidP="007B35F5">
            <w:pPr>
              <w:keepNext/>
              <w:keepLines/>
              <w:spacing w:before="60" w:after="60"/>
              <w:ind w:left="11"/>
              <w:jc w:val="center"/>
              <w:outlineLvl w:val="1"/>
              <w:rPr>
                <w:rFonts w:eastAsia="Times New Roman" w:cs="Arial"/>
                <w:b/>
                <w:bCs/>
                <w:color w:val="FFFFFF"/>
                <w:sz w:val="20"/>
                <w:szCs w:val="20"/>
                <w:lang w:val="en-ID" w:eastAsia="en-ID"/>
              </w:rPr>
            </w:pPr>
            <w:bookmarkStart w:id="551" w:name="_Toc173318735"/>
            <w:r w:rsidRPr="0053072D">
              <w:rPr>
                <w:rFonts w:eastAsia="Times New Roman" w:cs="Arial"/>
                <w:b/>
                <w:bCs/>
                <w:color w:val="FFFFFF"/>
                <w:sz w:val="20"/>
                <w:szCs w:val="20"/>
                <w:lang w:val="en-ID" w:eastAsia="en-ID"/>
              </w:rPr>
              <w:t>Focus areas</w:t>
            </w:r>
            <w:bookmarkEnd w:id="551"/>
          </w:p>
        </w:tc>
        <w:tc>
          <w:tcPr>
            <w:tcW w:w="2698" w:type="dxa"/>
            <w:tcBorders>
              <w:top w:val="nil"/>
              <w:left w:val="single" w:sz="4" w:space="0" w:color="FFFFFF"/>
              <w:right w:val="single" w:sz="4" w:space="0" w:color="FFFFFF"/>
            </w:tcBorders>
            <w:shd w:val="clear" w:color="auto" w:fill="262C66"/>
          </w:tcPr>
          <w:p w14:paraId="7CEA4471" w14:textId="6016B85F" w:rsidR="00B30B11" w:rsidRPr="0053072D" w:rsidRDefault="00B30B11" w:rsidP="007B35F5">
            <w:pPr>
              <w:keepNext/>
              <w:keepLines/>
              <w:spacing w:before="60" w:after="60"/>
              <w:ind w:left="11"/>
              <w:jc w:val="center"/>
              <w:outlineLvl w:val="1"/>
              <w:rPr>
                <w:rFonts w:eastAsia="Times New Roman" w:cs="Arial"/>
                <w:b/>
                <w:bCs/>
                <w:color w:val="FFFFFF"/>
                <w:sz w:val="20"/>
                <w:szCs w:val="20"/>
                <w:lang w:val="en-ID" w:eastAsia="en-ID"/>
              </w:rPr>
            </w:pPr>
            <w:bookmarkStart w:id="552" w:name="_Toc173318736"/>
            <w:r w:rsidRPr="0053072D">
              <w:rPr>
                <w:rFonts w:eastAsia="Times New Roman" w:cs="Arial"/>
                <w:b/>
                <w:bCs/>
                <w:color w:val="FFFFFF"/>
                <w:sz w:val="20"/>
                <w:szCs w:val="20"/>
                <w:lang w:val="en-ID" w:eastAsia="en-ID"/>
              </w:rPr>
              <w:t>Planned initiatives</w:t>
            </w:r>
            <w:bookmarkEnd w:id="552"/>
          </w:p>
        </w:tc>
        <w:tc>
          <w:tcPr>
            <w:tcW w:w="3118" w:type="dxa"/>
            <w:tcBorders>
              <w:top w:val="nil"/>
              <w:left w:val="single" w:sz="4" w:space="0" w:color="FFFFFF"/>
              <w:right w:val="single" w:sz="4" w:space="0" w:color="FFFFFF"/>
            </w:tcBorders>
            <w:shd w:val="clear" w:color="auto" w:fill="262C66"/>
          </w:tcPr>
          <w:p w14:paraId="42509372" w14:textId="71D30319" w:rsidR="00B30B11" w:rsidRPr="0053072D" w:rsidRDefault="00B30B11" w:rsidP="007B35F5">
            <w:pPr>
              <w:keepNext/>
              <w:keepLines/>
              <w:spacing w:before="60" w:after="60"/>
              <w:ind w:left="11"/>
              <w:jc w:val="center"/>
              <w:outlineLvl w:val="1"/>
              <w:rPr>
                <w:rFonts w:eastAsia="Times New Roman" w:cs="Arial"/>
                <w:b/>
                <w:bCs/>
                <w:color w:val="FFFFFF"/>
                <w:sz w:val="20"/>
                <w:szCs w:val="20"/>
                <w:lang w:val="en-ID" w:eastAsia="en-ID"/>
              </w:rPr>
            </w:pPr>
            <w:bookmarkStart w:id="553" w:name="_Toc173318737"/>
            <w:r w:rsidRPr="0053072D">
              <w:rPr>
                <w:rFonts w:eastAsia="Times New Roman" w:cs="Arial"/>
                <w:b/>
                <w:bCs/>
                <w:color w:val="FFFFFF"/>
                <w:sz w:val="20"/>
                <w:szCs w:val="20"/>
                <w:lang w:val="en-ID" w:eastAsia="en-ID"/>
              </w:rPr>
              <w:t>Expected outputs</w:t>
            </w:r>
            <w:bookmarkEnd w:id="553"/>
          </w:p>
        </w:tc>
        <w:tc>
          <w:tcPr>
            <w:tcW w:w="3787" w:type="dxa"/>
            <w:tcBorders>
              <w:top w:val="nil"/>
              <w:left w:val="single" w:sz="4" w:space="0" w:color="FFFFFF"/>
            </w:tcBorders>
            <w:shd w:val="clear" w:color="auto" w:fill="262C66"/>
          </w:tcPr>
          <w:p w14:paraId="28354193" w14:textId="7829A97A" w:rsidR="00B30B11" w:rsidRPr="0053072D" w:rsidRDefault="00B30B11" w:rsidP="007B35F5">
            <w:pPr>
              <w:keepNext/>
              <w:keepLines/>
              <w:spacing w:before="60" w:after="60"/>
              <w:ind w:left="11"/>
              <w:jc w:val="center"/>
              <w:outlineLvl w:val="1"/>
              <w:rPr>
                <w:rFonts w:eastAsia="Times New Roman" w:cs="Arial"/>
                <w:b/>
                <w:bCs/>
                <w:color w:val="FFFFFF"/>
                <w:sz w:val="20"/>
                <w:szCs w:val="20"/>
                <w:lang w:val="en-ID" w:eastAsia="en-ID"/>
              </w:rPr>
            </w:pPr>
            <w:bookmarkStart w:id="554" w:name="_Toc173318738"/>
            <w:r w:rsidRPr="0053072D">
              <w:rPr>
                <w:rFonts w:eastAsia="Times New Roman" w:cs="Arial"/>
                <w:b/>
                <w:bCs/>
                <w:color w:val="FFFFFF"/>
                <w:sz w:val="20"/>
                <w:szCs w:val="20"/>
                <w:lang w:val="en-ID" w:eastAsia="en-ID"/>
              </w:rPr>
              <w:t>Progress update</w:t>
            </w:r>
            <w:bookmarkEnd w:id="554"/>
          </w:p>
        </w:tc>
      </w:tr>
      <w:tr w:rsidR="00B30B11" w:rsidRPr="0053072D" w14:paraId="3887E0F6" w14:textId="77777777" w:rsidTr="00EE453C">
        <w:tc>
          <w:tcPr>
            <w:tcW w:w="2122" w:type="dxa"/>
          </w:tcPr>
          <w:p w14:paraId="03F81917" w14:textId="6CD92328"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55" w:name="_Toc173318739"/>
            <w:r w:rsidRPr="0053072D">
              <w:rPr>
                <w:rFonts w:eastAsia="Times New Roman" w:cs="Aptos"/>
                <w:color w:val="000000"/>
                <w:sz w:val="20"/>
                <w:szCs w:val="20"/>
                <w:lang w:val="en-ID" w:eastAsia="en-ID"/>
              </w:rPr>
              <w:t>Strategies towards ensuring greater sustainability</w:t>
            </w:r>
            <w:bookmarkEnd w:id="555"/>
          </w:p>
        </w:tc>
        <w:tc>
          <w:tcPr>
            <w:tcW w:w="2835" w:type="dxa"/>
          </w:tcPr>
          <w:p w14:paraId="5FE73AE8" w14:textId="184A5ACE"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56" w:name="_Toc173318740"/>
            <w:r w:rsidRPr="0053072D">
              <w:rPr>
                <w:rFonts w:eastAsia="Times New Roman" w:cs="Aptos"/>
                <w:color w:val="000000"/>
                <w:sz w:val="20"/>
                <w:szCs w:val="20"/>
                <w:lang w:val="en-ID" w:eastAsia="en-ID"/>
              </w:rPr>
              <w:t>Assisting the government to improve its pig breeding management system</w:t>
            </w:r>
            <w:bookmarkEnd w:id="556"/>
          </w:p>
        </w:tc>
        <w:tc>
          <w:tcPr>
            <w:tcW w:w="2698" w:type="dxa"/>
          </w:tcPr>
          <w:p w14:paraId="44CBAEEC"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57" w:name="_Toc173318741"/>
            <w:r w:rsidRPr="0053072D">
              <w:rPr>
                <w:rFonts w:eastAsia="Times New Roman" w:cs="Aptos"/>
                <w:color w:val="000000"/>
                <w:sz w:val="20"/>
                <w:szCs w:val="20"/>
                <w:lang w:val="en-ID" w:eastAsia="en-ID"/>
              </w:rPr>
              <w:t>Develop an accredited artificial insemination (AI) curriculum and module for pig AI training through a multistakeholder working group workshop and piloting the training.</w:t>
            </w:r>
            <w:bookmarkEnd w:id="557"/>
            <w:r w:rsidRPr="0053072D">
              <w:rPr>
                <w:rFonts w:eastAsia="Times New Roman" w:cs="Aptos"/>
                <w:color w:val="000000"/>
                <w:sz w:val="20"/>
                <w:szCs w:val="20"/>
                <w:lang w:val="en-ID" w:eastAsia="en-ID"/>
              </w:rPr>
              <w:t> </w:t>
            </w:r>
          </w:p>
        </w:tc>
        <w:tc>
          <w:tcPr>
            <w:tcW w:w="3118" w:type="dxa"/>
          </w:tcPr>
          <w:p w14:paraId="55026900" w14:textId="77777777" w:rsidR="00B30B11" w:rsidRPr="0053072D" w:rsidRDefault="00B30B11" w:rsidP="007B35F5">
            <w:pPr>
              <w:keepNext/>
              <w:keepLines/>
              <w:spacing w:after="80"/>
              <w:ind w:left="37" w:firstLine="14"/>
              <w:outlineLvl w:val="1"/>
              <w:rPr>
                <w:rFonts w:eastAsia="Times New Roman" w:cs="Arial"/>
                <w:color w:val="000000"/>
                <w:sz w:val="20"/>
                <w:szCs w:val="20"/>
                <w:lang w:val="en-ID" w:eastAsia="en-ID"/>
              </w:rPr>
            </w:pPr>
            <w:bookmarkStart w:id="558" w:name="_Toc173318742"/>
            <w:r w:rsidRPr="0053072D">
              <w:rPr>
                <w:rFonts w:eastAsia="Times New Roman" w:cs="Arial"/>
                <w:color w:val="000000"/>
                <w:sz w:val="20"/>
                <w:szCs w:val="20"/>
                <w:lang w:val="en-ID" w:eastAsia="en-ID"/>
              </w:rPr>
              <w:t xml:space="preserve">Pig AI curriculum and module </w:t>
            </w:r>
            <w:r w:rsidRPr="0053072D">
              <w:rPr>
                <w:rFonts w:eastAsia="Times New Roman" w:cs="Arial"/>
                <w:color w:val="000000"/>
                <w:sz w:val="20"/>
                <w:szCs w:val="20"/>
                <w:lang w:val="en-ID" w:eastAsia="en-ID"/>
              </w:rPr>
              <w:br/>
              <w:t>Pig AI training held by the Kupang Agricultural Training Center (BBPP)</w:t>
            </w:r>
            <w:bookmarkEnd w:id="558"/>
            <w:r w:rsidRPr="0053072D">
              <w:rPr>
                <w:rFonts w:eastAsia="Times New Roman" w:cs="Arial"/>
                <w:color w:val="000000"/>
                <w:sz w:val="20"/>
                <w:szCs w:val="20"/>
                <w:lang w:val="en-ID" w:eastAsia="en-ID"/>
              </w:rPr>
              <w:t xml:space="preserve"> </w:t>
            </w:r>
          </w:p>
        </w:tc>
        <w:tc>
          <w:tcPr>
            <w:tcW w:w="3787" w:type="dxa"/>
          </w:tcPr>
          <w:p w14:paraId="588319F6" w14:textId="68597463" w:rsidR="00B30B11" w:rsidRPr="0053072D" w:rsidRDefault="00B30B11" w:rsidP="00EE453C">
            <w:pPr>
              <w:keepNext/>
              <w:keepLines/>
              <w:spacing w:after="120"/>
              <w:ind w:left="11"/>
              <w:outlineLvl w:val="1"/>
              <w:rPr>
                <w:rFonts w:eastAsia="Times New Roman" w:cs="Arial"/>
                <w:i/>
                <w:iCs/>
                <w:color w:val="C00000"/>
                <w:sz w:val="20"/>
                <w:szCs w:val="20"/>
                <w:lang w:val="en-ID" w:eastAsia="en-ID"/>
              </w:rPr>
            </w:pPr>
            <w:bookmarkStart w:id="559" w:name="_Toc173318743"/>
            <w:r w:rsidRPr="0053072D">
              <w:rPr>
                <w:rFonts w:eastAsia="Yu Gothic Light" w:cs="Arial"/>
                <w:color w:val="000000"/>
                <w:sz w:val="20"/>
                <w:szCs w:val="20"/>
                <w:lang w:val="en-ID" w:eastAsia="en-ID"/>
              </w:rPr>
              <w:t>PRISMA engaged experts to support the Kupang BPPP in establishing the AI curriculum, modules, and technical guidelines for pig inseminators to enhance the NTT pig breeding management system. Pig AI pilot training was conducted in Kupang (December 2023).</w:t>
            </w:r>
            <w:bookmarkEnd w:id="559"/>
          </w:p>
        </w:tc>
      </w:tr>
      <w:tr w:rsidR="00B30B11" w:rsidRPr="0053072D" w14:paraId="348E6474" w14:textId="77777777" w:rsidTr="00EE453C">
        <w:tc>
          <w:tcPr>
            <w:tcW w:w="2122" w:type="dxa"/>
          </w:tcPr>
          <w:p w14:paraId="4FCE1B1A" w14:textId="4EE90458"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60" w:name="_Toc173318744"/>
            <w:r w:rsidRPr="0053072D">
              <w:rPr>
                <w:rFonts w:eastAsia="Times New Roman" w:cs="Aptos"/>
                <w:color w:val="000000"/>
                <w:sz w:val="20"/>
                <w:szCs w:val="20"/>
                <w:lang w:val="en-ID" w:eastAsia="en-ID"/>
              </w:rPr>
              <w:t xml:space="preserve">Policy initiatives (which may include </w:t>
            </w:r>
            <w:r w:rsidRPr="0053072D">
              <w:rPr>
                <w:rFonts w:eastAsia="Times New Roman" w:cs="Aptos"/>
                <w:color w:val="000000"/>
                <w:sz w:val="20"/>
                <w:szCs w:val="20"/>
                <w:lang w:val="en-ID" w:eastAsia="en-ID"/>
              </w:rPr>
              <w:lastRenderedPageBreak/>
              <w:t>support for Bappenas/MoA)</w:t>
            </w:r>
            <w:bookmarkEnd w:id="560"/>
          </w:p>
        </w:tc>
        <w:tc>
          <w:tcPr>
            <w:tcW w:w="2835" w:type="dxa"/>
          </w:tcPr>
          <w:p w14:paraId="30F29734" w14:textId="63C903F5"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61" w:name="_Toc173318745"/>
            <w:r w:rsidRPr="0053072D">
              <w:rPr>
                <w:rFonts w:eastAsia="Times New Roman" w:cs="Aptos"/>
                <w:color w:val="000000"/>
                <w:sz w:val="20"/>
                <w:szCs w:val="20"/>
                <w:lang w:val="en-ID" w:eastAsia="en-ID"/>
              </w:rPr>
              <w:lastRenderedPageBreak/>
              <w:t>Supporting the commercialisation of parent seed</w:t>
            </w:r>
            <w:bookmarkEnd w:id="561"/>
          </w:p>
        </w:tc>
        <w:tc>
          <w:tcPr>
            <w:tcW w:w="2698" w:type="dxa"/>
          </w:tcPr>
          <w:p w14:paraId="659F68CD" w14:textId="7655B325"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62" w:name="_Toc173318746"/>
            <w:r w:rsidRPr="0053072D">
              <w:rPr>
                <w:rFonts w:eastAsia="Times New Roman" w:cs="Aptos"/>
                <w:color w:val="000000"/>
                <w:sz w:val="20"/>
                <w:szCs w:val="20"/>
                <w:lang w:val="en-ID" w:eastAsia="en-ID"/>
              </w:rPr>
              <w:t xml:space="preserve">Institutionalise the AI curriculum and module as a standard for AI training in </w:t>
            </w:r>
            <w:r w:rsidRPr="0053072D">
              <w:rPr>
                <w:rFonts w:eastAsia="Times New Roman" w:cs="Aptos"/>
                <w:color w:val="000000"/>
                <w:sz w:val="20"/>
                <w:szCs w:val="20"/>
                <w:lang w:val="en-ID" w:eastAsia="en-ID"/>
              </w:rPr>
              <w:lastRenderedPageBreak/>
              <w:t>Indonesia at the national and provincial levels.</w:t>
            </w:r>
            <w:bookmarkEnd w:id="562"/>
          </w:p>
        </w:tc>
        <w:tc>
          <w:tcPr>
            <w:tcW w:w="3118" w:type="dxa"/>
          </w:tcPr>
          <w:p w14:paraId="2F84622E" w14:textId="20BF0DB8" w:rsidR="00B30B11" w:rsidRPr="0053072D" w:rsidRDefault="00B30B11" w:rsidP="007B35F5">
            <w:pPr>
              <w:keepNext/>
              <w:keepLines/>
              <w:spacing w:after="80"/>
              <w:ind w:left="37" w:firstLine="14"/>
              <w:outlineLvl w:val="1"/>
              <w:rPr>
                <w:rFonts w:eastAsia="Times New Roman" w:cs="Arial"/>
                <w:color w:val="000000"/>
                <w:sz w:val="20"/>
                <w:szCs w:val="20"/>
                <w:lang w:val="en-ID" w:eastAsia="en-ID"/>
              </w:rPr>
            </w:pPr>
            <w:bookmarkStart w:id="563" w:name="_Toc173318747"/>
            <w:r w:rsidRPr="0053072D">
              <w:rPr>
                <w:rFonts w:eastAsia="Times New Roman" w:cs="Arial"/>
                <w:color w:val="000000"/>
                <w:sz w:val="20"/>
                <w:szCs w:val="20"/>
                <w:lang w:val="en-ID" w:eastAsia="en-ID"/>
              </w:rPr>
              <w:lastRenderedPageBreak/>
              <w:t xml:space="preserve">The curriculum is adopted by the NTT provincial government and the MoA and used as an </w:t>
            </w:r>
            <w:r w:rsidRPr="0053072D">
              <w:rPr>
                <w:rFonts w:eastAsia="Times New Roman" w:cs="Arial"/>
                <w:color w:val="000000"/>
                <w:sz w:val="20"/>
                <w:szCs w:val="20"/>
                <w:lang w:val="en-ID" w:eastAsia="en-ID"/>
              </w:rPr>
              <w:lastRenderedPageBreak/>
              <w:t>official reference in pig AI training.</w:t>
            </w:r>
            <w:bookmarkEnd w:id="563"/>
          </w:p>
        </w:tc>
        <w:tc>
          <w:tcPr>
            <w:tcW w:w="3787" w:type="dxa"/>
          </w:tcPr>
          <w:p w14:paraId="04B75329" w14:textId="70947174" w:rsidR="00B30B11" w:rsidRPr="0053072D" w:rsidRDefault="00B30B11" w:rsidP="00EE453C">
            <w:pPr>
              <w:keepNext/>
              <w:keepLines/>
              <w:spacing w:after="120"/>
              <w:ind w:left="11"/>
              <w:outlineLvl w:val="1"/>
              <w:rPr>
                <w:rFonts w:eastAsia="Yu Gothic Light" w:cs="Arial"/>
                <w:color w:val="000000"/>
                <w:sz w:val="20"/>
                <w:szCs w:val="20"/>
                <w:lang w:val="en-ID" w:eastAsia="en-ID"/>
              </w:rPr>
            </w:pPr>
            <w:bookmarkStart w:id="564" w:name="_Toc173318748"/>
            <w:r w:rsidRPr="0053072D">
              <w:rPr>
                <w:rFonts w:eastAsia="Yu Gothic Light" w:cs="Arial"/>
                <w:color w:val="000000"/>
                <w:sz w:val="20"/>
                <w:szCs w:val="20"/>
                <w:lang w:eastAsia="en-ID"/>
              </w:rPr>
              <w:lastRenderedPageBreak/>
              <w:t>The Agricultural Extension and Human Resources Development Agency</w:t>
            </w:r>
            <w:r w:rsidRPr="0053072D">
              <w:rPr>
                <w:rFonts w:eastAsia="Yu Gothic Light" w:cs="Arial"/>
                <w:color w:val="000000"/>
                <w:sz w:val="20"/>
                <w:szCs w:val="20"/>
                <w:lang w:val="en-ID" w:eastAsia="en-ID"/>
              </w:rPr>
              <w:t xml:space="preserve"> (BPPSDMP) under the MoA institutionalised the curriculum through </w:t>
            </w:r>
            <w:r w:rsidRPr="0053072D">
              <w:rPr>
                <w:rFonts w:eastAsia="Yu Gothic Light" w:cs="Arial"/>
                <w:color w:val="000000"/>
                <w:sz w:val="20"/>
                <w:szCs w:val="20"/>
                <w:lang w:val="en-ID" w:eastAsia="en-ID"/>
              </w:rPr>
              <w:lastRenderedPageBreak/>
              <w:t xml:space="preserve">the establishment of </w:t>
            </w:r>
            <w:r w:rsidRPr="0053072D">
              <w:rPr>
                <w:sz w:val="20"/>
                <w:szCs w:val="20"/>
              </w:rPr>
              <w:t>the</w:t>
            </w:r>
            <w:r w:rsidRPr="0053072D">
              <w:rPr>
                <w:rFonts w:eastAsiaTheme="minorEastAsia"/>
                <w:sz w:val="20"/>
                <w:szCs w:val="20"/>
                <w:lang w:eastAsia="en-GB"/>
              </w:rPr>
              <w:t xml:space="preserve"> </w:t>
            </w:r>
            <w:r w:rsidRPr="0053072D">
              <w:rPr>
                <w:rFonts w:eastAsia="Yu Gothic Light" w:cs="Arial"/>
                <w:color w:val="000000"/>
                <w:sz w:val="20"/>
                <w:szCs w:val="20"/>
                <w:lang w:eastAsia="en-ID"/>
              </w:rPr>
              <w:t>Specific Work Competence Standard</w:t>
            </w:r>
            <w:r w:rsidRPr="0053072D">
              <w:rPr>
                <w:rFonts w:eastAsia="Yu Gothic Light" w:cs="Arial"/>
                <w:color w:val="000000"/>
                <w:sz w:val="20"/>
                <w:szCs w:val="20"/>
                <w:lang w:val="en-ID" w:eastAsia="en-ID"/>
              </w:rPr>
              <w:t xml:space="preserve"> (SKK Khusus) for swine inseminators applicable to all professional certification institutions, and educational and training institutions under the MoA. The standard was endorsed by the head of BPPSDMP, MoA in May 2024.</w:t>
            </w:r>
            <w:bookmarkEnd w:id="564"/>
          </w:p>
          <w:p w14:paraId="07FDF436" w14:textId="2442687B" w:rsidR="00B30B11" w:rsidRPr="0053072D" w:rsidRDefault="00B30B11" w:rsidP="007B35F5">
            <w:pPr>
              <w:keepNext/>
              <w:keepLines/>
              <w:spacing w:after="120"/>
              <w:outlineLvl w:val="1"/>
              <w:rPr>
                <w:rFonts w:eastAsia="Yu Gothic Light" w:cs="Arial"/>
                <w:color w:val="000000"/>
                <w:sz w:val="20"/>
                <w:szCs w:val="20"/>
                <w:lang w:val="en-ID" w:eastAsia="en-ID"/>
              </w:rPr>
            </w:pPr>
            <w:bookmarkStart w:id="565" w:name="_Toc173318749"/>
            <w:r w:rsidRPr="0053072D">
              <w:rPr>
                <w:rFonts w:eastAsia="Yu Gothic Light" w:cs="Arial"/>
                <w:color w:val="000000"/>
                <w:sz w:val="20"/>
                <w:szCs w:val="20"/>
                <w:lang w:val="en-ID" w:eastAsia="en-ID"/>
              </w:rPr>
              <w:t>As a follow-up, ToT for pig AI assessors will be conducted in August 2024.</w:t>
            </w:r>
            <w:bookmarkEnd w:id="565"/>
          </w:p>
        </w:tc>
      </w:tr>
      <w:tr w:rsidR="00B30B11" w:rsidRPr="0053072D" w14:paraId="7681ADD2" w14:textId="77777777" w:rsidTr="00EE453C">
        <w:tc>
          <w:tcPr>
            <w:tcW w:w="2122" w:type="dxa"/>
          </w:tcPr>
          <w:p w14:paraId="55B08FC1" w14:textId="6C147B53"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66" w:name="_Toc173318750"/>
            <w:r w:rsidRPr="0053072D">
              <w:rPr>
                <w:rFonts w:eastAsia="Times New Roman" w:cs="Aptos"/>
                <w:color w:val="000000"/>
                <w:sz w:val="20"/>
                <w:szCs w:val="20"/>
                <w:lang w:val="en-ID" w:eastAsia="en-ID"/>
              </w:rPr>
              <w:lastRenderedPageBreak/>
              <w:t>Strategies towards ensuring greater sustainability</w:t>
            </w:r>
            <w:bookmarkEnd w:id="566"/>
          </w:p>
        </w:tc>
        <w:tc>
          <w:tcPr>
            <w:tcW w:w="2835" w:type="dxa"/>
          </w:tcPr>
          <w:p w14:paraId="7187C23E" w14:textId="346DCAF5"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67" w:name="_Toc173318751"/>
            <w:r w:rsidRPr="0053072D">
              <w:rPr>
                <w:rFonts w:eastAsia="Times New Roman" w:cs="Aptos"/>
                <w:color w:val="000000"/>
                <w:sz w:val="20"/>
                <w:szCs w:val="20"/>
                <w:lang w:val="en-ID" w:eastAsia="en-ID"/>
              </w:rPr>
              <w:t>Inducing free market entry of other seed producers</w:t>
            </w:r>
            <w:bookmarkEnd w:id="567"/>
          </w:p>
        </w:tc>
        <w:tc>
          <w:tcPr>
            <w:tcW w:w="2698" w:type="dxa"/>
          </w:tcPr>
          <w:p w14:paraId="0033AA48" w14:textId="09160976"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68" w:name="_Toc173318752"/>
            <w:r w:rsidRPr="0053072D">
              <w:rPr>
                <w:rFonts w:eastAsia="Times New Roman" w:cs="Aptos"/>
                <w:color w:val="000000"/>
                <w:sz w:val="20"/>
                <w:szCs w:val="20"/>
                <w:lang w:val="en-ID" w:eastAsia="en-ID"/>
              </w:rPr>
              <w:t>Workshop to develop the  SNI procedures for pig semen (chilled) certification for breeding farms.</w:t>
            </w:r>
            <w:bookmarkEnd w:id="568"/>
          </w:p>
        </w:tc>
        <w:tc>
          <w:tcPr>
            <w:tcW w:w="3118" w:type="dxa"/>
          </w:tcPr>
          <w:p w14:paraId="5918330B" w14:textId="074A48F1" w:rsidR="00B30B11" w:rsidRPr="0053072D" w:rsidRDefault="00B30B11" w:rsidP="007B35F5">
            <w:pPr>
              <w:keepNext/>
              <w:keepLines/>
              <w:spacing w:after="80"/>
              <w:ind w:left="37" w:firstLine="14"/>
              <w:outlineLvl w:val="1"/>
              <w:rPr>
                <w:rFonts w:eastAsia="Times New Roman" w:cs="Arial"/>
                <w:color w:val="000000"/>
                <w:sz w:val="20"/>
                <w:szCs w:val="20"/>
                <w:lang w:val="en-ID" w:eastAsia="en-ID"/>
              </w:rPr>
            </w:pPr>
            <w:bookmarkStart w:id="569" w:name="_Toc173318753"/>
            <w:r w:rsidRPr="0053072D">
              <w:rPr>
                <w:rFonts w:eastAsia="Times New Roman" w:cs="Arial"/>
                <w:color w:val="000000"/>
                <w:sz w:val="20"/>
                <w:szCs w:val="20"/>
                <w:lang w:val="en-ID" w:eastAsia="en-ID"/>
              </w:rPr>
              <w:t>Pig semen SNI procedures for businesses are developed and implemented.</w:t>
            </w:r>
            <w:bookmarkEnd w:id="569"/>
          </w:p>
        </w:tc>
        <w:tc>
          <w:tcPr>
            <w:tcW w:w="3787" w:type="dxa"/>
          </w:tcPr>
          <w:p w14:paraId="106B1141" w14:textId="6D22C868"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70" w:name="_Toc173318754"/>
            <w:r w:rsidRPr="0053072D">
              <w:rPr>
                <w:rFonts w:eastAsia="Yu Gothic Light" w:cs="Arial"/>
                <w:color w:val="000000"/>
                <w:sz w:val="20"/>
                <w:szCs w:val="20"/>
                <w:lang w:val="en-ID" w:eastAsia="en-ID"/>
              </w:rPr>
              <w:t>PRISMA engaged experts to support the development of the SNI chilled semen certification standard operational procedures (SOP). The SOP can be used widely by any semen producers in Indonesia to obtain the SNI certification.</w:t>
            </w:r>
            <w:bookmarkEnd w:id="570"/>
          </w:p>
        </w:tc>
      </w:tr>
      <w:tr w:rsidR="00B30B11" w:rsidRPr="0053072D" w14:paraId="58767CA7" w14:textId="77777777" w:rsidTr="00EE453C">
        <w:tc>
          <w:tcPr>
            <w:tcW w:w="2122" w:type="dxa"/>
            <w:vMerge w:val="restart"/>
          </w:tcPr>
          <w:p w14:paraId="67F64EDE" w14:textId="2CD667E2"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71" w:name="_Toc173318755"/>
            <w:r w:rsidRPr="0053072D">
              <w:rPr>
                <w:rFonts w:eastAsia="Times New Roman" w:cs="Aptos"/>
                <w:color w:val="000000"/>
                <w:sz w:val="20"/>
                <w:szCs w:val="20"/>
                <w:lang w:val="en-ID" w:eastAsia="en-ID"/>
              </w:rPr>
              <w:t>Policy initiatives (which may include support for Bappenas/MoA)</w:t>
            </w:r>
            <w:bookmarkEnd w:id="571"/>
          </w:p>
        </w:tc>
        <w:tc>
          <w:tcPr>
            <w:tcW w:w="2835" w:type="dxa"/>
            <w:vMerge w:val="restart"/>
          </w:tcPr>
          <w:p w14:paraId="6F3C84F8" w14:textId="655A775F"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72" w:name="_Toc173318756"/>
            <w:r w:rsidRPr="0053072D">
              <w:rPr>
                <w:rFonts w:eastAsia="Times New Roman" w:cs="Aptos"/>
                <w:color w:val="000000"/>
                <w:sz w:val="20"/>
                <w:szCs w:val="20"/>
                <w:lang w:val="en-ID" w:eastAsia="en-ID"/>
              </w:rPr>
              <w:t>Conducting stakeholder consultations to stimulate market competition and disseminate information on market potential</w:t>
            </w:r>
            <w:bookmarkEnd w:id="572"/>
          </w:p>
        </w:tc>
        <w:tc>
          <w:tcPr>
            <w:tcW w:w="2698" w:type="dxa"/>
          </w:tcPr>
          <w:p w14:paraId="7FC614A0"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73" w:name="_Toc173318757"/>
            <w:r w:rsidRPr="0053072D">
              <w:rPr>
                <w:rFonts w:eastAsia="Times New Roman" w:cs="Aptos"/>
                <w:color w:val="000000"/>
                <w:sz w:val="20"/>
                <w:szCs w:val="20"/>
                <w:lang w:val="en-ID" w:eastAsia="en-ID"/>
              </w:rPr>
              <w:t>Workshop to develop a national standard for frozen pig semen and the relevant procedures.</w:t>
            </w:r>
            <w:bookmarkEnd w:id="573"/>
            <w:r w:rsidRPr="0053072D">
              <w:rPr>
                <w:rFonts w:eastAsia="Times New Roman" w:cs="Aptos"/>
                <w:color w:val="000000"/>
                <w:sz w:val="20"/>
                <w:szCs w:val="20"/>
                <w:lang w:val="en-ID" w:eastAsia="en-ID"/>
              </w:rPr>
              <w:t>  </w:t>
            </w:r>
          </w:p>
        </w:tc>
        <w:tc>
          <w:tcPr>
            <w:tcW w:w="3118" w:type="dxa"/>
          </w:tcPr>
          <w:p w14:paraId="6D124C1D" w14:textId="77777777" w:rsidR="00B30B11" w:rsidRPr="0053072D" w:rsidRDefault="00B30B11" w:rsidP="007B35F5">
            <w:pPr>
              <w:keepNext/>
              <w:keepLines/>
              <w:spacing w:after="80"/>
              <w:ind w:left="37" w:firstLine="14"/>
              <w:outlineLvl w:val="1"/>
              <w:rPr>
                <w:rFonts w:eastAsia="Times New Roman" w:cs="Arial"/>
                <w:color w:val="000000"/>
                <w:sz w:val="20"/>
                <w:szCs w:val="20"/>
                <w:lang w:val="en-ID" w:eastAsia="en-ID"/>
              </w:rPr>
            </w:pPr>
            <w:bookmarkStart w:id="574" w:name="_Toc173318758"/>
            <w:r w:rsidRPr="0053072D">
              <w:rPr>
                <w:rFonts w:eastAsia="Times New Roman" w:cs="Arial"/>
                <w:color w:val="000000"/>
                <w:sz w:val="20"/>
                <w:szCs w:val="20"/>
                <w:lang w:val="en-ID" w:eastAsia="en-ID"/>
              </w:rPr>
              <w:t>A SNI for frozen pig semen and relevant procedures</w:t>
            </w:r>
            <w:bookmarkEnd w:id="574"/>
            <w:r w:rsidRPr="0053072D">
              <w:rPr>
                <w:rFonts w:eastAsia="Times New Roman" w:cs="Arial"/>
                <w:color w:val="000000"/>
                <w:sz w:val="20"/>
                <w:szCs w:val="20"/>
                <w:lang w:val="en-ID" w:eastAsia="en-ID"/>
              </w:rPr>
              <w:t xml:space="preserve"> </w:t>
            </w:r>
          </w:p>
        </w:tc>
        <w:tc>
          <w:tcPr>
            <w:tcW w:w="3787" w:type="dxa"/>
            <w:vMerge w:val="restart"/>
          </w:tcPr>
          <w:p w14:paraId="71FED677" w14:textId="487B3482"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75" w:name="_Toc173318759"/>
            <w:r w:rsidRPr="0053072D">
              <w:rPr>
                <w:rFonts w:eastAsia="Times New Roman" w:cs="Arial"/>
                <w:color w:val="000000"/>
                <w:sz w:val="20"/>
                <w:szCs w:val="20"/>
                <w:lang w:val="en-ID" w:eastAsia="en-ID"/>
              </w:rPr>
              <w:t>PRISMA collaborated with the</w:t>
            </w:r>
            <w:r w:rsidRPr="0053072D">
              <w:rPr>
                <w:rFonts w:eastAsiaTheme="minorEastAsia"/>
                <w:sz w:val="20"/>
                <w:szCs w:val="20"/>
                <w:lang w:val="en-US" w:eastAsia="en-GB"/>
              </w:rPr>
              <w:t xml:space="preserve"> </w:t>
            </w:r>
            <w:r w:rsidRPr="0053072D">
              <w:rPr>
                <w:rFonts w:eastAsia="Times New Roman" w:cs="Arial"/>
                <w:color w:val="000000"/>
                <w:sz w:val="20"/>
                <w:szCs w:val="20"/>
                <w:lang w:val="en-US" w:eastAsia="en-ID"/>
              </w:rPr>
              <w:t>Center for Livestock and Animal Health Instrument Certification (</w:t>
            </w:r>
            <w:r w:rsidRPr="0053072D">
              <w:rPr>
                <w:rFonts w:eastAsia="Times New Roman" w:cs="Arial"/>
                <w:color w:val="000000"/>
                <w:sz w:val="20"/>
                <w:szCs w:val="20"/>
                <w:lang w:val="en-ID" w:eastAsia="en-ID"/>
              </w:rPr>
              <w:t>PSIPKH) under the MoA to develop the draft SNI for frozen pig semen. This June, after completing 3 stages of conception, and technical and consensus meetings, the final draft was endorsed and submitted to the National Standards Agency (BSN). The SNI for the frozen pig semen is expected to be issued by the BSN this September 2024.</w:t>
            </w:r>
            <w:bookmarkEnd w:id="575"/>
          </w:p>
        </w:tc>
      </w:tr>
      <w:tr w:rsidR="00B30B11" w:rsidRPr="0053072D" w14:paraId="539EB209" w14:textId="77777777" w:rsidTr="00EE453C">
        <w:tc>
          <w:tcPr>
            <w:tcW w:w="2122" w:type="dxa"/>
            <w:vMerge/>
          </w:tcPr>
          <w:p w14:paraId="54990263"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835" w:type="dxa"/>
            <w:vMerge/>
          </w:tcPr>
          <w:p w14:paraId="0CFD6324"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98" w:type="dxa"/>
          </w:tcPr>
          <w:p w14:paraId="6FD10104" w14:textId="5FED2698"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76" w:name="_Toc173318760"/>
            <w:r w:rsidRPr="0053072D">
              <w:rPr>
                <w:rFonts w:eastAsia="Times New Roman" w:cs="Aptos"/>
                <w:color w:val="000000"/>
                <w:sz w:val="20"/>
                <w:szCs w:val="20"/>
                <w:lang w:val="en-ID" w:eastAsia="en-ID"/>
              </w:rPr>
              <w:t>Institutionalise the pig semen procedures and frozen semen national standard to relevant stakeholders.</w:t>
            </w:r>
            <w:bookmarkEnd w:id="576"/>
          </w:p>
        </w:tc>
        <w:tc>
          <w:tcPr>
            <w:tcW w:w="3118" w:type="dxa"/>
          </w:tcPr>
          <w:p w14:paraId="4020E559" w14:textId="1891C760" w:rsidR="00B30B11" w:rsidRPr="0053072D" w:rsidRDefault="00B30B11" w:rsidP="007B35F5">
            <w:pPr>
              <w:keepNext/>
              <w:keepLines/>
              <w:spacing w:after="80"/>
              <w:ind w:left="37" w:firstLine="14"/>
              <w:outlineLvl w:val="1"/>
              <w:rPr>
                <w:rFonts w:eastAsia="Times New Roman" w:cs="Arial"/>
                <w:color w:val="000000"/>
                <w:sz w:val="20"/>
                <w:szCs w:val="20"/>
                <w:lang w:val="en-ID" w:eastAsia="en-ID"/>
              </w:rPr>
            </w:pPr>
            <w:bookmarkStart w:id="577" w:name="_Toc173318761"/>
            <w:r w:rsidRPr="0053072D">
              <w:rPr>
                <w:rFonts w:eastAsia="Times New Roman" w:cs="Arial"/>
                <w:color w:val="000000"/>
                <w:sz w:val="20"/>
                <w:szCs w:val="20"/>
                <w:lang w:val="en-ID" w:eastAsia="en-ID"/>
              </w:rPr>
              <w:t>The Directorate of Animal Breeding and Production and the MoA adopt the frozen pig semen SNI as the official standard.</w:t>
            </w:r>
            <w:bookmarkEnd w:id="577"/>
          </w:p>
        </w:tc>
        <w:tc>
          <w:tcPr>
            <w:tcW w:w="3787" w:type="dxa"/>
            <w:vMerge/>
          </w:tcPr>
          <w:p w14:paraId="490B5A94"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r>
      <w:tr w:rsidR="00B30B11" w:rsidRPr="0053072D" w14:paraId="1119D6AC" w14:textId="77777777" w:rsidTr="00EE453C">
        <w:tc>
          <w:tcPr>
            <w:tcW w:w="2122" w:type="dxa"/>
            <w:vMerge w:val="restart"/>
          </w:tcPr>
          <w:p w14:paraId="0A20EE0C" w14:textId="0D98DD75"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578" w:name="_Toc173318762"/>
            <w:r w:rsidRPr="0053072D">
              <w:rPr>
                <w:rFonts w:eastAsia="Times New Roman" w:cs="Aptos"/>
                <w:color w:val="000000"/>
                <w:sz w:val="20"/>
                <w:szCs w:val="20"/>
                <w:lang w:val="en-ID" w:eastAsia="en-ID"/>
              </w:rPr>
              <w:t xml:space="preserve">Policy initiatives (which may include </w:t>
            </w:r>
            <w:r w:rsidRPr="0053072D">
              <w:rPr>
                <w:rFonts w:eastAsia="Times New Roman" w:cs="Aptos"/>
                <w:color w:val="000000"/>
                <w:sz w:val="20"/>
                <w:szCs w:val="20"/>
                <w:lang w:val="en-ID" w:eastAsia="en-ID"/>
              </w:rPr>
              <w:lastRenderedPageBreak/>
              <w:t>support for Bappenas/MoA)</w:t>
            </w:r>
            <w:bookmarkEnd w:id="578"/>
          </w:p>
        </w:tc>
        <w:tc>
          <w:tcPr>
            <w:tcW w:w="2835" w:type="dxa"/>
            <w:vMerge w:val="restart"/>
          </w:tcPr>
          <w:p w14:paraId="2C58EF9E" w14:textId="0F8B6D4A"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79" w:name="_Toc173318763"/>
            <w:r w:rsidRPr="0053072D">
              <w:rPr>
                <w:rFonts w:eastAsia="Times New Roman" w:cs="Aptos"/>
                <w:color w:val="000000"/>
                <w:sz w:val="20"/>
                <w:szCs w:val="20"/>
                <w:lang w:val="en-ID" w:eastAsia="en-ID"/>
              </w:rPr>
              <w:lastRenderedPageBreak/>
              <w:t xml:space="preserve">Assisting the provincial government in strengthening </w:t>
            </w:r>
            <w:r w:rsidRPr="0053072D">
              <w:rPr>
                <w:rFonts w:eastAsia="Times New Roman" w:cs="Aptos"/>
                <w:color w:val="000000"/>
                <w:sz w:val="20"/>
                <w:szCs w:val="20"/>
                <w:lang w:val="en-ID" w:eastAsia="en-ID"/>
              </w:rPr>
              <w:lastRenderedPageBreak/>
              <w:t>its procedure for livestock movement</w:t>
            </w:r>
            <w:bookmarkEnd w:id="579"/>
          </w:p>
        </w:tc>
        <w:tc>
          <w:tcPr>
            <w:tcW w:w="2698" w:type="dxa"/>
          </w:tcPr>
          <w:p w14:paraId="6AED4F25"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580" w:name="_Toc173318764"/>
            <w:r w:rsidRPr="0053072D">
              <w:rPr>
                <w:rFonts w:eastAsia="Times New Roman" w:cs="Aptos"/>
                <w:color w:val="000000"/>
                <w:sz w:val="20"/>
                <w:szCs w:val="20"/>
                <w:lang w:val="en-ID" w:eastAsia="en-ID"/>
              </w:rPr>
              <w:lastRenderedPageBreak/>
              <w:t>A workshop for socialising the Disease Investigation Center</w:t>
            </w:r>
            <w:r w:rsidRPr="0053072D" w:rsidDel="00633A7A">
              <w:rPr>
                <w:rFonts w:eastAsia="Times New Roman" w:cs="Aptos"/>
                <w:color w:val="000000"/>
                <w:sz w:val="20"/>
                <w:szCs w:val="20"/>
                <w:lang w:val="en-ID" w:eastAsia="en-ID"/>
              </w:rPr>
              <w:t xml:space="preserve"> </w:t>
            </w:r>
            <w:r w:rsidRPr="0053072D">
              <w:rPr>
                <w:rFonts w:eastAsia="Times New Roman" w:cs="Aptos"/>
                <w:color w:val="000000"/>
                <w:sz w:val="20"/>
                <w:szCs w:val="20"/>
                <w:lang w:val="en-ID" w:eastAsia="en-ID"/>
              </w:rPr>
              <w:t xml:space="preserve">(BBVet) </w:t>
            </w:r>
            <w:r w:rsidRPr="0053072D">
              <w:rPr>
                <w:rFonts w:eastAsia="Times New Roman" w:cs="Aptos"/>
                <w:color w:val="000000"/>
                <w:sz w:val="20"/>
                <w:szCs w:val="20"/>
                <w:lang w:val="en-ID" w:eastAsia="en-ID"/>
              </w:rPr>
              <w:lastRenderedPageBreak/>
              <w:t>recommendation for using the loop-mediated isothermal amplification (LAMP) diagnostic device as the official tool for ASF testing related to livestock movement</w:t>
            </w:r>
            <w:bookmarkEnd w:id="580"/>
            <w:r w:rsidRPr="0053072D">
              <w:rPr>
                <w:rFonts w:eastAsia="Times New Roman" w:cs="Aptos"/>
                <w:color w:val="000000"/>
                <w:sz w:val="20"/>
                <w:szCs w:val="20"/>
                <w:lang w:val="en-ID" w:eastAsia="en-ID"/>
              </w:rPr>
              <w:t>    </w:t>
            </w:r>
          </w:p>
        </w:tc>
        <w:tc>
          <w:tcPr>
            <w:tcW w:w="3118" w:type="dxa"/>
          </w:tcPr>
          <w:p w14:paraId="2D023AF9" w14:textId="77777777" w:rsidR="00B30B11" w:rsidRPr="0053072D" w:rsidRDefault="00B30B11" w:rsidP="007B35F5">
            <w:pPr>
              <w:keepNext/>
              <w:keepLines/>
              <w:spacing w:after="80"/>
              <w:ind w:left="37" w:firstLine="14"/>
              <w:outlineLvl w:val="1"/>
              <w:rPr>
                <w:rFonts w:eastAsia="Times New Roman" w:cs="Aptos"/>
                <w:color w:val="000000"/>
                <w:sz w:val="20"/>
                <w:szCs w:val="20"/>
                <w:lang w:val="en-ID" w:eastAsia="en-ID"/>
              </w:rPr>
            </w:pPr>
            <w:bookmarkStart w:id="581" w:name="_Toc173318765"/>
            <w:r w:rsidRPr="0053072D">
              <w:rPr>
                <w:rFonts w:eastAsia="Times New Roman" w:cs="Arial"/>
                <w:color w:val="000000"/>
                <w:sz w:val="20"/>
                <w:szCs w:val="20"/>
                <w:lang w:val="en-ID" w:eastAsia="en-ID"/>
              </w:rPr>
              <w:lastRenderedPageBreak/>
              <w:t xml:space="preserve">A BBVet recommendation on utilising the LAMP device as the official tool for ASF testing </w:t>
            </w:r>
            <w:r w:rsidRPr="0053072D">
              <w:rPr>
                <w:rFonts w:eastAsia="Times New Roman" w:cs="Arial"/>
                <w:color w:val="000000"/>
                <w:sz w:val="20"/>
                <w:szCs w:val="20"/>
                <w:lang w:val="en-ID" w:eastAsia="en-ID"/>
              </w:rPr>
              <w:lastRenderedPageBreak/>
              <w:t>related to livestock movement --&gt; leading to improving regulations</w:t>
            </w:r>
            <w:bookmarkEnd w:id="581"/>
            <w:r w:rsidRPr="0053072D">
              <w:rPr>
                <w:rFonts w:eastAsia="Times New Roman" w:cs="Arial"/>
                <w:color w:val="000000"/>
                <w:sz w:val="20"/>
                <w:szCs w:val="20"/>
                <w:lang w:val="en-ID" w:eastAsia="en-ID"/>
              </w:rPr>
              <w:t xml:space="preserve"> </w:t>
            </w:r>
          </w:p>
        </w:tc>
        <w:tc>
          <w:tcPr>
            <w:tcW w:w="3787" w:type="dxa"/>
          </w:tcPr>
          <w:p w14:paraId="499D381A"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82" w:name="_Toc173318766"/>
            <w:r w:rsidRPr="0053072D">
              <w:rPr>
                <w:rFonts w:eastAsia="Times New Roman" w:cs="Arial"/>
                <w:color w:val="000000"/>
                <w:sz w:val="20"/>
                <w:szCs w:val="20"/>
                <w:lang w:val="en-ID" w:eastAsia="en-ID"/>
              </w:rPr>
              <w:lastRenderedPageBreak/>
              <w:t xml:space="preserve">After a series of LAMP trials and comparison tests from March – November 2023 in Kupang, Sikka, East </w:t>
            </w:r>
            <w:r w:rsidRPr="0053072D">
              <w:rPr>
                <w:rFonts w:eastAsia="Times New Roman" w:cs="Arial"/>
                <w:color w:val="000000"/>
                <w:sz w:val="20"/>
                <w:szCs w:val="20"/>
                <w:lang w:val="en-ID" w:eastAsia="en-ID"/>
              </w:rPr>
              <w:lastRenderedPageBreak/>
              <w:t>Sumba and Bali, which were overseen by BB-Vet Denpasar, it was recommended that LAMP be used for ASF testing.</w:t>
            </w:r>
            <w:bookmarkEnd w:id="582"/>
            <w:r w:rsidRPr="0053072D">
              <w:rPr>
                <w:rFonts w:eastAsia="Times New Roman" w:cs="Arial"/>
                <w:color w:val="000000"/>
                <w:sz w:val="20"/>
                <w:szCs w:val="20"/>
                <w:lang w:val="en-ID" w:eastAsia="en-ID"/>
              </w:rPr>
              <w:t xml:space="preserve">  </w:t>
            </w:r>
          </w:p>
          <w:p w14:paraId="2F7E0886"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r>
      <w:tr w:rsidR="00B30B11" w:rsidRPr="0053072D" w14:paraId="65EA7BEF" w14:textId="77777777" w:rsidTr="00EE453C">
        <w:tc>
          <w:tcPr>
            <w:tcW w:w="2122" w:type="dxa"/>
            <w:vMerge/>
          </w:tcPr>
          <w:p w14:paraId="274D3DBB"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vMerge/>
          </w:tcPr>
          <w:p w14:paraId="59460014"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698" w:type="dxa"/>
          </w:tcPr>
          <w:p w14:paraId="6D7DF49A" w14:textId="2B54614B"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583" w:name="_Toc173318767"/>
            <w:r w:rsidRPr="0053072D">
              <w:rPr>
                <w:rFonts w:eastAsia="Times New Roman" w:cs="Aptos"/>
                <w:color w:val="000000"/>
                <w:sz w:val="20"/>
                <w:szCs w:val="20"/>
                <w:lang w:val="en-ID" w:eastAsia="en-ID"/>
              </w:rPr>
              <w:t>Institutionalise the LAMP diagnostic testing as a standard regulation for livestock movement.</w:t>
            </w:r>
            <w:bookmarkEnd w:id="583"/>
          </w:p>
        </w:tc>
        <w:tc>
          <w:tcPr>
            <w:tcW w:w="3118" w:type="dxa"/>
          </w:tcPr>
          <w:p w14:paraId="141DA305" w14:textId="4706DB34" w:rsidR="00B30B11" w:rsidRPr="0053072D" w:rsidRDefault="00B30B11" w:rsidP="007B35F5">
            <w:pPr>
              <w:keepNext/>
              <w:keepLines/>
              <w:spacing w:after="80"/>
              <w:ind w:left="37" w:firstLine="14"/>
              <w:outlineLvl w:val="1"/>
              <w:rPr>
                <w:rFonts w:eastAsia="Times New Roman" w:cs="Aptos"/>
                <w:color w:val="000000"/>
                <w:sz w:val="20"/>
                <w:szCs w:val="20"/>
                <w:lang w:val="en-ID" w:eastAsia="en-ID"/>
              </w:rPr>
            </w:pPr>
            <w:bookmarkStart w:id="584" w:name="_Toc173318768"/>
            <w:r w:rsidRPr="0053072D">
              <w:rPr>
                <w:rFonts w:eastAsia="Times New Roman" w:cs="Arial"/>
                <w:color w:val="000000"/>
                <w:sz w:val="20"/>
                <w:szCs w:val="20"/>
                <w:lang w:val="en-ID" w:eastAsia="en-ID"/>
              </w:rPr>
              <w:t>Regulation improvement - revision of NTT Governor Instruction No.003 of 2023</w:t>
            </w:r>
            <w:bookmarkEnd w:id="584"/>
          </w:p>
        </w:tc>
        <w:tc>
          <w:tcPr>
            <w:tcW w:w="3787" w:type="dxa"/>
            <w:vMerge w:val="restart"/>
          </w:tcPr>
          <w:p w14:paraId="5003C005"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85" w:name="_Toc173318769"/>
            <w:r w:rsidRPr="0053072D">
              <w:rPr>
                <w:rFonts w:eastAsia="Times New Roman" w:cs="Arial"/>
                <w:color w:val="000000"/>
                <w:sz w:val="20"/>
                <w:szCs w:val="20"/>
                <w:lang w:val="en-ID" w:eastAsia="en-ID"/>
              </w:rPr>
              <w:t>In May 2024, PRISMA and the NTT Provincial Animal Husbandry Office conducted a workshop to discuss the use of LAMP as an official diagnostic tool for pigs and the movement of their derivative products in NTT.</w:t>
            </w:r>
            <w:bookmarkEnd w:id="585"/>
            <w:r w:rsidRPr="0053072D">
              <w:rPr>
                <w:rFonts w:eastAsia="Times New Roman" w:cs="Arial"/>
                <w:color w:val="000000"/>
                <w:sz w:val="20"/>
                <w:szCs w:val="20"/>
                <w:lang w:val="en-ID" w:eastAsia="en-ID"/>
              </w:rPr>
              <w:t xml:space="preserve"> </w:t>
            </w:r>
          </w:p>
          <w:p w14:paraId="3AEA6B6A"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86" w:name="_Toc173318770"/>
            <w:r w:rsidRPr="0053072D">
              <w:rPr>
                <w:rFonts w:eastAsia="Times New Roman" w:cs="Arial"/>
                <w:color w:val="000000"/>
                <w:sz w:val="20"/>
                <w:szCs w:val="20"/>
                <w:lang w:val="en-ID" w:eastAsia="en-ID"/>
              </w:rPr>
              <w:t>As a result, the NTT Provincial Animal Husbandry Office developed a policy brief by revising the current NTT governor instruction to include LAMP as an option for ASF testing for livestock movement. It is expected to be enforced by September 2024.</w:t>
            </w:r>
            <w:bookmarkEnd w:id="586"/>
            <w:r w:rsidRPr="0053072D">
              <w:rPr>
                <w:rFonts w:eastAsia="Times New Roman" w:cs="Arial"/>
                <w:color w:val="000000"/>
                <w:sz w:val="20"/>
                <w:szCs w:val="20"/>
                <w:lang w:val="en-ID" w:eastAsia="en-ID"/>
              </w:rPr>
              <w:t xml:space="preserve"> </w:t>
            </w:r>
          </w:p>
          <w:p w14:paraId="4E27950D"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87" w:name="_Toc173318771"/>
            <w:r w:rsidRPr="0053072D">
              <w:rPr>
                <w:rFonts w:eastAsia="Times New Roman" w:cs="Arial"/>
                <w:color w:val="000000"/>
                <w:sz w:val="20"/>
                <w:szCs w:val="20"/>
                <w:lang w:val="en-ID" w:eastAsia="en-ID"/>
              </w:rPr>
              <w:t>Also, the NTT provincial government plans to amend the tariff regulation to include the LAMP.</w:t>
            </w:r>
            <w:bookmarkEnd w:id="587"/>
            <w:r w:rsidRPr="0053072D">
              <w:rPr>
                <w:rFonts w:eastAsia="Times New Roman" w:cs="Arial"/>
                <w:color w:val="000000"/>
                <w:sz w:val="20"/>
                <w:szCs w:val="20"/>
                <w:lang w:val="en-ID" w:eastAsia="en-ID"/>
              </w:rPr>
              <w:t xml:space="preserve"> </w:t>
            </w:r>
          </w:p>
          <w:p w14:paraId="5F8E01DE"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r>
      <w:tr w:rsidR="00B30B11" w:rsidRPr="0053072D" w14:paraId="4ABC8BBB" w14:textId="77777777" w:rsidTr="00EE453C">
        <w:tc>
          <w:tcPr>
            <w:tcW w:w="2122" w:type="dxa"/>
            <w:vMerge/>
          </w:tcPr>
          <w:p w14:paraId="6FA17B4E"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vMerge/>
          </w:tcPr>
          <w:p w14:paraId="2104465D"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698" w:type="dxa"/>
          </w:tcPr>
          <w:p w14:paraId="3C0C2E55" w14:textId="37154AEA"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588" w:name="_Toc173318772"/>
            <w:r w:rsidRPr="0053072D">
              <w:rPr>
                <w:rFonts w:eastAsia="Times New Roman" w:cs="Aptos"/>
                <w:color w:val="000000"/>
                <w:sz w:val="20"/>
                <w:szCs w:val="20"/>
                <w:lang w:val="en-ID" w:eastAsia="en-ID"/>
              </w:rPr>
              <w:t>A scenario and analysis of the impact of pig movement regulation</w:t>
            </w:r>
            <w:bookmarkEnd w:id="588"/>
          </w:p>
        </w:tc>
        <w:tc>
          <w:tcPr>
            <w:tcW w:w="3118" w:type="dxa"/>
          </w:tcPr>
          <w:p w14:paraId="3A5A56D5" w14:textId="77777777" w:rsidR="00B30B11" w:rsidRPr="0053072D" w:rsidRDefault="00B30B11" w:rsidP="007B35F5">
            <w:pPr>
              <w:keepNext/>
              <w:keepLines/>
              <w:spacing w:after="80"/>
              <w:ind w:left="37" w:firstLine="14"/>
              <w:outlineLvl w:val="1"/>
              <w:rPr>
                <w:rFonts w:eastAsia="Times New Roman" w:cs="Aptos"/>
                <w:color w:val="000000"/>
                <w:sz w:val="20"/>
                <w:szCs w:val="20"/>
                <w:lang w:val="en-ID" w:eastAsia="en-ID"/>
              </w:rPr>
            </w:pPr>
            <w:bookmarkStart w:id="589" w:name="_Toc173318773"/>
            <w:r w:rsidRPr="0053072D">
              <w:rPr>
                <w:rFonts w:eastAsia="Times New Roman" w:cs="Arial"/>
                <w:color w:val="000000"/>
                <w:sz w:val="20"/>
                <w:szCs w:val="20"/>
                <w:lang w:val="en-ID" w:eastAsia="en-ID"/>
              </w:rPr>
              <w:t>A policy recommendation document (policy brief) for the NTT province government and the national government</w:t>
            </w:r>
            <w:bookmarkEnd w:id="589"/>
            <w:r w:rsidRPr="0053072D">
              <w:rPr>
                <w:rFonts w:eastAsia="Times New Roman" w:cs="Arial"/>
                <w:color w:val="000000"/>
                <w:sz w:val="20"/>
                <w:szCs w:val="20"/>
                <w:lang w:val="en-ID" w:eastAsia="en-ID"/>
              </w:rPr>
              <w:t xml:space="preserve"> </w:t>
            </w:r>
          </w:p>
          <w:p w14:paraId="36C20F0F" w14:textId="792A2C6F" w:rsidR="00B30B11" w:rsidRPr="0053072D" w:rsidRDefault="00B30B11" w:rsidP="007B35F5">
            <w:pPr>
              <w:keepNext/>
              <w:keepLines/>
              <w:spacing w:after="80"/>
              <w:ind w:left="37" w:firstLine="14"/>
              <w:outlineLvl w:val="1"/>
              <w:rPr>
                <w:rFonts w:eastAsia="Times New Roman" w:cs="Aptos"/>
                <w:color w:val="000000"/>
                <w:sz w:val="20"/>
                <w:szCs w:val="20"/>
                <w:lang w:val="en-ID" w:eastAsia="en-ID"/>
              </w:rPr>
            </w:pPr>
            <w:bookmarkStart w:id="590" w:name="_Toc173318774"/>
            <w:r w:rsidRPr="0053072D">
              <w:rPr>
                <w:rFonts w:eastAsia="Times New Roman" w:cs="Arial"/>
                <w:color w:val="000000"/>
                <w:sz w:val="20"/>
                <w:szCs w:val="20"/>
                <w:lang w:val="en-ID" w:eastAsia="en-ID"/>
              </w:rPr>
              <w:t>An action plan document on increasing private investment in NTT province</w:t>
            </w:r>
            <w:bookmarkEnd w:id="590"/>
          </w:p>
          <w:p w14:paraId="4DC87895" w14:textId="22AD20D5" w:rsidR="00B30B11" w:rsidRPr="0053072D" w:rsidRDefault="00B30B11" w:rsidP="007B35F5">
            <w:pPr>
              <w:keepNext/>
              <w:keepLines/>
              <w:spacing w:after="80"/>
              <w:ind w:left="37" w:firstLine="14"/>
              <w:outlineLvl w:val="1"/>
              <w:rPr>
                <w:rFonts w:eastAsia="Times New Roman" w:cs="Aptos"/>
                <w:color w:val="000000"/>
                <w:sz w:val="20"/>
                <w:szCs w:val="20"/>
                <w:lang w:val="en-ID" w:eastAsia="en-ID"/>
              </w:rPr>
            </w:pPr>
            <w:bookmarkStart w:id="591" w:name="_Toc173318775"/>
            <w:r w:rsidRPr="0053072D">
              <w:rPr>
                <w:rFonts w:eastAsia="Times New Roman" w:cs="Arial"/>
                <w:color w:val="000000"/>
                <w:sz w:val="20"/>
                <w:szCs w:val="20"/>
                <w:lang w:val="en-ID" w:eastAsia="en-ID"/>
              </w:rPr>
              <w:t>A provincial-level workshop to disseminate the study report, the policy brief, and the action plans</w:t>
            </w:r>
            <w:bookmarkEnd w:id="591"/>
          </w:p>
        </w:tc>
        <w:tc>
          <w:tcPr>
            <w:tcW w:w="3787" w:type="dxa"/>
            <w:vMerge/>
          </w:tcPr>
          <w:p w14:paraId="1EC6C692"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r>
      <w:tr w:rsidR="00B30B11" w:rsidRPr="0053072D" w14:paraId="1E35B3C7" w14:textId="77777777" w:rsidTr="00EE453C">
        <w:tc>
          <w:tcPr>
            <w:tcW w:w="2122" w:type="dxa"/>
            <w:vMerge w:val="restart"/>
          </w:tcPr>
          <w:p w14:paraId="3E4963B8" w14:textId="09478FDD"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592" w:name="_Toc173318776"/>
            <w:r w:rsidRPr="0053072D">
              <w:rPr>
                <w:rFonts w:eastAsia="Times New Roman" w:cs="Aptos"/>
                <w:color w:val="000000"/>
                <w:sz w:val="20"/>
                <w:szCs w:val="20"/>
                <w:lang w:val="en-ID" w:eastAsia="en-ID"/>
              </w:rPr>
              <w:t>Strategies towards ensuring greater sustainability</w:t>
            </w:r>
            <w:r w:rsidRPr="0053072D">
              <w:rPr>
                <w:rFonts w:eastAsia="Times New Roman" w:cs="Aptos"/>
                <w:color w:val="000000"/>
                <w:sz w:val="20"/>
                <w:szCs w:val="20"/>
                <w:lang w:val="en-ID" w:eastAsia="en-ID"/>
              </w:rPr>
              <w:br/>
              <w:t>and knowledge harvesting and dissemination</w:t>
            </w:r>
            <w:bookmarkEnd w:id="592"/>
          </w:p>
        </w:tc>
        <w:tc>
          <w:tcPr>
            <w:tcW w:w="2835" w:type="dxa"/>
            <w:vMerge w:val="restart"/>
          </w:tcPr>
          <w:p w14:paraId="20835B11" w14:textId="0CEAE42E"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593" w:name="_Toc173318777"/>
            <w:r w:rsidRPr="0053072D">
              <w:rPr>
                <w:rFonts w:eastAsia="Times New Roman" w:cs="Aptos"/>
                <w:color w:val="000000"/>
                <w:sz w:val="20"/>
                <w:szCs w:val="20"/>
                <w:lang w:val="en-ID" w:eastAsia="en-ID"/>
              </w:rPr>
              <w:t>Linking the potential ASF vaccine provider with the provincial and national governments</w:t>
            </w:r>
            <w:bookmarkEnd w:id="593"/>
          </w:p>
        </w:tc>
        <w:tc>
          <w:tcPr>
            <w:tcW w:w="2698" w:type="dxa"/>
          </w:tcPr>
          <w:p w14:paraId="6A49711E" w14:textId="4E7D6E1B"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594" w:name="_Toc173318778"/>
            <w:r w:rsidRPr="0053072D">
              <w:rPr>
                <w:rFonts w:eastAsia="Times New Roman" w:cs="Aptos"/>
                <w:color w:val="000000"/>
                <w:sz w:val="20"/>
                <w:szCs w:val="20"/>
                <w:lang w:val="en-ID" w:eastAsia="en-ID"/>
              </w:rPr>
              <w:t>a.  Assess risks associated with the vaccines</w:t>
            </w:r>
            <w:bookmarkEnd w:id="594"/>
          </w:p>
        </w:tc>
        <w:tc>
          <w:tcPr>
            <w:tcW w:w="3118" w:type="dxa"/>
          </w:tcPr>
          <w:p w14:paraId="1E8572DA" w14:textId="77777777" w:rsidR="00B30B11" w:rsidRPr="0053072D" w:rsidRDefault="00B30B11" w:rsidP="007B35F5">
            <w:pPr>
              <w:keepNext/>
              <w:keepLines/>
              <w:spacing w:after="80"/>
              <w:ind w:left="37" w:firstLine="14"/>
              <w:outlineLvl w:val="1"/>
              <w:rPr>
                <w:rFonts w:eastAsia="Times New Roman" w:cs="Aptos"/>
                <w:color w:val="000000"/>
                <w:sz w:val="20"/>
                <w:szCs w:val="20"/>
                <w:lang w:val="en-ID" w:eastAsia="en-ID"/>
              </w:rPr>
            </w:pPr>
            <w:bookmarkStart w:id="595" w:name="_Toc173318779"/>
            <w:r w:rsidRPr="0053072D">
              <w:rPr>
                <w:rFonts w:eastAsia="Times New Roman" w:cs="Arial"/>
                <w:color w:val="000000"/>
                <w:sz w:val="20"/>
                <w:szCs w:val="20"/>
                <w:lang w:val="en-ID" w:eastAsia="en-ID"/>
              </w:rPr>
              <w:t>Understanding the risks and a mitigation plan to support the program in decision-making</w:t>
            </w:r>
            <w:bookmarkEnd w:id="595"/>
            <w:r w:rsidRPr="0053072D">
              <w:rPr>
                <w:rFonts w:eastAsia="Times New Roman" w:cs="Arial"/>
                <w:color w:val="000000"/>
                <w:sz w:val="20"/>
                <w:szCs w:val="20"/>
                <w:lang w:val="en-ID" w:eastAsia="en-ID"/>
              </w:rPr>
              <w:t xml:space="preserve"> </w:t>
            </w:r>
          </w:p>
        </w:tc>
        <w:tc>
          <w:tcPr>
            <w:tcW w:w="3787" w:type="dxa"/>
            <w:vMerge w:val="restart"/>
          </w:tcPr>
          <w:p w14:paraId="0093DEB4" w14:textId="77777777" w:rsidR="00B30B11" w:rsidRPr="0053072D" w:rsidRDefault="00B30B11" w:rsidP="00EE453C">
            <w:pPr>
              <w:shd w:val="clear" w:color="auto" w:fill="FFFFFF"/>
              <w:spacing w:before="100" w:beforeAutospacing="1" w:after="360"/>
              <w:rPr>
                <w:rFonts w:cs="Arial"/>
                <w:color w:val="1F1F1F"/>
                <w:sz w:val="20"/>
                <w:szCs w:val="20"/>
                <w:lang w:val="en-US"/>
              </w:rPr>
            </w:pPr>
            <w:r w:rsidRPr="0053072D">
              <w:rPr>
                <w:rFonts w:cs="Arial"/>
                <w:color w:val="1F1F1F"/>
                <w:sz w:val="20"/>
                <w:szCs w:val="20"/>
                <w:lang w:val="en-US"/>
              </w:rPr>
              <w:t xml:space="preserve">During the feasibility assessment of this activity, PRISMA realised the stages of vaccine registration in Indonesia were beyond PRISMA’s timeline. The application for clinical trials submitted by PT Putra Perkasa Genetika (a vaccine distributor) to the </w:t>
            </w:r>
            <w:r w:rsidRPr="0053072D">
              <w:rPr>
                <w:rFonts w:cs="Arial"/>
                <w:color w:val="1F1F1F"/>
                <w:sz w:val="20"/>
                <w:szCs w:val="20"/>
                <w:lang w:val="en-US"/>
              </w:rPr>
              <w:lastRenderedPageBreak/>
              <w:t>MoA in December 2023 had not seen significant progress.</w:t>
            </w:r>
          </w:p>
          <w:p w14:paraId="43D35A22" w14:textId="748FF13E"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596" w:name="_Toc173318780"/>
            <w:r w:rsidRPr="0053072D">
              <w:rPr>
                <w:rFonts w:eastAsia="Times New Roman" w:cs="Arial"/>
                <w:color w:val="1F1F1F"/>
                <w:sz w:val="20"/>
                <w:szCs w:val="20"/>
                <w:lang w:eastAsia="en-ID"/>
              </w:rPr>
              <w:t>Thus, PRISMA dropped this activity but is closely monitoring the development of vaccine registration.</w:t>
            </w:r>
            <w:bookmarkEnd w:id="596"/>
          </w:p>
        </w:tc>
      </w:tr>
      <w:tr w:rsidR="00B30B11" w:rsidRPr="0053072D" w14:paraId="53E6FDEB" w14:textId="77777777" w:rsidTr="00EE453C">
        <w:tc>
          <w:tcPr>
            <w:tcW w:w="2122" w:type="dxa"/>
            <w:vMerge/>
          </w:tcPr>
          <w:p w14:paraId="0D3EAE0A"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vMerge/>
          </w:tcPr>
          <w:p w14:paraId="38A779D1"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698" w:type="dxa"/>
          </w:tcPr>
          <w:p w14:paraId="0BF92C02"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597" w:name="_Toc173318781"/>
            <w:r w:rsidRPr="0053072D">
              <w:rPr>
                <w:rFonts w:eastAsia="Times New Roman" w:cs="Aptos"/>
                <w:color w:val="000000"/>
                <w:sz w:val="20"/>
                <w:szCs w:val="20"/>
                <w:lang w:val="en-ID" w:eastAsia="en-ID"/>
              </w:rPr>
              <w:t xml:space="preserve">b.  Link the potential vaccine provider with the local government, the DFAT program (i.e., AIHSP-Australian </w:t>
            </w:r>
            <w:r w:rsidRPr="0053072D">
              <w:rPr>
                <w:rFonts w:eastAsia="Times New Roman" w:cs="Aptos"/>
                <w:color w:val="000000"/>
                <w:sz w:val="20"/>
                <w:szCs w:val="20"/>
                <w:lang w:val="en-ID" w:eastAsia="en-ID"/>
              </w:rPr>
              <w:lastRenderedPageBreak/>
              <w:t>Indonesia Health Security Partnership), the national government and the private sector.</w:t>
            </w:r>
            <w:bookmarkEnd w:id="597"/>
            <w:r w:rsidRPr="0053072D">
              <w:rPr>
                <w:rFonts w:eastAsia="Times New Roman" w:cs="Aptos"/>
                <w:color w:val="000000"/>
                <w:sz w:val="20"/>
                <w:szCs w:val="20"/>
                <w:lang w:val="en-ID" w:eastAsia="en-ID"/>
              </w:rPr>
              <w:t xml:space="preserve"> </w:t>
            </w:r>
          </w:p>
        </w:tc>
        <w:tc>
          <w:tcPr>
            <w:tcW w:w="3118" w:type="dxa"/>
          </w:tcPr>
          <w:p w14:paraId="7119FD79" w14:textId="373F6718" w:rsidR="00B30B11" w:rsidRPr="0053072D" w:rsidRDefault="00B30B11" w:rsidP="007B35F5">
            <w:pPr>
              <w:keepNext/>
              <w:keepLines/>
              <w:spacing w:after="80"/>
              <w:ind w:left="37" w:firstLine="14"/>
              <w:outlineLvl w:val="1"/>
              <w:rPr>
                <w:rFonts w:eastAsia="Times New Roman" w:cs="Aptos"/>
                <w:color w:val="000000"/>
                <w:sz w:val="20"/>
                <w:szCs w:val="20"/>
                <w:lang w:val="en-ID" w:eastAsia="en-ID"/>
              </w:rPr>
            </w:pPr>
            <w:bookmarkStart w:id="598" w:name="_Toc173318782"/>
            <w:r w:rsidRPr="0053072D">
              <w:rPr>
                <w:rFonts w:eastAsia="Times New Roman" w:cs="Arial"/>
                <w:color w:val="000000"/>
                <w:sz w:val="20"/>
                <w:szCs w:val="20"/>
                <w:lang w:val="en-ID" w:eastAsia="en-ID"/>
              </w:rPr>
              <w:lastRenderedPageBreak/>
              <w:t>The ASF vaccine is widely known, and distributors have potential agents in the regions, so farmers can easily access the vaccine.</w:t>
            </w:r>
            <w:bookmarkEnd w:id="598"/>
          </w:p>
        </w:tc>
        <w:tc>
          <w:tcPr>
            <w:tcW w:w="3787" w:type="dxa"/>
            <w:vMerge/>
          </w:tcPr>
          <w:p w14:paraId="0D1E065E"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r>
      <w:tr w:rsidR="00B30B11" w:rsidRPr="0053072D" w14:paraId="0F824400" w14:textId="77777777" w:rsidTr="00EE453C">
        <w:tc>
          <w:tcPr>
            <w:tcW w:w="2122" w:type="dxa"/>
            <w:vMerge/>
          </w:tcPr>
          <w:p w14:paraId="5FA7FBEF"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vMerge/>
          </w:tcPr>
          <w:p w14:paraId="4A78D850"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698" w:type="dxa"/>
          </w:tcPr>
          <w:p w14:paraId="190F62C3" w14:textId="2C3F6769"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599" w:name="_Toc173318783"/>
            <w:r w:rsidRPr="0053072D">
              <w:rPr>
                <w:rFonts w:eastAsia="Times New Roman" w:cs="Aptos"/>
                <w:color w:val="000000"/>
                <w:sz w:val="20"/>
                <w:szCs w:val="20"/>
                <w:lang w:val="en-ID" w:eastAsia="en-ID"/>
              </w:rPr>
              <w:t>c.   Develop the vaccine registration steps for the vaccine provider with permission from the government.</w:t>
            </w:r>
            <w:bookmarkEnd w:id="599"/>
          </w:p>
        </w:tc>
        <w:tc>
          <w:tcPr>
            <w:tcW w:w="3118" w:type="dxa"/>
          </w:tcPr>
          <w:p w14:paraId="7E4C8351" w14:textId="77777777" w:rsidR="00B30B11" w:rsidRPr="0053072D" w:rsidRDefault="00B30B11" w:rsidP="007B35F5">
            <w:pPr>
              <w:keepNext/>
              <w:keepLines/>
              <w:spacing w:after="80"/>
              <w:ind w:left="37" w:firstLine="14"/>
              <w:outlineLvl w:val="1"/>
              <w:rPr>
                <w:rFonts w:eastAsia="Times New Roman" w:cs="Aptos"/>
                <w:color w:val="000000"/>
                <w:sz w:val="20"/>
                <w:szCs w:val="20"/>
                <w:lang w:val="en-ID" w:eastAsia="en-ID"/>
              </w:rPr>
            </w:pPr>
            <w:bookmarkStart w:id="600" w:name="_Toc173318784"/>
            <w:r w:rsidRPr="0053072D">
              <w:rPr>
                <w:rFonts w:eastAsia="Times New Roman" w:cs="Arial"/>
                <w:color w:val="000000"/>
                <w:sz w:val="20"/>
                <w:szCs w:val="20"/>
                <w:lang w:val="en-ID" w:eastAsia="en-ID"/>
              </w:rPr>
              <w:t>A step-by-step vaccine registration procedure is developed to help distributor companies register products and obtain government permits to commercialise the vaccine.</w:t>
            </w:r>
            <w:bookmarkEnd w:id="600"/>
            <w:r w:rsidRPr="0053072D">
              <w:rPr>
                <w:rFonts w:eastAsia="Times New Roman" w:cs="Arial"/>
                <w:color w:val="000000"/>
                <w:sz w:val="20"/>
                <w:szCs w:val="20"/>
                <w:lang w:val="en-ID" w:eastAsia="en-ID"/>
              </w:rPr>
              <w:t xml:space="preserve"> </w:t>
            </w:r>
          </w:p>
        </w:tc>
        <w:tc>
          <w:tcPr>
            <w:tcW w:w="3787" w:type="dxa"/>
          </w:tcPr>
          <w:p w14:paraId="5856A845"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r>
      <w:tr w:rsidR="00B30B11" w:rsidRPr="0053072D" w14:paraId="0551286A" w14:textId="77777777" w:rsidTr="007B35F5">
        <w:trPr>
          <w:trHeight w:val="6048"/>
        </w:trPr>
        <w:tc>
          <w:tcPr>
            <w:tcW w:w="2122" w:type="dxa"/>
            <w:vMerge/>
          </w:tcPr>
          <w:p w14:paraId="13775AD1"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tcPr>
          <w:p w14:paraId="64E3BAD9" w14:textId="0053B1F9"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601" w:name="_Toc173318785"/>
            <w:r w:rsidRPr="0053072D">
              <w:rPr>
                <w:rFonts w:eastAsia="Times New Roman" w:cs="Aptos"/>
                <w:color w:val="000000"/>
                <w:sz w:val="20"/>
                <w:szCs w:val="20"/>
                <w:lang w:val="en-ID" w:eastAsia="en-ID"/>
              </w:rPr>
              <w:t>Sharing sector lessons learned.</w:t>
            </w:r>
            <w:bookmarkEnd w:id="601"/>
            <w:r w:rsidRPr="0053072D">
              <w:rPr>
                <w:rFonts w:eastAsia="Times New Roman" w:cs="Aptos"/>
                <w:color w:val="000000"/>
                <w:sz w:val="20"/>
                <w:szCs w:val="20"/>
                <w:lang w:val="en-ID" w:eastAsia="en-ID"/>
              </w:rPr>
              <w:t xml:space="preserve"> </w:t>
            </w:r>
          </w:p>
        </w:tc>
        <w:tc>
          <w:tcPr>
            <w:tcW w:w="2698" w:type="dxa"/>
          </w:tcPr>
          <w:p w14:paraId="0F83F625" w14:textId="3614F81F"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602" w:name="_Toc173318786"/>
            <w:r w:rsidRPr="0053072D">
              <w:rPr>
                <w:rFonts w:eastAsia="Times New Roman" w:cs="Aptos"/>
                <w:color w:val="000000"/>
                <w:sz w:val="20"/>
                <w:szCs w:val="20"/>
                <w:lang w:val="en-ID" w:eastAsia="en-ID"/>
              </w:rPr>
              <w:t>Share the NTT pig sector lessons learned through stakeholder engagement with private and public market actors from Papua, West Papua, Sulawesi, North Sumatra, Bali, and Kalimantan.</w:t>
            </w:r>
            <w:bookmarkEnd w:id="602"/>
          </w:p>
        </w:tc>
        <w:tc>
          <w:tcPr>
            <w:tcW w:w="3118" w:type="dxa"/>
          </w:tcPr>
          <w:p w14:paraId="54869EB7" w14:textId="4796ECA3" w:rsidR="00B30B11" w:rsidRPr="0053072D" w:rsidRDefault="00B30B11" w:rsidP="007B35F5">
            <w:pPr>
              <w:keepNext/>
              <w:keepLines/>
              <w:spacing w:after="80"/>
              <w:ind w:left="37" w:firstLine="14"/>
              <w:outlineLvl w:val="1"/>
              <w:rPr>
                <w:rFonts w:eastAsia="Times New Roman" w:cs="Aptos"/>
                <w:color w:val="000000"/>
                <w:sz w:val="20"/>
                <w:szCs w:val="20"/>
                <w:lang w:val="en-ID" w:eastAsia="en-ID"/>
              </w:rPr>
            </w:pPr>
            <w:bookmarkStart w:id="603" w:name="_Toc173318787"/>
            <w:r w:rsidRPr="0053072D">
              <w:rPr>
                <w:rFonts w:eastAsia="Times New Roman" w:cs="Arial"/>
                <w:color w:val="000000"/>
                <w:sz w:val="20"/>
                <w:szCs w:val="20"/>
                <w:lang w:val="en-ID" w:eastAsia="en-ID"/>
              </w:rPr>
              <w:t>A workshop with pig sector market players in NTT and other provinces detailing the successful and unsuccessful experiences in the NTT pig sector, including educational materials on good rearing practices and disease prevention.</w:t>
            </w:r>
            <w:bookmarkEnd w:id="603"/>
          </w:p>
          <w:p w14:paraId="4B83B1F0" w14:textId="14C1E846" w:rsidR="00B30B11" w:rsidRPr="0053072D" w:rsidRDefault="00B30B11" w:rsidP="007B35F5">
            <w:pPr>
              <w:keepNext/>
              <w:keepLines/>
              <w:spacing w:after="80"/>
              <w:ind w:left="37" w:firstLine="14"/>
              <w:outlineLvl w:val="1"/>
              <w:rPr>
                <w:rFonts w:eastAsia="Times New Roman" w:cs="Aptos"/>
                <w:color w:val="000000"/>
                <w:sz w:val="20"/>
                <w:szCs w:val="20"/>
                <w:lang w:val="en-ID" w:eastAsia="en-ID"/>
              </w:rPr>
            </w:pPr>
            <w:bookmarkStart w:id="604" w:name="_Toc173318788"/>
            <w:r w:rsidRPr="0053072D">
              <w:rPr>
                <w:rFonts w:eastAsia="Times New Roman" w:cs="Arial"/>
                <w:color w:val="000000"/>
                <w:sz w:val="20"/>
                <w:szCs w:val="20"/>
                <w:lang w:val="en-ID" w:eastAsia="en-ID"/>
              </w:rPr>
              <w:t>Ongoing dissemination of the workshop information using the education materials developed by PRISMA and its partners</w:t>
            </w:r>
            <w:bookmarkEnd w:id="604"/>
          </w:p>
        </w:tc>
        <w:tc>
          <w:tcPr>
            <w:tcW w:w="3787" w:type="dxa"/>
          </w:tcPr>
          <w:p w14:paraId="164E2DC4" w14:textId="616DC67A" w:rsidR="00B30B11" w:rsidRPr="0053072D" w:rsidRDefault="00B30B11" w:rsidP="00EE453C">
            <w:pPr>
              <w:keepNext/>
              <w:keepLines/>
              <w:spacing w:before="120"/>
              <w:outlineLvl w:val="1"/>
              <w:rPr>
                <w:rFonts w:cs="Arial"/>
                <w:color w:val="000000"/>
                <w:sz w:val="20"/>
                <w:szCs w:val="20"/>
                <w:lang w:val="en-US" w:eastAsia="en-ID"/>
              </w:rPr>
            </w:pPr>
            <w:bookmarkStart w:id="605" w:name="_Toc173318789"/>
            <w:r w:rsidRPr="0053072D">
              <w:rPr>
                <w:rFonts w:cs="Arial"/>
                <w:color w:val="000000"/>
                <w:sz w:val="20"/>
                <w:szCs w:val="20"/>
                <w:lang w:val="en-US" w:eastAsia="en-ID"/>
              </w:rPr>
              <w:t>In June 2024, PRISMA, in collaboration with the NTT Provincial Animal Husbandry Office, held a sharing event in Kupang on lessons learned. The event targeted stakeholders at national and provincial levels (NTT and other provinces</w:t>
            </w:r>
            <w:r w:rsidRPr="0053072D">
              <w:rPr>
                <w:rFonts w:cs="Arial"/>
                <w:color w:val="000000"/>
                <w:sz w:val="20"/>
                <w:szCs w:val="20"/>
                <w:vertAlign w:val="superscript"/>
                <w:lang w:val="en-US" w:eastAsia="en-ID"/>
              </w:rPr>
              <w:footnoteReference w:id="18"/>
            </w:r>
            <w:r w:rsidRPr="0053072D">
              <w:rPr>
                <w:rFonts w:cs="Arial"/>
                <w:color w:val="000000"/>
                <w:sz w:val="20"/>
                <w:szCs w:val="20"/>
                <w:lang w:val="en-US" w:eastAsia="en-ID"/>
              </w:rPr>
              <w:t>) to share the collective knowledge, learnings and efforts in the recovery and development of the pig sector in NTT.</w:t>
            </w:r>
            <w:bookmarkEnd w:id="605"/>
          </w:p>
          <w:p w14:paraId="503E690E" w14:textId="784E79AA"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06" w:name="_Toc173318790"/>
            <w:r w:rsidRPr="0053072D">
              <w:rPr>
                <w:rFonts w:cs="Arial"/>
                <w:color w:val="000000"/>
                <w:sz w:val="20"/>
                <w:szCs w:val="20"/>
                <w:lang w:val="en-US" w:eastAsia="en-ID"/>
              </w:rPr>
              <w:t>Based on this sharing event, policymakers, practitioners, academics, and other stakeholders are anticipated to apply the knowledge and learnings further in their respective areas.</w:t>
            </w:r>
            <w:bookmarkEnd w:id="606"/>
          </w:p>
        </w:tc>
      </w:tr>
    </w:tbl>
    <w:p w14:paraId="15881452" w14:textId="4C42D502" w:rsidR="00B30B11" w:rsidRPr="0053072D" w:rsidRDefault="007B35F5" w:rsidP="00B30B11">
      <w:pPr>
        <w:keepNext/>
        <w:keepLines/>
        <w:spacing w:after="360" w:line="240" w:lineRule="auto"/>
        <w:ind w:left="851"/>
        <w:outlineLvl w:val="1"/>
        <w:rPr>
          <w:rFonts w:eastAsia="Times New Roman" w:cs="Arial"/>
          <w:b/>
          <w:bCs/>
          <w:color w:val="262C66"/>
          <w:szCs w:val="20"/>
          <w:lang w:val="en-ID" w:eastAsia="en-ID"/>
        </w:rPr>
      </w:pPr>
      <w:bookmarkStart w:id="607" w:name="_Toc173318791"/>
      <w:r w:rsidRPr="0053072D">
        <w:rPr>
          <w:rFonts w:eastAsia="Times New Roman" w:cs="Arial"/>
          <w:b/>
          <w:bCs/>
          <w:noProof/>
          <w:color w:val="262C66"/>
          <w:szCs w:val="20"/>
          <w:lang w:val="en-ID" w:eastAsia="en-ID"/>
          <w14:ligatures w14:val="standardContextual"/>
        </w:rPr>
        <w:lastRenderedPageBreak/>
        <w:drawing>
          <wp:anchor distT="0" distB="0" distL="114300" distR="114300" simplePos="0" relativeHeight="251658288" behindDoc="0" locked="0" layoutInCell="1" allowOverlap="1" wp14:anchorId="14E5B4BE" wp14:editId="49CD38F2">
            <wp:simplePos x="0" y="0"/>
            <wp:positionH relativeFrom="margin">
              <wp:posOffset>0</wp:posOffset>
            </wp:positionH>
            <wp:positionV relativeFrom="paragraph">
              <wp:posOffset>109220</wp:posOffset>
            </wp:positionV>
            <wp:extent cx="503555" cy="503555"/>
            <wp:effectExtent l="0" t="0" r="0" b="0"/>
            <wp:wrapNone/>
            <wp:docPr id="188478312" name="Graphic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902350" name="Graphic 12">
                      <a:extLst>
                        <a:ext uri="{C183D7F6-B498-43B3-948B-1728B52AA6E4}">
                          <adec:decorative xmlns:adec="http://schemas.microsoft.com/office/drawing/2017/decorative" val="1"/>
                        </a:ext>
                      </a:extLst>
                    </pic:cNvPr>
                    <pic:cNvPicPr/>
                  </pic:nvPicPr>
                  <pic:blipFill>
                    <a:blip r:embed="rId163" cstate="print">
                      <a:extLst>
                        <a:ext uri="{28A0092B-C50C-407E-A947-70E740481C1C}">
                          <a14:useLocalDpi xmlns:a14="http://schemas.microsoft.com/office/drawing/2010/main" val="0"/>
                        </a:ext>
                        <a:ext uri="{96DAC541-7B7A-43D3-8B79-37D633B846F1}">
                          <asvg:svgBlip xmlns:asvg="http://schemas.microsoft.com/office/drawing/2016/SVG/main" r:embed="rId164"/>
                        </a:ext>
                      </a:extLst>
                    </a:blip>
                    <a:stretch>
                      <a:fillRect/>
                    </a:stretch>
                  </pic:blipFill>
                  <pic:spPr>
                    <a:xfrm>
                      <a:off x="0" y="0"/>
                      <a:ext cx="503555" cy="503555"/>
                    </a:xfrm>
                    <a:prstGeom prst="rect">
                      <a:avLst/>
                    </a:prstGeom>
                  </pic:spPr>
                </pic:pic>
              </a:graphicData>
            </a:graphic>
            <wp14:sizeRelH relativeFrom="page">
              <wp14:pctWidth>0</wp14:pctWidth>
            </wp14:sizeRelH>
            <wp14:sizeRelV relativeFrom="page">
              <wp14:pctHeight>0</wp14:pctHeight>
            </wp14:sizeRelV>
          </wp:anchor>
        </w:drawing>
      </w:r>
      <w:bookmarkEnd w:id="607"/>
    </w:p>
    <w:p w14:paraId="20804EE7" w14:textId="6A697877" w:rsidR="00B30B11" w:rsidRPr="0053072D" w:rsidRDefault="00321DBB" w:rsidP="00B30B11">
      <w:pPr>
        <w:keepNext/>
        <w:keepLines/>
        <w:spacing w:after="360" w:line="240" w:lineRule="auto"/>
        <w:ind w:left="851"/>
        <w:outlineLvl w:val="1"/>
        <w:rPr>
          <w:rFonts w:eastAsia="Times New Roman" w:cs="Arial"/>
          <w:b/>
          <w:bCs/>
          <w:color w:val="262C66"/>
          <w:szCs w:val="20"/>
          <w:lang w:val="en-ID" w:eastAsia="en-ID"/>
        </w:rPr>
      </w:pPr>
      <w:bookmarkStart w:id="608" w:name="_Toc173318792"/>
      <w:r>
        <w:rPr>
          <w:rFonts w:eastAsia="Times New Roman" w:cs="Arial"/>
          <w:b/>
          <w:bCs/>
          <w:color w:val="262C66"/>
          <w:szCs w:val="20"/>
          <w:lang w:val="en-ID" w:eastAsia="en-ID"/>
        </w:rPr>
        <w:t>Progress</w:t>
      </w:r>
      <w:r w:rsidR="00B30B11" w:rsidRPr="0053072D">
        <w:rPr>
          <w:rFonts w:eastAsia="Times New Roman" w:cs="Arial"/>
          <w:b/>
          <w:bCs/>
          <w:color w:val="262C66"/>
          <w:szCs w:val="20"/>
          <w:lang w:val="en-ID" w:eastAsia="en-ID"/>
        </w:rPr>
        <w:t>: Rice</w:t>
      </w:r>
      <w:bookmarkEnd w:id="608"/>
    </w:p>
    <w:p w14:paraId="755FC7D6" w14:textId="297FF234" w:rsidR="00B30B11" w:rsidRPr="0053072D" w:rsidRDefault="00B30B11" w:rsidP="00B30B11">
      <w:pPr>
        <w:keepNext/>
        <w:keepLines/>
        <w:spacing w:before="120" w:after="120" w:line="276" w:lineRule="auto"/>
        <w:contextualSpacing/>
        <w:outlineLvl w:val="1"/>
        <w:rPr>
          <w:rFonts w:eastAsia="Yu Gothic" w:cs="Arial"/>
          <w:b/>
          <w:bCs/>
          <w:color w:val="252D65"/>
          <w:szCs w:val="20"/>
        </w:rPr>
      </w:pPr>
      <w:bookmarkStart w:id="609" w:name="_Toc173318793"/>
      <w:r w:rsidRPr="0053072D">
        <w:rPr>
          <w:rFonts w:eastAsia="Yu Gothic" w:cs="Arial"/>
          <w:b/>
          <w:bCs/>
          <w:color w:val="252D65"/>
          <w:szCs w:val="20"/>
        </w:rPr>
        <w:t>Vision</w:t>
      </w:r>
      <w:bookmarkEnd w:id="609"/>
    </w:p>
    <w:p w14:paraId="7EF8A6E7" w14:textId="01A297D9" w:rsidR="00B30B11" w:rsidRPr="007B35F5" w:rsidRDefault="00B30B11" w:rsidP="007B35F5">
      <w:pPr>
        <w:keepNext/>
        <w:keepLines/>
        <w:spacing w:after="360" w:line="240" w:lineRule="auto"/>
        <w:outlineLvl w:val="1"/>
        <w:rPr>
          <w:rFonts w:eastAsia="Times New Roman" w:cs="Arial"/>
          <w:color w:val="262C66"/>
          <w:szCs w:val="20"/>
          <w:lang w:val="en-ID" w:eastAsia="en-ID"/>
        </w:rPr>
      </w:pPr>
      <w:bookmarkStart w:id="610" w:name="_Toc173318794"/>
      <w:r w:rsidRPr="0053072D">
        <w:rPr>
          <w:rFonts w:eastAsia="Times New Roman" w:cs="Arial"/>
          <w:color w:val="000000"/>
          <w:szCs w:val="20"/>
          <w:lang w:eastAsia="en-ID"/>
        </w:rPr>
        <w:t>Smallholder rice farmers in Central and East Java adopt high-yielding rice seeds and have increased productivity. To achieve this, PRISMA will work with key seed producers to produce, promote, and educate farmers on the benefits of using high-yielding varieties (HYV). In parallel, PRISMA will provide evidence and recommend concrete policy actions to encourage the government to boost HYV procurement in its seed subsidy programs.</w:t>
      </w:r>
      <w:bookmarkEnd w:id="610"/>
    </w:p>
    <w:tbl>
      <w:tblPr>
        <w:tblStyle w:val="TableGrid1"/>
        <w:tblpPr w:leftFromText="181" w:rightFromText="181" w:vertAnchor="text" w:tblpY="1"/>
        <w:tblOverlap w:val="never"/>
        <w:tblW w:w="0" w:type="auto"/>
        <w:tblBorders>
          <w:top w:val="none" w:sz="0" w:space="0" w:color="auto"/>
          <w:left w:val="none" w:sz="0" w:space="0" w:color="auto"/>
          <w:bottom w:val="single" w:sz="4" w:space="0" w:color="000000"/>
          <w:right w:val="none" w:sz="0" w:space="0" w:color="auto"/>
          <w:insideH w:val="single" w:sz="4" w:space="0" w:color="000000"/>
          <w:insideV w:val="none" w:sz="0" w:space="0" w:color="auto"/>
        </w:tblBorders>
        <w:tblCellMar>
          <w:top w:w="170" w:type="dxa"/>
          <w:bottom w:w="113" w:type="dxa"/>
          <w:right w:w="170" w:type="dxa"/>
        </w:tblCellMar>
        <w:tblLook w:val="06A0" w:firstRow="1" w:lastRow="0" w:firstColumn="1" w:lastColumn="0" w:noHBand="1" w:noVBand="1"/>
      </w:tblPr>
      <w:tblGrid>
        <w:gridCol w:w="2122"/>
        <w:gridCol w:w="2835"/>
        <w:gridCol w:w="2698"/>
        <w:gridCol w:w="3118"/>
        <w:gridCol w:w="3787"/>
      </w:tblGrid>
      <w:tr w:rsidR="00B30B11" w:rsidRPr="0053072D" w14:paraId="60C9CBD5" w14:textId="77777777" w:rsidTr="00EE453C">
        <w:tc>
          <w:tcPr>
            <w:tcW w:w="2122" w:type="dxa"/>
            <w:tcBorders>
              <w:top w:val="nil"/>
              <w:right w:val="single" w:sz="4" w:space="0" w:color="FFFFFF"/>
            </w:tcBorders>
            <w:shd w:val="clear" w:color="auto" w:fill="262C66"/>
          </w:tcPr>
          <w:p w14:paraId="2427F051" w14:textId="5ECD978F" w:rsidR="00B30B11" w:rsidRPr="0053072D" w:rsidRDefault="00B30B11" w:rsidP="007B35F5">
            <w:pPr>
              <w:keepNext/>
              <w:keepLines/>
              <w:spacing w:before="60" w:after="60"/>
              <w:ind w:left="11"/>
              <w:jc w:val="center"/>
              <w:outlineLvl w:val="1"/>
              <w:rPr>
                <w:rFonts w:eastAsia="Times New Roman" w:cs="Arial"/>
                <w:b/>
                <w:bCs/>
                <w:color w:val="FFFFFF"/>
                <w:sz w:val="20"/>
                <w:szCs w:val="20"/>
                <w:lang w:val="en-ID" w:eastAsia="en-ID"/>
              </w:rPr>
            </w:pPr>
            <w:bookmarkStart w:id="611" w:name="_Toc173318795"/>
            <w:r w:rsidRPr="0053072D">
              <w:rPr>
                <w:rFonts w:eastAsia="Times New Roman" w:cs="Arial"/>
                <w:b/>
                <w:bCs/>
                <w:color w:val="FFFFFF"/>
                <w:sz w:val="20"/>
                <w:szCs w:val="20"/>
                <w:lang w:val="en-ID" w:eastAsia="en-ID"/>
              </w:rPr>
              <w:t>Exit strategies</w:t>
            </w:r>
            <w:bookmarkEnd w:id="611"/>
          </w:p>
        </w:tc>
        <w:tc>
          <w:tcPr>
            <w:tcW w:w="2835" w:type="dxa"/>
            <w:tcBorders>
              <w:top w:val="nil"/>
              <w:left w:val="single" w:sz="4" w:space="0" w:color="FFFFFF"/>
              <w:right w:val="single" w:sz="4" w:space="0" w:color="FFFFFF"/>
            </w:tcBorders>
            <w:shd w:val="clear" w:color="auto" w:fill="262C66"/>
          </w:tcPr>
          <w:p w14:paraId="2B3B2BC5" w14:textId="3EC090FE" w:rsidR="00B30B11" w:rsidRPr="0053072D" w:rsidRDefault="00B30B11" w:rsidP="007B35F5">
            <w:pPr>
              <w:keepNext/>
              <w:keepLines/>
              <w:spacing w:before="60" w:after="60"/>
              <w:ind w:left="11"/>
              <w:jc w:val="center"/>
              <w:outlineLvl w:val="1"/>
              <w:rPr>
                <w:rFonts w:eastAsia="Times New Roman" w:cs="Arial"/>
                <w:b/>
                <w:bCs/>
                <w:color w:val="FFFFFF"/>
                <w:sz w:val="20"/>
                <w:szCs w:val="20"/>
                <w:lang w:val="en-ID" w:eastAsia="en-ID"/>
              </w:rPr>
            </w:pPr>
            <w:bookmarkStart w:id="612" w:name="_Toc173318796"/>
            <w:r w:rsidRPr="0053072D">
              <w:rPr>
                <w:rFonts w:eastAsia="Times New Roman" w:cs="Arial"/>
                <w:b/>
                <w:bCs/>
                <w:color w:val="FFFFFF"/>
                <w:sz w:val="20"/>
                <w:szCs w:val="20"/>
                <w:lang w:val="en-ID" w:eastAsia="en-ID"/>
              </w:rPr>
              <w:t>Focus areas</w:t>
            </w:r>
            <w:bookmarkEnd w:id="612"/>
          </w:p>
        </w:tc>
        <w:tc>
          <w:tcPr>
            <w:tcW w:w="2698" w:type="dxa"/>
            <w:tcBorders>
              <w:top w:val="nil"/>
              <w:left w:val="single" w:sz="4" w:space="0" w:color="FFFFFF"/>
              <w:right w:val="single" w:sz="4" w:space="0" w:color="FFFFFF"/>
            </w:tcBorders>
            <w:shd w:val="clear" w:color="auto" w:fill="262C66"/>
          </w:tcPr>
          <w:p w14:paraId="180ADDF7" w14:textId="5ADBE1CD" w:rsidR="00B30B11" w:rsidRPr="0053072D" w:rsidRDefault="00B30B11" w:rsidP="007B35F5">
            <w:pPr>
              <w:keepNext/>
              <w:keepLines/>
              <w:spacing w:before="60" w:after="60"/>
              <w:ind w:left="11"/>
              <w:jc w:val="center"/>
              <w:outlineLvl w:val="1"/>
              <w:rPr>
                <w:rFonts w:eastAsia="Times New Roman" w:cs="Arial"/>
                <w:b/>
                <w:bCs/>
                <w:color w:val="FFFFFF"/>
                <w:sz w:val="20"/>
                <w:szCs w:val="20"/>
                <w:lang w:val="en-ID" w:eastAsia="en-ID"/>
              </w:rPr>
            </w:pPr>
            <w:bookmarkStart w:id="613" w:name="_Toc173318797"/>
            <w:r w:rsidRPr="0053072D">
              <w:rPr>
                <w:rFonts w:eastAsia="Times New Roman" w:cs="Arial"/>
                <w:b/>
                <w:bCs/>
                <w:color w:val="FFFFFF"/>
                <w:sz w:val="20"/>
                <w:szCs w:val="20"/>
                <w:lang w:val="en-ID" w:eastAsia="en-ID"/>
              </w:rPr>
              <w:t>Planned initiatives</w:t>
            </w:r>
            <w:bookmarkEnd w:id="613"/>
          </w:p>
        </w:tc>
        <w:tc>
          <w:tcPr>
            <w:tcW w:w="3118" w:type="dxa"/>
            <w:tcBorders>
              <w:top w:val="nil"/>
              <w:left w:val="single" w:sz="4" w:space="0" w:color="FFFFFF"/>
              <w:right w:val="single" w:sz="4" w:space="0" w:color="FFFFFF"/>
            </w:tcBorders>
            <w:shd w:val="clear" w:color="auto" w:fill="262C66"/>
          </w:tcPr>
          <w:p w14:paraId="73F20573" w14:textId="4B39DF47" w:rsidR="00B30B11" w:rsidRPr="0053072D" w:rsidRDefault="00B30B11" w:rsidP="007B35F5">
            <w:pPr>
              <w:keepNext/>
              <w:keepLines/>
              <w:spacing w:before="60" w:after="60"/>
              <w:ind w:left="11"/>
              <w:jc w:val="center"/>
              <w:outlineLvl w:val="1"/>
              <w:rPr>
                <w:rFonts w:eastAsia="Times New Roman" w:cs="Arial"/>
                <w:b/>
                <w:bCs/>
                <w:color w:val="FFFFFF"/>
                <w:sz w:val="20"/>
                <w:szCs w:val="20"/>
                <w:lang w:val="en-ID" w:eastAsia="en-ID"/>
              </w:rPr>
            </w:pPr>
            <w:bookmarkStart w:id="614" w:name="_Toc173318798"/>
            <w:r w:rsidRPr="0053072D">
              <w:rPr>
                <w:rFonts w:eastAsia="Times New Roman" w:cs="Arial"/>
                <w:b/>
                <w:bCs/>
                <w:color w:val="FFFFFF"/>
                <w:sz w:val="20"/>
                <w:szCs w:val="20"/>
                <w:lang w:val="en-ID" w:eastAsia="en-ID"/>
              </w:rPr>
              <w:t>Expected outputs</w:t>
            </w:r>
            <w:bookmarkEnd w:id="614"/>
          </w:p>
        </w:tc>
        <w:tc>
          <w:tcPr>
            <w:tcW w:w="3787" w:type="dxa"/>
            <w:tcBorders>
              <w:top w:val="nil"/>
              <w:left w:val="single" w:sz="4" w:space="0" w:color="FFFFFF"/>
            </w:tcBorders>
            <w:shd w:val="clear" w:color="auto" w:fill="262C66"/>
          </w:tcPr>
          <w:p w14:paraId="26C7F9E0" w14:textId="2A921667" w:rsidR="00B30B11" w:rsidRPr="0053072D" w:rsidRDefault="00B30B11" w:rsidP="007B35F5">
            <w:pPr>
              <w:keepNext/>
              <w:keepLines/>
              <w:spacing w:before="60" w:after="60"/>
              <w:ind w:left="11"/>
              <w:jc w:val="center"/>
              <w:outlineLvl w:val="1"/>
              <w:rPr>
                <w:rFonts w:eastAsia="Times New Roman" w:cs="Arial"/>
                <w:b/>
                <w:bCs/>
                <w:color w:val="FFFFFF"/>
                <w:sz w:val="20"/>
                <w:szCs w:val="20"/>
                <w:lang w:val="en-ID" w:eastAsia="en-ID"/>
              </w:rPr>
            </w:pPr>
            <w:bookmarkStart w:id="615" w:name="_Toc173318799"/>
            <w:r w:rsidRPr="0053072D">
              <w:rPr>
                <w:rFonts w:eastAsia="Times New Roman" w:cs="Arial"/>
                <w:b/>
                <w:bCs/>
                <w:color w:val="FFFFFF"/>
                <w:sz w:val="20"/>
                <w:szCs w:val="20"/>
                <w:lang w:val="en-ID" w:eastAsia="en-ID"/>
              </w:rPr>
              <w:t>Progress update</w:t>
            </w:r>
            <w:bookmarkEnd w:id="615"/>
          </w:p>
        </w:tc>
      </w:tr>
      <w:tr w:rsidR="00B30B11" w:rsidRPr="0053072D" w14:paraId="1DD5A83C" w14:textId="77777777" w:rsidTr="00EE453C">
        <w:tc>
          <w:tcPr>
            <w:tcW w:w="2122" w:type="dxa"/>
            <w:vMerge w:val="restart"/>
          </w:tcPr>
          <w:p w14:paraId="389D92D4" w14:textId="644D7494"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16" w:name="_Toc173318800"/>
            <w:r w:rsidRPr="0053072D">
              <w:rPr>
                <w:rFonts w:eastAsia="Times New Roman" w:cs="Aptos"/>
                <w:color w:val="000000"/>
                <w:sz w:val="20"/>
                <w:szCs w:val="20"/>
                <w:lang w:val="en-ID" w:eastAsia="en-ID"/>
              </w:rPr>
              <w:t>Strategies towards ensuring greater sustainability</w:t>
            </w:r>
            <w:bookmarkEnd w:id="616"/>
          </w:p>
        </w:tc>
        <w:tc>
          <w:tcPr>
            <w:tcW w:w="2835" w:type="dxa"/>
            <w:vMerge w:val="restart"/>
          </w:tcPr>
          <w:p w14:paraId="1016B0CD" w14:textId="0F1CEF3B"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17" w:name="_Toc173318801"/>
            <w:r w:rsidRPr="0053072D">
              <w:rPr>
                <w:rFonts w:eastAsia="Times New Roman" w:cs="Aptos"/>
                <w:color w:val="000000"/>
                <w:sz w:val="20"/>
                <w:szCs w:val="20"/>
                <w:lang w:val="en-ID" w:eastAsia="en-ID"/>
              </w:rPr>
              <w:t>Action research on climate-smart agriculture</w:t>
            </w:r>
            <w:bookmarkEnd w:id="617"/>
          </w:p>
        </w:tc>
        <w:tc>
          <w:tcPr>
            <w:tcW w:w="9603" w:type="dxa"/>
            <w:gridSpan w:val="3"/>
          </w:tcPr>
          <w:p w14:paraId="51895D85" w14:textId="50FF54E5"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18" w:name="_Toc173318802"/>
            <w:r w:rsidRPr="0053072D">
              <w:rPr>
                <w:rFonts w:eastAsia="Times New Roman" w:cs="Arial"/>
                <w:color w:val="000000"/>
                <w:sz w:val="20"/>
                <w:szCs w:val="20"/>
                <w:lang w:val="en-ID" w:eastAsia="en-ID"/>
              </w:rPr>
              <w:t>Climate-smart agriculture products and practices exploration</w:t>
            </w:r>
            <w:bookmarkEnd w:id="618"/>
          </w:p>
        </w:tc>
      </w:tr>
      <w:tr w:rsidR="00B30B11" w:rsidRPr="0053072D" w14:paraId="02814851" w14:textId="77777777" w:rsidTr="00EE453C">
        <w:tc>
          <w:tcPr>
            <w:tcW w:w="2122" w:type="dxa"/>
            <w:vMerge/>
          </w:tcPr>
          <w:p w14:paraId="28A3D55F"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835" w:type="dxa"/>
            <w:vMerge/>
          </w:tcPr>
          <w:p w14:paraId="303D739B"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98" w:type="dxa"/>
          </w:tcPr>
          <w:p w14:paraId="4088CFD5" w14:textId="610688CB"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19" w:name="_Toc173318803"/>
            <w:r w:rsidRPr="0053072D">
              <w:rPr>
                <w:rFonts w:eastAsia="Times New Roman" w:cs="Aptos"/>
                <w:color w:val="000000"/>
                <w:sz w:val="20"/>
                <w:szCs w:val="20"/>
                <w:lang w:val="en-ID" w:eastAsia="en-ID"/>
              </w:rPr>
              <w:t>Identify potential climate-related activities and amend contracts with rice seed partners.</w:t>
            </w:r>
            <w:bookmarkEnd w:id="619"/>
          </w:p>
        </w:tc>
        <w:tc>
          <w:tcPr>
            <w:tcW w:w="3118" w:type="dxa"/>
          </w:tcPr>
          <w:p w14:paraId="5B9A0601" w14:textId="77777777" w:rsidR="00B30B11" w:rsidRPr="0053072D" w:rsidRDefault="00B30B11" w:rsidP="00EE453C">
            <w:pPr>
              <w:keepNext/>
              <w:keepLines/>
              <w:spacing w:after="80"/>
              <w:ind w:left="731" w:hanging="360"/>
              <w:outlineLvl w:val="1"/>
              <w:rPr>
                <w:rFonts w:eastAsia="Times New Roman" w:cs="Arial"/>
                <w:color w:val="000000"/>
                <w:sz w:val="20"/>
                <w:szCs w:val="20"/>
                <w:lang w:val="en-ID" w:eastAsia="en-ID"/>
              </w:rPr>
            </w:pPr>
            <w:bookmarkStart w:id="620" w:name="_Toc173318804"/>
            <w:r w:rsidRPr="0053072D">
              <w:rPr>
                <w:rFonts w:eastAsia="Times New Roman" w:cs="Arial"/>
                <w:color w:val="000000"/>
                <w:sz w:val="20"/>
                <w:szCs w:val="20"/>
                <w:lang w:val="en-ID" w:eastAsia="en-ID"/>
              </w:rPr>
              <w:t>A list of activities</w:t>
            </w:r>
            <w:bookmarkEnd w:id="620"/>
            <w:r w:rsidRPr="0053072D">
              <w:rPr>
                <w:rFonts w:eastAsia="Times New Roman" w:cs="Arial"/>
                <w:color w:val="000000"/>
                <w:sz w:val="20"/>
                <w:szCs w:val="20"/>
                <w:lang w:val="en-ID" w:eastAsia="en-ID"/>
              </w:rPr>
              <w:t xml:space="preserve"> </w:t>
            </w:r>
          </w:p>
        </w:tc>
        <w:tc>
          <w:tcPr>
            <w:tcW w:w="3787" w:type="dxa"/>
          </w:tcPr>
          <w:p w14:paraId="3EE53638" w14:textId="77777777" w:rsidR="00B30B11" w:rsidRPr="0053072D" w:rsidRDefault="00B30B11" w:rsidP="00EE453C">
            <w:pPr>
              <w:keepNext/>
              <w:keepLines/>
              <w:spacing w:after="120"/>
              <w:outlineLvl w:val="1"/>
              <w:rPr>
                <w:rFonts w:eastAsia="Times New Roman" w:cs="Arial"/>
                <w:color w:val="000000"/>
                <w:sz w:val="20"/>
                <w:szCs w:val="20"/>
                <w:lang w:val="en-ID" w:eastAsia="en-ID"/>
              </w:rPr>
            </w:pPr>
            <w:bookmarkStart w:id="621" w:name="_Toc173318805"/>
            <w:r>
              <w:rPr>
                <w:rFonts w:eastAsia="Times New Roman" w:cs="Arial"/>
                <w:color w:val="000000"/>
                <w:sz w:val="20"/>
                <w:szCs w:val="20"/>
                <w:lang w:val="en-ID" w:eastAsia="en-ID"/>
              </w:rPr>
              <w:t>PRISMA identified activities that supported climate resilience with high-yielding rice seed producers, PT Botani and CV Anisa.</w:t>
            </w:r>
            <w:bookmarkEnd w:id="621"/>
            <w:r>
              <w:rPr>
                <w:rFonts w:eastAsia="Times New Roman" w:cs="Arial"/>
                <w:color w:val="000000"/>
                <w:sz w:val="20"/>
                <w:szCs w:val="20"/>
                <w:lang w:val="en-ID" w:eastAsia="en-ID"/>
              </w:rPr>
              <w:t xml:space="preserve"> </w:t>
            </w:r>
          </w:p>
          <w:p w14:paraId="7A5DE4B9" w14:textId="77777777" w:rsidR="00B30B11" w:rsidRPr="0053072D" w:rsidRDefault="00B30B11" w:rsidP="00EE453C">
            <w:pPr>
              <w:spacing w:before="100" w:beforeAutospacing="1" w:after="100" w:afterAutospacing="1"/>
              <w:rPr>
                <w:rFonts w:cs="Arial"/>
                <w:sz w:val="20"/>
                <w:szCs w:val="20"/>
                <w:lang w:val="en-US"/>
              </w:rPr>
            </w:pPr>
            <w:r>
              <w:rPr>
                <w:rFonts w:cs="Arial"/>
                <w:sz w:val="20"/>
                <w:szCs w:val="20"/>
                <w:lang w:val="en-US"/>
              </w:rPr>
              <w:t xml:space="preserve">With PT Botani, PRISMA supported an event to </w:t>
            </w:r>
            <w:r w:rsidRPr="0053072D">
              <w:rPr>
                <w:rFonts w:cs="Arial"/>
                <w:sz w:val="20"/>
                <w:szCs w:val="20"/>
                <w:lang w:val="en-US"/>
              </w:rPr>
              <w:t xml:space="preserve">launch </w:t>
            </w:r>
            <w:r>
              <w:rPr>
                <w:rFonts w:cs="Arial"/>
                <w:sz w:val="20"/>
                <w:szCs w:val="20"/>
                <w:lang w:val="en-US"/>
              </w:rPr>
              <w:t>its</w:t>
            </w:r>
            <w:r w:rsidRPr="0053072D">
              <w:rPr>
                <w:rFonts w:cs="Arial"/>
                <w:sz w:val="20"/>
                <w:szCs w:val="20"/>
                <w:lang w:val="en-US"/>
              </w:rPr>
              <w:t xml:space="preserve"> new climate-smart seed. </w:t>
            </w:r>
            <w:r>
              <w:rPr>
                <w:rFonts w:cs="Arial"/>
                <w:sz w:val="20"/>
                <w:szCs w:val="20"/>
                <w:lang w:val="en-US"/>
              </w:rPr>
              <w:t>At the event, PT Botani released its latest innovation, the IPB 9G climate-smart seed</w:t>
            </w:r>
            <w:r w:rsidRPr="0053072D">
              <w:rPr>
                <w:rFonts w:cs="Arial"/>
                <w:sz w:val="20"/>
                <w:szCs w:val="20"/>
                <w:lang w:val="en-US"/>
              </w:rPr>
              <w:t>. The Minister of Agriculture attended and endorsed t</w:t>
            </w:r>
            <w:r>
              <w:rPr>
                <w:rFonts w:cs="Arial"/>
                <w:sz w:val="20"/>
                <w:szCs w:val="20"/>
                <w:lang w:val="en-US"/>
              </w:rPr>
              <w:t>he event</w:t>
            </w:r>
            <w:r w:rsidRPr="0053072D">
              <w:rPr>
                <w:rFonts w:cs="Arial"/>
                <w:sz w:val="20"/>
                <w:szCs w:val="20"/>
                <w:lang w:val="en-US"/>
              </w:rPr>
              <w:t>, highlighting this new seed variety’s importance and potential impact on sustainable agriculture practices. The IPB 9G is designed to be resilient in varying climate conditions, offering farmers a reliable option for enhancing crop yields and ensuring food security.</w:t>
            </w:r>
          </w:p>
          <w:p w14:paraId="7F1C7A00" w14:textId="77777777" w:rsidR="00B30B11" w:rsidRPr="0053072D" w:rsidRDefault="00B30B11" w:rsidP="00EE453C">
            <w:pPr>
              <w:spacing w:before="100" w:beforeAutospacing="1" w:after="100" w:afterAutospacing="1"/>
              <w:rPr>
                <w:rFonts w:cs="Arial"/>
                <w:sz w:val="20"/>
                <w:szCs w:val="20"/>
                <w:lang w:val="en-US"/>
              </w:rPr>
            </w:pPr>
            <w:r w:rsidRPr="0053072D">
              <w:rPr>
                <w:rFonts w:cs="Arial"/>
                <w:bCs/>
                <w:sz w:val="20"/>
                <w:szCs w:val="20"/>
                <w:lang w:val="en-US"/>
              </w:rPr>
              <w:lastRenderedPageBreak/>
              <w:t xml:space="preserve">Zero waste production efforts. </w:t>
            </w:r>
            <w:r w:rsidRPr="0053072D">
              <w:rPr>
                <w:rFonts w:cs="Arial"/>
                <w:sz w:val="20"/>
                <w:szCs w:val="20"/>
                <w:lang w:val="en-US"/>
              </w:rPr>
              <w:t xml:space="preserve">CV Anisa, a rice seed partner, successfully completed a series of formulation trials for creating biofertiliser. </w:t>
            </w:r>
            <w:r>
              <w:rPr>
                <w:rFonts w:cs="Arial"/>
                <w:sz w:val="20"/>
                <w:szCs w:val="20"/>
                <w:lang w:val="en-US"/>
              </w:rPr>
              <w:t>Throughout</w:t>
            </w:r>
            <w:r w:rsidRPr="0053072D">
              <w:rPr>
                <w:rFonts w:cs="Arial"/>
                <w:sz w:val="20"/>
                <w:szCs w:val="20"/>
                <w:lang w:val="en-US"/>
              </w:rPr>
              <w:t xml:space="preserve"> 3 trials, CV Anisa refined its process, culminating in a successful final trial. Th</w:t>
            </w:r>
            <w:r>
              <w:rPr>
                <w:rFonts w:cs="Arial"/>
                <w:sz w:val="20"/>
                <w:szCs w:val="20"/>
                <w:lang w:val="en-US"/>
              </w:rPr>
              <w:t xml:space="preserve">e trials </w:t>
            </w:r>
            <w:r w:rsidRPr="0053072D">
              <w:rPr>
                <w:rFonts w:cs="Arial"/>
                <w:sz w:val="20"/>
                <w:szCs w:val="20"/>
                <w:lang w:val="en-US"/>
              </w:rPr>
              <w:t xml:space="preserve">mark a milestone for the company, bringing it one step closer to its goal of zero net production. </w:t>
            </w:r>
          </w:p>
        </w:tc>
      </w:tr>
      <w:tr w:rsidR="00B30B11" w:rsidRPr="0053072D" w14:paraId="6879AC17" w14:textId="77777777" w:rsidTr="00EE453C">
        <w:tc>
          <w:tcPr>
            <w:tcW w:w="2122" w:type="dxa"/>
            <w:vMerge/>
          </w:tcPr>
          <w:p w14:paraId="34BFF7B6"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835" w:type="dxa"/>
            <w:vMerge/>
          </w:tcPr>
          <w:p w14:paraId="438EC202"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98" w:type="dxa"/>
          </w:tcPr>
          <w:p w14:paraId="56B59CBE" w14:textId="4B4099FE"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22" w:name="_Toc173318806"/>
            <w:r w:rsidRPr="0053072D">
              <w:rPr>
                <w:rFonts w:eastAsia="Times New Roman" w:cs="Aptos"/>
                <w:color w:val="000000"/>
                <w:sz w:val="20"/>
                <w:szCs w:val="20"/>
                <w:lang w:val="en-ID" w:eastAsia="en-ID"/>
              </w:rPr>
              <w:t>Harvest lessons and conduct an impact assessment, incorporating climate-related measurements.</w:t>
            </w:r>
            <w:bookmarkEnd w:id="622"/>
          </w:p>
        </w:tc>
        <w:tc>
          <w:tcPr>
            <w:tcW w:w="3118" w:type="dxa"/>
          </w:tcPr>
          <w:p w14:paraId="104B12F2" w14:textId="6A480052" w:rsidR="00B30B11" w:rsidRPr="0053072D" w:rsidRDefault="00B30B11" w:rsidP="00EE453C">
            <w:pPr>
              <w:keepNext/>
              <w:keepLines/>
              <w:spacing w:after="80"/>
              <w:ind w:left="731" w:hanging="360"/>
              <w:outlineLvl w:val="1"/>
              <w:rPr>
                <w:rFonts w:eastAsia="Times New Roman" w:cs="Arial"/>
                <w:color w:val="000000"/>
                <w:sz w:val="20"/>
                <w:szCs w:val="20"/>
                <w:lang w:val="en-ID" w:eastAsia="en-ID"/>
              </w:rPr>
            </w:pPr>
            <w:bookmarkStart w:id="623" w:name="_Toc173318807"/>
            <w:r w:rsidRPr="0053072D">
              <w:rPr>
                <w:rFonts w:eastAsia="Times New Roman" w:cs="Arial"/>
                <w:color w:val="000000"/>
                <w:sz w:val="20"/>
                <w:szCs w:val="20"/>
                <w:lang w:val="en-ID" w:eastAsia="en-ID"/>
              </w:rPr>
              <w:t>An assessment report</w:t>
            </w:r>
            <w:bookmarkEnd w:id="623"/>
          </w:p>
        </w:tc>
        <w:tc>
          <w:tcPr>
            <w:tcW w:w="3787" w:type="dxa"/>
          </w:tcPr>
          <w:p w14:paraId="2B22934D" w14:textId="27A8F43D"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24" w:name="_Toc173318808"/>
            <w:r w:rsidRPr="0053072D">
              <w:rPr>
                <w:rFonts w:eastAsia="Times New Roman" w:cs="Arial"/>
                <w:color w:val="000000"/>
                <w:sz w:val="20"/>
                <w:szCs w:val="20"/>
                <w:lang w:val="en-ID" w:eastAsia="en-ID"/>
              </w:rPr>
              <w:t>An impact assessment for PT Botani’s partnership is currently underway. The field activities were completed and data collection was conducted across Central Java and East Java, encompassing 220 respondents. The data collected is now being analysed, and a comprehensive report is being developed.</w:t>
            </w:r>
            <w:bookmarkEnd w:id="624"/>
          </w:p>
        </w:tc>
      </w:tr>
      <w:tr w:rsidR="00B30B11" w:rsidRPr="0053072D" w14:paraId="10C3A53A" w14:textId="77777777" w:rsidTr="00EE453C">
        <w:tc>
          <w:tcPr>
            <w:tcW w:w="2122" w:type="dxa"/>
            <w:vMerge w:val="restart"/>
          </w:tcPr>
          <w:p w14:paraId="1ECBD443" w14:textId="5DCF48C2"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25" w:name="_Toc173318809"/>
            <w:r w:rsidRPr="0053072D">
              <w:rPr>
                <w:rFonts w:eastAsia="Times New Roman" w:cs="Aptos"/>
                <w:color w:val="000000"/>
                <w:sz w:val="20"/>
                <w:szCs w:val="20"/>
                <w:lang w:val="en-ID" w:eastAsia="en-ID"/>
              </w:rPr>
              <w:t>Knowledge harvesting and dissemination</w:t>
            </w:r>
            <w:bookmarkEnd w:id="625"/>
          </w:p>
        </w:tc>
        <w:tc>
          <w:tcPr>
            <w:tcW w:w="2835" w:type="dxa"/>
            <w:vMerge w:val="restart"/>
          </w:tcPr>
          <w:p w14:paraId="0C9AC305"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26" w:name="_Toc173318810"/>
            <w:r w:rsidRPr="0053072D">
              <w:rPr>
                <w:rFonts w:eastAsia="Times New Roman" w:cs="Aptos"/>
                <w:color w:val="000000"/>
                <w:sz w:val="20"/>
                <w:szCs w:val="20"/>
                <w:lang w:val="en-ID" w:eastAsia="en-ID"/>
              </w:rPr>
              <w:t>Learning exchange events to disseminate the importance of HYV to rice seed producers and the government</w:t>
            </w:r>
            <w:bookmarkEnd w:id="626"/>
            <w:r w:rsidRPr="0053072D">
              <w:rPr>
                <w:rFonts w:eastAsia="Times New Roman" w:cs="Aptos"/>
                <w:color w:val="000000"/>
                <w:sz w:val="20"/>
                <w:szCs w:val="20"/>
                <w:lang w:val="en-ID" w:eastAsia="en-ID"/>
              </w:rPr>
              <w:t xml:space="preserve"> </w:t>
            </w:r>
          </w:p>
        </w:tc>
        <w:tc>
          <w:tcPr>
            <w:tcW w:w="9603" w:type="dxa"/>
            <w:gridSpan w:val="3"/>
          </w:tcPr>
          <w:p w14:paraId="28383E88" w14:textId="0BF48CA0"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27" w:name="_Toc173318811"/>
            <w:r w:rsidRPr="0053072D">
              <w:rPr>
                <w:rFonts w:eastAsia="Times New Roman" w:cs="Arial"/>
                <w:color w:val="000000"/>
                <w:sz w:val="20"/>
                <w:szCs w:val="20"/>
                <w:lang w:val="en-ID" w:eastAsia="en-ID"/>
              </w:rPr>
              <w:t>HYV learning exchange events;</w:t>
            </w:r>
            <w:bookmarkEnd w:id="627"/>
          </w:p>
        </w:tc>
      </w:tr>
      <w:tr w:rsidR="00B30B11" w:rsidRPr="0053072D" w14:paraId="1AD4B918" w14:textId="77777777" w:rsidTr="00EE453C">
        <w:tc>
          <w:tcPr>
            <w:tcW w:w="2122" w:type="dxa"/>
            <w:vMerge/>
          </w:tcPr>
          <w:p w14:paraId="3CA64FED"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835" w:type="dxa"/>
            <w:vMerge/>
          </w:tcPr>
          <w:p w14:paraId="5355173B"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98" w:type="dxa"/>
          </w:tcPr>
          <w:p w14:paraId="02690E00" w14:textId="49F9984F"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28" w:name="_Toc173318812"/>
            <w:r w:rsidRPr="0053072D">
              <w:rPr>
                <w:rFonts w:eastAsia="Times New Roman" w:cs="Aptos"/>
                <w:color w:val="000000"/>
                <w:sz w:val="20"/>
                <w:szCs w:val="20"/>
                <w:lang w:val="en-ID" w:eastAsia="en-ID"/>
              </w:rPr>
              <w:t>Roundtable discussions with rice seed partners to collect learnings on HYV</w:t>
            </w:r>
            <w:bookmarkEnd w:id="628"/>
          </w:p>
        </w:tc>
        <w:tc>
          <w:tcPr>
            <w:tcW w:w="3118" w:type="dxa"/>
          </w:tcPr>
          <w:p w14:paraId="134AC821" w14:textId="77777777" w:rsidR="00B30B11" w:rsidRPr="0053072D" w:rsidRDefault="00B30B11" w:rsidP="002D6DCE">
            <w:pPr>
              <w:keepNext/>
              <w:keepLines/>
              <w:spacing w:after="80"/>
              <w:ind w:left="37" w:firstLine="14"/>
              <w:outlineLvl w:val="1"/>
              <w:rPr>
                <w:rFonts w:eastAsia="Times New Roman" w:cs="Arial"/>
                <w:color w:val="000000"/>
                <w:sz w:val="20"/>
                <w:szCs w:val="20"/>
                <w:lang w:val="en-ID" w:eastAsia="en-ID"/>
              </w:rPr>
            </w:pPr>
            <w:bookmarkStart w:id="629" w:name="_Toc173318813"/>
            <w:r w:rsidRPr="0053072D">
              <w:rPr>
                <w:rFonts w:eastAsia="Times New Roman" w:cs="Arial"/>
                <w:color w:val="000000"/>
                <w:sz w:val="20"/>
                <w:szCs w:val="20"/>
                <w:lang w:val="en-ID" w:eastAsia="en-ID"/>
              </w:rPr>
              <w:t>Discussion reports</w:t>
            </w:r>
            <w:bookmarkEnd w:id="629"/>
            <w:r w:rsidRPr="0053072D">
              <w:rPr>
                <w:rFonts w:eastAsia="Times New Roman" w:cs="Arial"/>
                <w:color w:val="000000"/>
                <w:sz w:val="20"/>
                <w:szCs w:val="20"/>
                <w:lang w:val="en-ID" w:eastAsia="en-ID"/>
              </w:rPr>
              <w:t xml:space="preserve"> </w:t>
            </w:r>
          </w:p>
        </w:tc>
        <w:tc>
          <w:tcPr>
            <w:tcW w:w="3787" w:type="dxa"/>
          </w:tcPr>
          <w:p w14:paraId="36EC6153" w14:textId="77777777" w:rsidR="00B30B11" w:rsidRPr="0053072D" w:rsidRDefault="00B30B11" w:rsidP="00EE453C">
            <w:pPr>
              <w:keepNext/>
              <w:keepLines/>
              <w:spacing w:after="120"/>
              <w:outlineLvl w:val="1"/>
              <w:rPr>
                <w:rFonts w:eastAsia="Times New Roman" w:cs="Arial"/>
                <w:color w:val="000000"/>
                <w:sz w:val="20"/>
                <w:szCs w:val="20"/>
                <w:lang w:val="en-ID" w:eastAsia="en-ID"/>
              </w:rPr>
            </w:pPr>
            <w:bookmarkStart w:id="630" w:name="_Toc173318814"/>
            <w:r w:rsidRPr="0053072D">
              <w:rPr>
                <w:rFonts w:eastAsia="Times New Roman" w:cs="Arial"/>
                <w:color w:val="000000"/>
                <w:sz w:val="20"/>
                <w:szCs w:val="20"/>
                <w:lang w:val="en-ID" w:eastAsia="en-ID"/>
              </w:rPr>
              <w:t xml:space="preserve">PRISMA held a discussion with rice seed partners (PT Agrosid, PT Botani, CV Anisa, CV JTM, CV Fiona). The discussion </w:t>
            </w:r>
            <w:r>
              <w:rPr>
                <w:rFonts w:eastAsia="Times New Roman" w:cs="Arial"/>
                <w:color w:val="000000"/>
                <w:sz w:val="20"/>
                <w:szCs w:val="20"/>
                <w:lang w:val="en-ID" w:eastAsia="en-ID"/>
              </w:rPr>
              <w:t>gathered learnings</w:t>
            </w:r>
            <w:r w:rsidRPr="0053072D">
              <w:rPr>
                <w:rFonts w:eastAsia="Times New Roman" w:cs="Arial"/>
                <w:color w:val="000000"/>
                <w:sz w:val="20"/>
                <w:szCs w:val="20"/>
                <w:lang w:val="en-ID" w:eastAsia="en-ID"/>
              </w:rPr>
              <w:t xml:space="preserve"> and encourage</w:t>
            </w:r>
            <w:r>
              <w:rPr>
                <w:rFonts w:eastAsia="Times New Roman" w:cs="Arial"/>
                <w:color w:val="000000"/>
                <w:sz w:val="20"/>
                <w:szCs w:val="20"/>
                <w:lang w:val="en-ID" w:eastAsia="en-ID"/>
              </w:rPr>
              <w:t>d</w:t>
            </w:r>
            <w:r w:rsidRPr="0053072D">
              <w:rPr>
                <w:rFonts w:eastAsia="Times New Roman" w:cs="Arial"/>
                <w:color w:val="000000"/>
                <w:sz w:val="20"/>
                <w:szCs w:val="20"/>
                <w:lang w:val="en-ID" w:eastAsia="en-ID"/>
              </w:rPr>
              <w:t xml:space="preserve"> the exchange of knowledge amongst the partners. The companies’ owners and directors attended the event.</w:t>
            </w:r>
            <w:bookmarkEnd w:id="630"/>
            <w:r w:rsidRPr="0053072D">
              <w:rPr>
                <w:rFonts w:eastAsia="Times New Roman" w:cs="Arial"/>
                <w:color w:val="000000"/>
                <w:sz w:val="20"/>
                <w:szCs w:val="20"/>
                <w:lang w:val="en-ID" w:eastAsia="en-ID"/>
              </w:rPr>
              <w:t xml:space="preserve"> </w:t>
            </w:r>
          </w:p>
          <w:p w14:paraId="255E74A3" w14:textId="468868B3" w:rsidR="00B30B11" w:rsidRPr="0053072D" w:rsidRDefault="00B30B11" w:rsidP="00EE453C">
            <w:pPr>
              <w:keepNext/>
              <w:keepLines/>
              <w:spacing w:after="120"/>
              <w:outlineLvl w:val="1"/>
              <w:rPr>
                <w:rFonts w:eastAsia="Times New Roman" w:cs="Arial"/>
                <w:color w:val="000000"/>
                <w:sz w:val="20"/>
                <w:szCs w:val="20"/>
                <w:lang w:val="en-ID" w:eastAsia="en-ID"/>
              </w:rPr>
            </w:pPr>
            <w:bookmarkStart w:id="631" w:name="_Toc173318815"/>
            <w:r w:rsidRPr="0053072D">
              <w:rPr>
                <w:rFonts w:eastAsia="Times New Roman" w:cs="Arial"/>
                <w:color w:val="000000"/>
                <w:sz w:val="20"/>
                <w:szCs w:val="20"/>
                <w:lang w:val="en-ID" w:eastAsia="en-ID"/>
              </w:rPr>
              <w:t>Several collaboration opportunities between the partners were identified. Going forward, the partners will take up the discussion directly.</w:t>
            </w:r>
            <w:bookmarkEnd w:id="631"/>
          </w:p>
          <w:p w14:paraId="33AD4FA2" w14:textId="77777777" w:rsidR="00B30B11" w:rsidRPr="0053072D" w:rsidRDefault="00B30B11" w:rsidP="00EE453C">
            <w:pPr>
              <w:keepNext/>
              <w:keepLines/>
              <w:spacing w:after="120"/>
              <w:outlineLvl w:val="1"/>
              <w:rPr>
                <w:rFonts w:eastAsia="Times New Roman" w:cs="Arial"/>
                <w:color w:val="000000"/>
                <w:sz w:val="20"/>
                <w:szCs w:val="20"/>
                <w:lang w:val="en-ID" w:eastAsia="en-ID"/>
              </w:rPr>
            </w:pPr>
            <w:bookmarkStart w:id="632" w:name="_Toc173318816"/>
            <w:r w:rsidRPr="0053072D">
              <w:rPr>
                <w:rFonts w:eastAsia="Times New Roman" w:cs="Arial"/>
                <w:color w:val="000000"/>
                <w:sz w:val="20"/>
                <w:szCs w:val="20"/>
                <w:lang w:val="en-ID" w:eastAsia="en-ID"/>
              </w:rPr>
              <w:t xml:space="preserve">Following the discussion, the team has developed a report that includes </w:t>
            </w:r>
            <w:r w:rsidRPr="0053072D">
              <w:rPr>
                <w:rFonts w:eastAsia="Times New Roman" w:cs="Arial"/>
                <w:color w:val="000000"/>
                <w:sz w:val="20"/>
                <w:szCs w:val="20"/>
                <w:lang w:val="en-ID" w:eastAsia="en-ID"/>
              </w:rPr>
              <w:lastRenderedPageBreak/>
              <w:t>learnings from each partner as well as highlights and recommendations.</w:t>
            </w:r>
            <w:bookmarkEnd w:id="632"/>
            <w:r w:rsidRPr="0053072D">
              <w:rPr>
                <w:rFonts w:eastAsia="Times New Roman" w:cs="Arial"/>
                <w:color w:val="000000"/>
                <w:sz w:val="20"/>
                <w:szCs w:val="20"/>
                <w:lang w:val="en-ID" w:eastAsia="en-ID"/>
              </w:rPr>
              <w:t xml:space="preserve"> </w:t>
            </w:r>
          </w:p>
        </w:tc>
      </w:tr>
      <w:tr w:rsidR="00B30B11" w:rsidRPr="0053072D" w14:paraId="181A7A52" w14:textId="77777777" w:rsidTr="00EE453C">
        <w:tc>
          <w:tcPr>
            <w:tcW w:w="2122" w:type="dxa"/>
            <w:vMerge/>
          </w:tcPr>
          <w:p w14:paraId="6DCD8CE1"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vMerge/>
          </w:tcPr>
          <w:p w14:paraId="01A298AA"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98" w:type="dxa"/>
          </w:tcPr>
          <w:p w14:paraId="55C76E39" w14:textId="32397410"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633" w:name="_Toc173318817"/>
            <w:r w:rsidRPr="0053072D">
              <w:rPr>
                <w:rFonts w:eastAsia="Times New Roman" w:cs="Aptos"/>
                <w:color w:val="000000"/>
                <w:sz w:val="20"/>
                <w:szCs w:val="20"/>
                <w:lang w:val="en-ID" w:eastAsia="en-ID"/>
              </w:rPr>
              <w:t>Develop a collaboration strategy document from the roundtable discussions.</w:t>
            </w:r>
            <w:bookmarkEnd w:id="633"/>
          </w:p>
        </w:tc>
        <w:tc>
          <w:tcPr>
            <w:tcW w:w="3118" w:type="dxa"/>
          </w:tcPr>
          <w:p w14:paraId="5EDC70F3" w14:textId="77777777" w:rsidR="00B30B11" w:rsidRPr="0053072D" w:rsidRDefault="00B30B11" w:rsidP="002D6DCE">
            <w:pPr>
              <w:keepNext/>
              <w:keepLines/>
              <w:spacing w:after="80"/>
              <w:ind w:left="37" w:firstLine="14"/>
              <w:outlineLvl w:val="1"/>
              <w:rPr>
                <w:rFonts w:eastAsia="Times New Roman" w:cs="Aptos"/>
                <w:color w:val="000000"/>
                <w:sz w:val="20"/>
                <w:szCs w:val="20"/>
                <w:lang w:val="en-ID" w:eastAsia="en-ID"/>
              </w:rPr>
            </w:pPr>
            <w:bookmarkStart w:id="634" w:name="_Toc173318818"/>
            <w:r w:rsidRPr="0053072D">
              <w:rPr>
                <w:rFonts w:eastAsia="Times New Roman" w:cs="Arial"/>
                <w:color w:val="000000"/>
                <w:sz w:val="20"/>
                <w:szCs w:val="20"/>
                <w:lang w:val="en-ID" w:eastAsia="en-ID"/>
              </w:rPr>
              <w:t>A collaboration strategy document</w:t>
            </w:r>
            <w:bookmarkEnd w:id="634"/>
            <w:r w:rsidRPr="0053072D">
              <w:rPr>
                <w:rFonts w:eastAsia="Times New Roman" w:cs="Arial"/>
                <w:color w:val="000000"/>
                <w:sz w:val="20"/>
                <w:szCs w:val="20"/>
                <w:lang w:val="en-ID" w:eastAsia="en-ID"/>
              </w:rPr>
              <w:t xml:space="preserve"> </w:t>
            </w:r>
          </w:p>
        </w:tc>
        <w:tc>
          <w:tcPr>
            <w:tcW w:w="3787" w:type="dxa"/>
          </w:tcPr>
          <w:p w14:paraId="49E60354"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35" w:name="_Toc173318819"/>
            <w:r w:rsidRPr="0053072D">
              <w:rPr>
                <w:rFonts w:eastAsia="Times New Roman" w:cs="Arial"/>
                <w:color w:val="000000"/>
                <w:sz w:val="20"/>
                <w:szCs w:val="20"/>
                <w:lang w:val="en-ID" w:eastAsia="en-ID"/>
              </w:rPr>
              <w:t>The activity report has been developed, which includes the collaboration strategy.</w:t>
            </w:r>
            <w:bookmarkEnd w:id="635"/>
            <w:r w:rsidRPr="0053072D">
              <w:rPr>
                <w:rFonts w:eastAsia="Times New Roman" w:cs="Arial"/>
                <w:color w:val="000000"/>
                <w:sz w:val="20"/>
                <w:szCs w:val="20"/>
                <w:lang w:val="en-ID" w:eastAsia="en-ID"/>
              </w:rPr>
              <w:t xml:space="preserve">  </w:t>
            </w:r>
          </w:p>
        </w:tc>
      </w:tr>
      <w:tr w:rsidR="00B30B11" w:rsidRPr="0053072D" w14:paraId="3FBAD440" w14:textId="77777777" w:rsidTr="00EE453C">
        <w:tc>
          <w:tcPr>
            <w:tcW w:w="2122" w:type="dxa"/>
            <w:vMerge/>
          </w:tcPr>
          <w:p w14:paraId="4AD3563C"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vMerge/>
          </w:tcPr>
          <w:p w14:paraId="28A00959"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98" w:type="dxa"/>
          </w:tcPr>
          <w:p w14:paraId="1E937519" w14:textId="4547BC7F"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636" w:name="_Toc173318820"/>
            <w:r w:rsidRPr="0053072D">
              <w:rPr>
                <w:rFonts w:eastAsia="Times New Roman" w:cs="Aptos"/>
                <w:color w:val="000000"/>
                <w:sz w:val="20"/>
                <w:szCs w:val="20"/>
                <w:lang w:val="en-ID" w:eastAsia="en-ID"/>
              </w:rPr>
              <w:t>Induce a response from the government by conducting information sharing sessions or workshops with relevant stakeholders.</w:t>
            </w:r>
            <w:bookmarkEnd w:id="636"/>
          </w:p>
        </w:tc>
        <w:tc>
          <w:tcPr>
            <w:tcW w:w="3118" w:type="dxa"/>
          </w:tcPr>
          <w:p w14:paraId="1A000ACA" w14:textId="1788563E" w:rsidR="00B30B11" w:rsidRPr="0053072D" w:rsidRDefault="00B30B11" w:rsidP="002D6DCE">
            <w:pPr>
              <w:keepNext/>
              <w:keepLines/>
              <w:spacing w:after="80"/>
              <w:ind w:left="37" w:firstLine="14"/>
              <w:outlineLvl w:val="1"/>
              <w:rPr>
                <w:rFonts w:eastAsia="Times New Roman" w:cs="Aptos"/>
                <w:color w:val="000000"/>
                <w:sz w:val="20"/>
                <w:szCs w:val="20"/>
                <w:lang w:val="en-ID" w:eastAsia="en-ID"/>
              </w:rPr>
            </w:pPr>
            <w:bookmarkStart w:id="637" w:name="_Toc173318821"/>
            <w:r w:rsidRPr="0053072D">
              <w:rPr>
                <w:rFonts w:eastAsia="Times New Roman" w:cs="Arial"/>
                <w:color w:val="000000"/>
                <w:sz w:val="20"/>
                <w:szCs w:val="20"/>
                <w:lang w:val="en-ID" w:eastAsia="en-ID"/>
              </w:rPr>
              <w:t>The event is conducted for seed producers,</w:t>
            </w:r>
            <w:r w:rsidRPr="0053072D">
              <w:rPr>
                <w:rFonts w:eastAsia="Times New Roman" w:cs="Arial"/>
                <w:bCs/>
                <w:sz w:val="20"/>
                <w:szCs w:val="20"/>
              </w:rPr>
              <w:t xml:space="preserve"> </w:t>
            </w:r>
            <w:r w:rsidRPr="0053072D">
              <w:rPr>
                <w:rFonts w:eastAsia="Times New Roman" w:cs="Arial"/>
                <w:bCs/>
                <w:color w:val="000000"/>
                <w:sz w:val="20"/>
                <w:szCs w:val="20"/>
                <w:lang w:eastAsia="en-ID"/>
              </w:rPr>
              <w:t>the National Research and Innovation Agency (BRIN)</w:t>
            </w:r>
            <w:r w:rsidRPr="0053072D">
              <w:rPr>
                <w:rFonts w:eastAsia="Times New Roman" w:cs="Arial"/>
                <w:color w:val="000000"/>
                <w:sz w:val="20"/>
                <w:szCs w:val="20"/>
                <w:lang w:val="en-ID" w:eastAsia="en-ID"/>
              </w:rPr>
              <w:t>, and the government.</w:t>
            </w:r>
            <w:bookmarkEnd w:id="637"/>
          </w:p>
        </w:tc>
        <w:tc>
          <w:tcPr>
            <w:tcW w:w="3787" w:type="dxa"/>
          </w:tcPr>
          <w:p w14:paraId="0EAA9E89"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38" w:name="_Toc173318822"/>
            <w:r>
              <w:rPr>
                <w:rFonts w:eastAsia="Times New Roman" w:cs="Arial"/>
                <w:color w:val="000000"/>
                <w:sz w:val="20"/>
                <w:szCs w:val="20"/>
                <w:lang w:val="en-ID" w:eastAsia="en-ID"/>
              </w:rPr>
              <w:t xml:space="preserve">Through a rice consultant, PRISMA </w:t>
            </w:r>
            <w:r w:rsidRPr="0053072D">
              <w:rPr>
                <w:rFonts w:eastAsia="Times New Roman" w:cs="Arial"/>
                <w:color w:val="000000"/>
                <w:sz w:val="20"/>
                <w:szCs w:val="20"/>
                <w:lang w:val="en-ID" w:eastAsia="en-ID"/>
              </w:rPr>
              <w:t>conducted direct discussions with seed producer, BRIN, and government representatives.</w:t>
            </w:r>
            <w:bookmarkEnd w:id="638"/>
            <w:r w:rsidRPr="0053072D">
              <w:rPr>
                <w:rFonts w:eastAsia="Times New Roman" w:cs="Arial"/>
                <w:color w:val="000000"/>
                <w:sz w:val="20"/>
                <w:szCs w:val="20"/>
                <w:lang w:val="en-ID" w:eastAsia="en-ID"/>
              </w:rPr>
              <w:t xml:space="preserve"> </w:t>
            </w:r>
          </w:p>
          <w:p w14:paraId="42909542" w14:textId="41AF6C39" w:rsidR="00B30B11" w:rsidRPr="0053072D" w:rsidRDefault="00B30B11" w:rsidP="00EE453C">
            <w:pPr>
              <w:keepNext/>
              <w:keepLines/>
              <w:spacing w:after="120"/>
              <w:outlineLvl w:val="1"/>
              <w:rPr>
                <w:rFonts w:eastAsia="Times New Roman" w:cs="Arial"/>
                <w:color w:val="000000"/>
                <w:sz w:val="20"/>
                <w:szCs w:val="20"/>
                <w:lang w:val="en-ID" w:eastAsia="en-ID"/>
              </w:rPr>
            </w:pPr>
            <w:bookmarkStart w:id="639" w:name="_Toc173318823"/>
            <w:r w:rsidRPr="0053072D">
              <w:rPr>
                <w:rFonts w:eastAsia="Times New Roman" w:cs="Arial"/>
                <w:color w:val="000000"/>
                <w:sz w:val="20"/>
                <w:szCs w:val="20"/>
                <w:lang w:val="en-ID" w:eastAsia="en-ID"/>
              </w:rPr>
              <w:t>The purpose of these discussions was to circulate the results of the partner’s roundtable discussion on promoting the importance of adopting HYV rice seed and paving the way for PRISMA’s rice seed partner in the future.</w:t>
            </w:r>
            <w:bookmarkEnd w:id="639"/>
          </w:p>
        </w:tc>
      </w:tr>
      <w:tr w:rsidR="00B30B11" w:rsidRPr="0053072D" w14:paraId="2C8A2EC5" w14:textId="77777777" w:rsidTr="00EE453C">
        <w:tc>
          <w:tcPr>
            <w:tcW w:w="2122" w:type="dxa"/>
            <w:vMerge/>
          </w:tcPr>
          <w:p w14:paraId="7D6D7BD4"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835" w:type="dxa"/>
            <w:vMerge/>
          </w:tcPr>
          <w:p w14:paraId="6C347963"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98" w:type="dxa"/>
          </w:tcPr>
          <w:p w14:paraId="3421B118"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640" w:name="_Toc173318824"/>
            <w:r w:rsidRPr="0053072D">
              <w:rPr>
                <w:rFonts w:eastAsia="Times New Roman" w:cs="Aptos"/>
                <w:color w:val="000000"/>
                <w:sz w:val="20"/>
                <w:szCs w:val="20"/>
                <w:lang w:val="en-ID" w:eastAsia="en-ID"/>
              </w:rPr>
              <w:t>Develop a learning paper.</w:t>
            </w:r>
            <w:bookmarkEnd w:id="640"/>
            <w:r w:rsidRPr="0053072D">
              <w:rPr>
                <w:rFonts w:eastAsia="Times New Roman" w:cs="Aptos"/>
                <w:color w:val="000000"/>
                <w:sz w:val="20"/>
                <w:szCs w:val="20"/>
                <w:lang w:val="en-ID" w:eastAsia="en-ID"/>
              </w:rPr>
              <w:t xml:space="preserve"> </w:t>
            </w:r>
          </w:p>
        </w:tc>
        <w:tc>
          <w:tcPr>
            <w:tcW w:w="3118" w:type="dxa"/>
          </w:tcPr>
          <w:p w14:paraId="0B93AF60" w14:textId="489A332B" w:rsidR="00B30B11" w:rsidRPr="0053072D" w:rsidRDefault="00B30B11" w:rsidP="002D6DCE">
            <w:pPr>
              <w:keepNext/>
              <w:keepLines/>
              <w:spacing w:after="80"/>
              <w:ind w:left="37" w:firstLine="14"/>
              <w:outlineLvl w:val="1"/>
              <w:rPr>
                <w:rFonts w:eastAsia="Times New Roman" w:cs="Aptos"/>
                <w:color w:val="000000"/>
                <w:sz w:val="20"/>
                <w:szCs w:val="20"/>
                <w:lang w:val="en-ID" w:eastAsia="en-ID"/>
              </w:rPr>
            </w:pPr>
            <w:bookmarkStart w:id="641" w:name="_Toc173318825"/>
            <w:r w:rsidRPr="0053072D">
              <w:rPr>
                <w:rFonts w:eastAsia="Times New Roman" w:cs="Arial"/>
                <w:color w:val="000000"/>
                <w:sz w:val="20"/>
                <w:szCs w:val="20"/>
                <w:lang w:val="en-ID" w:eastAsia="en-ID"/>
              </w:rPr>
              <w:t>Learning paper on the efforts in expanding the HYV market</w:t>
            </w:r>
            <w:bookmarkEnd w:id="641"/>
          </w:p>
        </w:tc>
        <w:tc>
          <w:tcPr>
            <w:tcW w:w="3787" w:type="dxa"/>
          </w:tcPr>
          <w:p w14:paraId="3BBBBE8E" w14:textId="50950B6C"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42" w:name="_Toc173318826"/>
            <w:r w:rsidRPr="0053072D">
              <w:rPr>
                <w:rFonts w:eastAsia="Times New Roman" w:cs="Arial"/>
                <w:color w:val="000000"/>
                <w:sz w:val="20"/>
                <w:szCs w:val="20"/>
                <w:lang w:val="en-ID" w:eastAsia="en-ID"/>
              </w:rPr>
              <w:t>The learning paper was developed and will be disseminated in several forms, including roundtable reports, a case study, and a market brief.</w:t>
            </w:r>
            <w:bookmarkEnd w:id="642"/>
          </w:p>
        </w:tc>
      </w:tr>
    </w:tbl>
    <w:p w14:paraId="4C310598" w14:textId="77777777" w:rsidR="00B30B11" w:rsidRPr="0053072D" w:rsidRDefault="00B30B11" w:rsidP="00B30B11">
      <w:pPr>
        <w:keepNext/>
        <w:keepLines/>
        <w:spacing w:after="120" w:line="240" w:lineRule="auto"/>
        <w:ind w:left="11"/>
        <w:outlineLvl w:val="1"/>
        <w:rPr>
          <w:rFonts w:eastAsia="Times New Roman" w:cs="Arial"/>
          <w:color w:val="000000"/>
          <w:szCs w:val="20"/>
          <w:lang w:val="en-ID" w:eastAsia="en-ID"/>
        </w:rPr>
      </w:pPr>
    </w:p>
    <w:p w14:paraId="0FB083BE" w14:textId="77777777" w:rsidR="00B30B11" w:rsidRPr="0053072D" w:rsidRDefault="00B30B11" w:rsidP="00B30B11">
      <w:pPr>
        <w:keepNext/>
        <w:keepLines/>
        <w:spacing w:after="120" w:line="240" w:lineRule="auto"/>
        <w:ind w:left="11"/>
        <w:outlineLvl w:val="1"/>
        <w:rPr>
          <w:rFonts w:eastAsia="Times New Roman" w:cs="Arial"/>
          <w:color w:val="000000"/>
          <w:szCs w:val="20"/>
          <w:lang w:val="en-ID" w:eastAsia="en-ID"/>
        </w:rPr>
      </w:pPr>
      <w:r w:rsidRPr="0053072D">
        <w:rPr>
          <w:rFonts w:eastAsia="Times New Roman" w:cs="Arial"/>
          <w:color w:val="000000"/>
          <w:szCs w:val="20"/>
          <w:lang w:val="en-ID" w:eastAsia="en-ID"/>
        </w:rPr>
        <w:br w:type="page"/>
      </w:r>
    </w:p>
    <w:p w14:paraId="01BADC9B" w14:textId="74A22B3A" w:rsidR="00B30B11" w:rsidRPr="0053072D" w:rsidRDefault="00B30B11" w:rsidP="00B30B11">
      <w:pPr>
        <w:keepNext/>
        <w:keepLines/>
        <w:spacing w:after="360" w:line="240" w:lineRule="auto"/>
        <w:ind w:left="851"/>
        <w:outlineLvl w:val="1"/>
        <w:rPr>
          <w:rFonts w:eastAsia="Times New Roman" w:cs="Arial"/>
          <w:b/>
          <w:bCs/>
          <w:color w:val="262C66"/>
          <w:szCs w:val="20"/>
          <w:lang w:val="en-ID" w:eastAsia="en-ID"/>
        </w:rPr>
      </w:pPr>
      <w:bookmarkStart w:id="643" w:name="_Toc173318827"/>
      <w:r w:rsidRPr="0053072D">
        <w:rPr>
          <w:rFonts w:eastAsia="Times New Roman" w:cs="Arial"/>
          <w:b/>
          <w:bCs/>
          <w:noProof/>
          <w:color w:val="262C66"/>
          <w:szCs w:val="20"/>
          <w:lang w:val="en-ID" w:eastAsia="en-ID"/>
          <w14:ligatures w14:val="standardContextual"/>
        </w:rPr>
        <w:lastRenderedPageBreak/>
        <w:drawing>
          <wp:anchor distT="0" distB="0" distL="114300" distR="114300" simplePos="0" relativeHeight="251658282" behindDoc="0" locked="0" layoutInCell="1" allowOverlap="1" wp14:anchorId="5F291830" wp14:editId="4691DC27">
            <wp:simplePos x="0" y="0"/>
            <wp:positionH relativeFrom="column">
              <wp:posOffset>13617</wp:posOffset>
            </wp:positionH>
            <wp:positionV relativeFrom="paragraph">
              <wp:posOffset>-110349</wp:posOffset>
            </wp:positionV>
            <wp:extent cx="396000" cy="396000"/>
            <wp:effectExtent l="0" t="0" r="0" b="0"/>
            <wp:wrapNone/>
            <wp:docPr id="1567731127" name="Graphic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90609" name="Graphic 13">
                      <a:extLst>
                        <a:ext uri="{C183D7F6-B498-43B3-948B-1728B52AA6E4}">
                          <adec:decorative xmlns:adec="http://schemas.microsoft.com/office/drawing/2017/decorative" val="1"/>
                        </a:ext>
                      </a:extLst>
                    </pic:cNvPr>
                    <pic:cNvPicPr/>
                  </pic:nvPicPr>
                  <pic:blipFill>
                    <a:blip r:embed="rId165" cstate="print">
                      <a:extLst>
                        <a:ext uri="{28A0092B-C50C-407E-A947-70E740481C1C}">
                          <a14:useLocalDpi xmlns:a14="http://schemas.microsoft.com/office/drawing/2010/main" val="0"/>
                        </a:ext>
                        <a:ext uri="{96DAC541-7B7A-43D3-8B79-37D633B846F1}">
                          <asvg:svgBlip xmlns:asvg="http://schemas.microsoft.com/office/drawing/2016/SVG/main" r:embed="rId166"/>
                        </a:ext>
                      </a:extLst>
                    </a:blip>
                    <a:stretch>
                      <a:fillRect/>
                    </a:stretch>
                  </pic:blipFill>
                  <pic:spPr>
                    <a:xfrm>
                      <a:off x="0" y="0"/>
                      <a:ext cx="396000" cy="396000"/>
                    </a:xfrm>
                    <a:prstGeom prst="rect">
                      <a:avLst/>
                    </a:prstGeom>
                  </pic:spPr>
                </pic:pic>
              </a:graphicData>
            </a:graphic>
            <wp14:sizeRelH relativeFrom="page">
              <wp14:pctWidth>0</wp14:pctWidth>
            </wp14:sizeRelH>
            <wp14:sizeRelV relativeFrom="page">
              <wp14:pctHeight>0</wp14:pctHeight>
            </wp14:sizeRelV>
          </wp:anchor>
        </w:drawing>
      </w:r>
      <w:r w:rsidR="00321DBB">
        <w:rPr>
          <w:rFonts w:eastAsia="Times New Roman" w:cs="Arial"/>
          <w:b/>
          <w:bCs/>
          <w:color w:val="262C66"/>
          <w:szCs w:val="20"/>
          <w:lang w:val="en-ID" w:eastAsia="en-ID"/>
        </w:rPr>
        <w:t>Progress</w:t>
      </w:r>
      <w:r w:rsidRPr="0053072D">
        <w:rPr>
          <w:rFonts w:eastAsia="Times New Roman" w:cs="Arial"/>
          <w:b/>
          <w:bCs/>
          <w:color w:val="262C66"/>
          <w:szCs w:val="20"/>
          <w:lang w:val="en-ID" w:eastAsia="en-ID"/>
        </w:rPr>
        <w:t>: Soil Treatment (Fertiliser)</w:t>
      </w:r>
      <w:bookmarkEnd w:id="643"/>
    </w:p>
    <w:p w14:paraId="78ADCBD8" w14:textId="088DA42A" w:rsidR="00B30B11" w:rsidRPr="0053072D" w:rsidRDefault="00B30B11" w:rsidP="00B30B11">
      <w:pPr>
        <w:keepNext/>
        <w:keepLines/>
        <w:spacing w:before="120" w:after="120" w:line="276" w:lineRule="auto"/>
        <w:contextualSpacing/>
        <w:outlineLvl w:val="1"/>
        <w:rPr>
          <w:rFonts w:eastAsia="Yu Gothic" w:cs="Arial"/>
          <w:bCs/>
          <w:color w:val="252D65"/>
          <w:szCs w:val="20"/>
        </w:rPr>
      </w:pPr>
      <w:bookmarkStart w:id="644" w:name="_Toc173318828"/>
      <w:r w:rsidRPr="0053072D">
        <w:rPr>
          <w:rFonts w:eastAsia="Yu Gothic" w:cs="Arial"/>
          <w:b/>
          <w:bCs/>
          <w:color w:val="252D65"/>
          <w:szCs w:val="20"/>
        </w:rPr>
        <w:t>Vision</w:t>
      </w:r>
      <w:bookmarkEnd w:id="644"/>
    </w:p>
    <w:p w14:paraId="3E721DC0" w14:textId="38D0E6B9" w:rsidR="00B30B11" w:rsidRPr="0053072D" w:rsidRDefault="00B30B11" w:rsidP="00A45E00">
      <w:pPr>
        <w:keepNext/>
        <w:keepLines/>
        <w:spacing w:after="500" w:line="276" w:lineRule="auto"/>
        <w:ind w:right="-6"/>
        <w:contextualSpacing/>
        <w:outlineLvl w:val="1"/>
        <w:rPr>
          <w:rFonts w:eastAsia="Yu Gothic" w:cs="Arial"/>
          <w:color w:val="000000"/>
          <w:szCs w:val="20"/>
        </w:rPr>
      </w:pPr>
      <w:bookmarkStart w:id="645" w:name="_Toc173318829"/>
      <w:r w:rsidRPr="0053072D">
        <w:rPr>
          <w:rFonts w:eastAsia="Yu Gothic" w:cs="Arial"/>
          <w:color w:val="000000"/>
          <w:szCs w:val="20"/>
        </w:rPr>
        <w:t>Staple, horticulture, and estate crop farmers in Central and East Java, and NTB have access to and safely use quality fertiliser. To increase the availability and use of high-quality commercial fertilisers, PRISMA will work through private and state-owned fertiliser producers. Fertiliser producers and retailers will offer a variety of fertilisers (both organic and chemical) through innovative marketing and promotional strategies, which incorporate accessible information on good fertiliser practices (GFP).</w:t>
      </w:r>
      <w:bookmarkEnd w:id="645"/>
      <w:r w:rsidR="00A45E00">
        <w:rPr>
          <w:rFonts w:eastAsia="Yu Gothic" w:cs="Arial"/>
          <w:color w:val="000000"/>
          <w:szCs w:val="20"/>
        </w:rPr>
        <w:br/>
      </w:r>
    </w:p>
    <w:tbl>
      <w:tblPr>
        <w:tblStyle w:val="TableGrid1"/>
        <w:tblpPr w:leftFromText="181" w:rightFromText="181" w:vertAnchor="text" w:tblpY="1"/>
        <w:tblOverlap w:val="never"/>
        <w:tblW w:w="0" w:type="auto"/>
        <w:tblBorders>
          <w:top w:val="none" w:sz="0" w:space="0" w:color="auto"/>
          <w:left w:val="none" w:sz="0" w:space="0" w:color="auto"/>
          <w:bottom w:val="single" w:sz="4" w:space="0" w:color="000000"/>
          <w:right w:val="none" w:sz="0" w:space="0" w:color="auto"/>
          <w:insideH w:val="single" w:sz="4" w:space="0" w:color="000000"/>
          <w:insideV w:val="none" w:sz="0" w:space="0" w:color="auto"/>
        </w:tblBorders>
        <w:tblCellMar>
          <w:top w:w="170" w:type="dxa"/>
          <w:bottom w:w="113" w:type="dxa"/>
          <w:right w:w="170" w:type="dxa"/>
        </w:tblCellMar>
        <w:tblLook w:val="06A0" w:firstRow="1" w:lastRow="0" w:firstColumn="1" w:lastColumn="0" w:noHBand="1" w:noVBand="1"/>
      </w:tblPr>
      <w:tblGrid>
        <w:gridCol w:w="2002"/>
        <w:gridCol w:w="2615"/>
        <w:gridCol w:w="3791"/>
        <w:gridCol w:w="2858"/>
        <w:gridCol w:w="3304"/>
      </w:tblGrid>
      <w:tr w:rsidR="00B30B11" w:rsidRPr="0053072D" w14:paraId="0D8CED62" w14:textId="77777777" w:rsidTr="00EE453C">
        <w:tc>
          <w:tcPr>
            <w:tcW w:w="2002" w:type="dxa"/>
            <w:tcBorders>
              <w:top w:val="nil"/>
              <w:right w:val="single" w:sz="4" w:space="0" w:color="FFFFFF"/>
            </w:tcBorders>
            <w:shd w:val="clear" w:color="auto" w:fill="262C66"/>
          </w:tcPr>
          <w:p w14:paraId="3AEC181B" w14:textId="4BF49C3C" w:rsidR="00B30B11" w:rsidRPr="0053072D" w:rsidRDefault="00B30B11" w:rsidP="00A45E00">
            <w:pPr>
              <w:keepNext/>
              <w:keepLines/>
              <w:spacing w:before="60" w:after="60"/>
              <w:ind w:left="11"/>
              <w:jc w:val="center"/>
              <w:outlineLvl w:val="1"/>
              <w:rPr>
                <w:rFonts w:eastAsia="Times New Roman" w:cs="Arial"/>
                <w:b/>
                <w:bCs/>
                <w:color w:val="FFFFFF"/>
                <w:sz w:val="20"/>
                <w:szCs w:val="20"/>
                <w:lang w:val="en-ID" w:eastAsia="en-ID"/>
              </w:rPr>
            </w:pPr>
            <w:bookmarkStart w:id="646" w:name="_Toc173318830"/>
            <w:r w:rsidRPr="0053072D">
              <w:rPr>
                <w:rFonts w:eastAsia="Times New Roman" w:cs="Arial"/>
                <w:b/>
                <w:bCs/>
                <w:color w:val="FFFFFF"/>
                <w:sz w:val="20"/>
                <w:szCs w:val="20"/>
                <w:lang w:val="en-ID" w:eastAsia="en-ID"/>
              </w:rPr>
              <w:t>Exit strategies</w:t>
            </w:r>
            <w:bookmarkEnd w:id="646"/>
          </w:p>
        </w:tc>
        <w:tc>
          <w:tcPr>
            <w:tcW w:w="2615" w:type="dxa"/>
            <w:tcBorders>
              <w:top w:val="nil"/>
              <w:left w:val="single" w:sz="4" w:space="0" w:color="FFFFFF"/>
              <w:right w:val="single" w:sz="4" w:space="0" w:color="FFFFFF"/>
            </w:tcBorders>
            <w:shd w:val="clear" w:color="auto" w:fill="262C66"/>
          </w:tcPr>
          <w:p w14:paraId="0E6596FB" w14:textId="669A9663" w:rsidR="00B30B11" w:rsidRPr="0053072D" w:rsidRDefault="00B30B11" w:rsidP="00A45E00">
            <w:pPr>
              <w:keepNext/>
              <w:keepLines/>
              <w:spacing w:before="60" w:after="60"/>
              <w:ind w:left="11"/>
              <w:jc w:val="center"/>
              <w:outlineLvl w:val="1"/>
              <w:rPr>
                <w:rFonts w:eastAsia="Times New Roman" w:cs="Arial"/>
                <w:b/>
                <w:bCs/>
                <w:color w:val="FFFFFF"/>
                <w:sz w:val="20"/>
                <w:szCs w:val="20"/>
                <w:lang w:val="en-ID" w:eastAsia="en-ID"/>
              </w:rPr>
            </w:pPr>
            <w:bookmarkStart w:id="647" w:name="_Toc173318831"/>
            <w:r w:rsidRPr="0053072D">
              <w:rPr>
                <w:rFonts w:eastAsia="Times New Roman" w:cs="Arial"/>
                <w:b/>
                <w:bCs/>
                <w:color w:val="FFFFFF"/>
                <w:sz w:val="20"/>
                <w:szCs w:val="20"/>
                <w:lang w:val="en-ID" w:eastAsia="en-ID"/>
              </w:rPr>
              <w:t>Focus areas</w:t>
            </w:r>
            <w:bookmarkEnd w:id="647"/>
          </w:p>
        </w:tc>
        <w:tc>
          <w:tcPr>
            <w:tcW w:w="3791" w:type="dxa"/>
            <w:tcBorders>
              <w:top w:val="nil"/>
              <w:left w:val="single" w:sz="4" w:space="0" w:color="FFFFFF"/>
              <w:right w:val="single" w:sz="4" w:space="0" w:color="FFFFFF"/>
            </w:tcBorders>
            <w:shd w:val="clear" w:color="auto" w:fill="262C66"/>
          </w:tcPr>
          <w:p w14:paraId="6A5DE67C" w14:textId="0B97931F" w:rsidR="00B30B11" w:rsidRPr="0053072D" w:rsidRDefault="00B30B11" w:rsidP="00A45E00">
            <w:pPr>
              <w:keepNext/>
              <w:keepLines/>
              <w:spacing w:before="60" w:after="60"/>
              <w:ind w:left="11"/>
              <w:jc w:val="center"/>
              <w:outlineLvl w:val="1"/>
              <w:rPr>
                <w:rFonts w:eastAsia="Times New Roman" w:cs="Arial"/>
                <w:b/>
                <w:bCs/>
                <w:color w:val="FFFFFF"/>
                <w:sz w:val="20"/>
                <w:szCs w:val="20"/>
                <w:lang w:val="en-ID" w:eastAsia="en-ID"/>
              </w:rPr>
            </w:pPr>
            <w:bookmarkStart w:id="648" w:name="_Toc173318832"/>
            <w:r w:rsidRPr="0053072D">
              <w:rPr>
                <w:rFonts w:eastAsia="Times New Roman" w:cs="Arial"/>
                <w:b/>
                <w:bCs/>
                <w:color w:val="FFFFFF"/>
                <w:sz w:val="20"/>
                <w:szCs w:val="20"/>
                <w:lang w:val="en-ID" w:eastAsia="en-ID"/>
              </w:rPr>
              <w:t>Planned initiatives</w:t>
            </w:r>
            <w:bookmarkEnd w:id="648"/>
          </w:p>
        </w:tc>
        <w:tc>
          <w:tcPr>
            <w:tcW w:w="2858" w:type="dxa"/>
            <w:tcBorders>
              <w:top w:val="nil"/>
              <w:left w:val="single" w:sz="4" w:space="0" w:color="FFFFFF"/>
              <w:right w:val="single" w:sz="4" w:space="0" w:color="FFFFFF"/>
            </w:tcBorders>
            <w:shd w:val="clear" w:color="auto" w:fill="262C66"/>
          </w:tcPr>
          <w:p w14:paraId="2F6011F1" w14:textId="38F0EB30" w:rsidR="00B30B11" w:rsidRPr="0053072D" w:rsidRDefault="00B30B11" w:rsidP="00A45E00">
            <w:pPr>
              <w:keepNext/>
              <w:keepLines/>
              <w:spacing w:before="60" w:after="60"/>
              <w:ind w:left="11"/>
              <w:jc w:val="center"/>
              <w:outlineLvl w:val="1"/>
              <w:rPr>
                <w:rFonts w:eastAsia="Times New Roman" w:cs="Arial"/>
                <w:b/>
                <w:bCs/>
                <w:color w:val="FFFFFF"/>
                <w:sz w:val="20"/>
                <w:szCs w:val="20"/>
                <w:lang w:val="en-ID" w:eastAsia="en-ID"/>
              </w:rPr>
            </w:pPr>
            <w:bookmarkStart w:id="649" w:name="_Toc173318833"/>
            <w:r w:rsidRPr="0053072D">
              <w:rPr>
                <w:rFonts w:eastAsia="Times New Roman" w:cs="Arial"/>
                <w:b/>
                <w:bCs/>
                <w:color w:val="FFFFFF"/>
                <w:sz w:val="20"/>
                <w:szCs w:val="20"/>
                <w:lang w:val="en-ID" w:eastAsia="en-ID"/>
              </w:rPr>
              <w:t>Expected outputs</w:t>
            </w:r>
            <w:bookmarkEnd w:id="649"/>
          </w:p>
        </w:tc>
        <w:tc>
          <w:tcPr>
            <w:tcW w:w="3304" w:type="dxa"/>
            <w:tcBorders>
              <w:top w:val="nil"/>
              <w:left w:val="single" w:sz="4" w:space="0" w:color="FFFFFF"/>
            </w:tcBorders>
            <w:shd w:val="clear" w:color="auto" w:fill="262C66"/>
          </w:tcPr>
          <w:p w14:paraId="139D1DCD" w14:textId="201D3B3A" w:rsidR="00B30B11" w:rsidRPr="0053072D" w:rsidRDefault="00B30B11" w:rsidP="00A45E00">
            <w:pPr>
              <w:keepNext/>
              <w:keepLines/>
              <w:spacing w:before="60" w:after="60"/>
              <w:ind w:left="11"/>
              <w:jc w:val="center"/>
              <w:outlineLvl w:val="1"/>
              <w:rPr>
                <w:rFonts w:eastAsia="Times New Roman" w:cs="Arial"/>
                <w:b/>
                <w:bCs/>
                <w:color w:val="FFFFFF"/>
                <w:sz w:val="20"/>
                <w:szCs w:val="20"/>
                <w:lang w:val="en-ID" w:eastAsia="en-ID"/>
              </w:rPr>
            </w:pPr>
            <w:bookmarkStart w:id="650" w:name="_Toc173318834"/>
            <w:r w:rsidRPr="0053072D">
              <w:rPr>
                <w:rFonts w:eastAsia="Times New Roman" w:cs="Arial"/>
                <w:b/>
                <w:bCs/>
                <w:color w:val="FFFFFF"/>
                <w:sz w:val="20"/>
                <w:szCs w:val="20"/>
                <w:lang w:val="en-ID" w:eastAsia="en-ID"/>
              </w:rPr>
              <w:t>Progress update</w:t>
            </w:r>
            <w:bookmarkEnd w:id="650"/>
          </w:p>
        </w:tc>
      </w:tr>
      <w:tr w:rsidR="00B30B11" w:rsidRPr="0053072D" w14:paraId="3D68091B" w14:textId="77777777" w:rsidTr="00EE453C">
        <w:tc>
          <w:tcPr>
            <w:tcW w:w="2002" w:type="dxa"/>
            <w:vMerge w:val="restart"/>
          </w:tcPr>
          <w:p w14:paraId="727B8D02" w14:textId="79377BB9"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51" w:name="_Toc173318835"/>
            <w:r w:rsidRPr="0053072D">
              <w:rPr>
                <w:rFonts w:eastAsia="Times New Roman" w:cs="Aptos"/>
                <w:color w:val="000000"/>
                <w:sz w:val="20"/>
                <w:szCs w:val="20"/>
                <w:lang w:val="en-ID" w:eastAsia="en-ID"/>
              </w:rPr>
              <w:t>Strategies towards ensuring greater sustainability</w:t>
            </w:r>
            <w:bookmarkEnd w:id="651"/>
          </w:p>
        </w:tc>
        <w:tc>
          <w:tcPr>
            <w:tcW w:w="2615" w:type="dxa"/>
            <w:vMerge w:val="restart"/>
          </w:tcPr>
          <w:p w14:paraId="08DD7FB7" w14:textId="2082A578"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52" w:name="_Toc173318836"/>
            <w:r w:rsidRPr="0053072D">
              <w:rPr>
                <w:rFonts w:eastAsia="Times New Roman" w:cs="Aptos"/>
                <w:color w:val="000000"/>
                <w:sz w:val="20"/>
                <w:szCs w:val="20"/>
                <w:lang w:val="en-ID" w:eastAsia="en-ID"/>
              </w:rPr>
              <w:t>Institutionalising education-based marketing and other soft-selling techniques</w:t>
            </w:r>
            <w:bookmarkEnd w:id="652"/>
          </w:p>
        </w:tc>
        <w:tc>
          <w:tcPr>
            <w:tcW w:w="3791" w:type="dxa"/>
          </w:tcPr>
          <w:p w14:paraId="347937DE"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53" w:name="_Toc173318837"/>
            <w:r w:rsidRPr="0053072D">
              <w:rPr>
                <w:rFonts w:eastAsia="Times New Roman" w:cs="Aptos"/>
                <w:color w:val="000000"/>
                <w:sz w:val="20"/>
                <w:szCs w:val="20"/>
                <w:lang w:val="en-ID" w:eastAsia="en-ID"/>
              </w:rPr>
              <w:t>Improve the institutional capacity of fertiliser companies through tailored capacity development programs for embedding education-based marketing and soft-selling to smallholders.</w:t>
            </w:r>
            <w:bookmarkEnd w:id="653"/>
            <w:r w:rsidRPr="0053072D">
              <w:rPr>
                <w:rFonts w:eastAsia="Times New Roman" w:cs="Aptos"/>
                <w:color w:val="000000"/>
                <w:sz w:val="20"/>
                <w:szCs w:val="20"/>
                <w:lang w:val="en-ID" w:eastAsia="en-ID"/>
              </w:rPr>
              <w:t xml:space="preserve">  </w:t>
            </w:r>
          </w:p>
        </w:tc>
        <w:tc>
          <w:tcPr>
            <w:tcW w:w="2858" w:type="dxa"/>
          </w:tcPr>
          <w:p w14:paraId="296115D1" w14:textId="07942EFE" w:rsidR="00B30B11" w:rsidRPr="0053072D" w:rsidRDefault="00B30B11" w:rsidP="00A45E00">
            <w:pPr>
              <w:keepNext/>
              <w:keepLines/>
              <w:spacing w:after="80"/>
              <w:outlineLvl w:val="1"/>
              <w:rPr>
                <w:rFonts w:eastAsia="Times New Roman" w:cs="Arial"/>
                <w:color w:val="000000"/>
                <w:sz w:val="20"/>
                <w:szCs w:val="20"/>
                <w:lang w:val="en-ID" w:eastAsia="en-ID"/>
              </w:rPr>
            </w:pPr>
            <w:bookmarkStart w:id="654" w:name="_Toc173318838"/>
            <w:r w:rsidRPr="0053072D">
              <w:rPr>
                <w:rFonts w:eastAsia="Times New Roman" w:cs="Arial"/>
                <w:color w:val="000000"/>
                <w:sz w:val="20"/>
                <w:szCs w:val="20"/>
                <w:lang w:val="en-ID" w:eastAsia="en-ID"/>
              </w:rPr>
              <w:t>Tailored capacity development workshops for fertiliser companies on strategic business issues</w:t>
            </w:r>
            <w:bookmarkEnd w:id="654"/>
          </w:p>
        </w:tc>
        <w:tc>
          <w:tcPr>
            <w:tcW w:w="3304" w:type="dxa"/>
          </w:tcPr>
          <w:p w14:paraId="0C8EC86C" w14:textId="60F1DAE1" w:rsidR="00B30B11" w:rsidRPr="0053072D" w:rsidRDefault="00B30B11" w:rsidP="00EE453C">
            <w:pPr>
              <w:keepNext/>
              <w:keepLines/>
              <w:spacing w:after="120"/>
              <w:ind w:left="11"/>
              <w:outlineLvl w:val="1"/>
              <w:rPr>
                <w:rFonts w:eastAsia="Times New Roman" w:cs="Arial"/>
                <w:sz w:val="20"/>
                <w:szCs w:val="20"/>
                <w:lang w:val="en-ID" w:eastAsia="en-ID"/>
              </w:rPr>
            </w:pPr>
            <w:bookmarkStart w:id="655" w:name="_Toc173318839"/>
            <w:r w:rsidRPr="0053072D">
              <w:rPr>
                <w:rFonts w:eastAsia="Times New Roman" w:cs="Arial"/>
                <w:sz w:val="20"/>
                <w:szCs w:val="20"/>
                <w:lang w:val="en-ID" w:eastAsia="en-ID"/>
              </w:rPr>
              <w:t>ATS conducted capacity building for its 25 staff on strategic marketing in Yogyakarta, facilitated by an agriculture business expert. PRISMA also supported ATS with a  women’s inclusive business workshop on the commercial impact of inclusive strategies in business.</w:t>
            </w:r>
            <w:bookmarkEnd w:id="655"/>
          </w:p>
          <w:p w14:paraId="5CAB9460" w14:textId="57B3B15F" w:rsidR="00B30B11" w:rsidRPr="0053072D" w:rsidRDefault="00B30B11" w:rsidP="00EE453C">
            <w:pPr>
              <w:keepNext/>
              <w:keepLines/>
              <w:spacing w:after="120"/>
              <w:ind w:left="11"/>
              <w:outlineLvl w:val="1"/>
              <w:rPr>
                <w:rFonts w:eastAsia="Times New Roman" w:cs="Arial"/>
                <w:sz w:val="20"/>
                <w:szCs w:val="20"/>
                <w:lang w:val="en-ID" w:eastAsia="en-ID"/>
              </w:rPr>
            </w:pPr>
            <w:bookmarkStart w:id="656" w:name="_Toc173318840"/>
            <w:r w:rsidRPr="0053072D">
              <w:rPr>
                <w:rFonts w:eastAsia="Times New Roman" w:cs="Arial"/>
                <w:sz w:val="20"/>
                <w:szCs w:val="20"/>
                <w:lang w:val="en-ID" w:eastAsia="en-ID"/>
              </w:rPr>
              <w:t>BOSI conducted a series of training sessions for its staff on product knowledge, marketing, communication, and digital marketing for the fertiliser business portfolio.</w:t>
            </w:r>
            <w:bookmarkEnd w:id="656"/>
          </w:p>
        </w:tc>
      </w:tr>
      <w:tr w:rsidR="00B30B11" w:rsidRPr="0053072D" w14:paraId="291B1B75" w14:textId="77777777" w:rsidTr="00EE453C">
        <w:tc>
          <w:tcPr>
            <w:tcW w:w="2002" w:type="dxa"/>
            <w:vMerge/>
          </w:tcPr>
          <w:p w14:paraId="5B322FAB"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15" w:type="dxa"/>
            <w:vMerge/>
          </w:tcPr>
          <w:p w14:paraId="2F5B8B50"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3791" w:type="dxa"/>
          </w:tcPr>
          <w:p w14:paraId="65FC4DE2" w14:textId="7D1E63DA"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57" w:name="_Toc173318841"/>
            <w:r w:rsidRPr="0053072D">
              <w:rPr>
                <w:rFonts w:eastAsia="Times New Roman" w:cs="Aptos"/>
                <w:color w:val="000000"/>
                <w:sz w:val="20"/>
                <w:szCs w:val="20"/>
                <w:lang w:val="en-ID" w:eastAsia="en-ID"/>
              </w:rPr>
              <w:t>Support collaborations between fertiliser companies and other market actors, such as seed producers, off-takers, and agri-tech companies, to develop enhanced offers to smallholders in under-served areas.</w:t>
            </w:r>
            <w:bookmarkEnd w:id="657"/>
          </w:p>
        </w:tc>
        <w:tc>
          <w:tcPr>
            <w:tcW w:w="2858" w:type="dxa"/>
          </w:tcPr>
          <w:p w14:paraId="1B44BE6E" w14:textId="3AF3D80E" w:rsidR="00B30B11" w:rsidRPr="0053072D" w:rsidRDefault="00B30B11" w:rsidP="00A45E00">
            <w:pPr>
              <w:keepNext/>
              <w:keepLines/>
              <w:spacing w:after="80"/>
              <w:outlineLvl w:val="1"/>
              <w:rPr>
                <w:rFonts w:eastAsia="Times New Roman" w:cs="Arial"/>
                <w:color w:val="000000"/>
                <w:sz w:val="20"/>
                <w:szCs w:val="20"/>
                <w:lang w:val="en-ID" w:eastAsia="en-ID"/>
              </w:rPr>
            </w:pPr>
            <w:bookmarkStart w:id="658" w:name="_Toc173318842"/>
            <w:r w:rsidRPr="0053072D">
              <w:rPr>
                <w:rFonts w:eastAsia="Times New Roman" w:cs="Arial"/>
                <w:color w:val="000000"/>
                <w:sz w:val="20"/>
                <w:szCs w:val="20"/>
                <w:lang w:val="en-ID" w:eastAsia="en-ID"/>
              </w:rPr>
              <w:t>Joint activities</w:t>
            </w:r>
            <w:bookmarkEnd w:id="658"/>
          </w:p>
        </w:tc>
        <w:tc>
          <w:tcPr>
            <w:tcW w:w="3304" w:type="dxa"/>
          </w:tcPr>
          <w:p w14:paraId="374A47F2" w14:textId="71DF8B6C" w:rsidR="00B30B11" w:rsidRPr="0053072D" w:rsidRDefault="00B30B11" w:rsidP="00EE453C">
            <w:pPr>
              <w:keepNext/>
              <w:keepLines/>
              <w:spacing w:after="120"/>
              <w:contextualSpacing/>
              <w:outlineLvl w:val="1"/>
              <w:rPr>
                <w:rFonts w:eastAsia="Times New Roman" w:cs="Arial"/>
                <w:color w:val="000000"/>
                <w:sz w:val="20"/>
                <w:szCs w:val="20"/>
                <w:lang w:val="en-ID" w:eastAsia="en-ID"/>
              </w:rPr>
            </w:pPr>
            <w:bookmarkStart w:id="659" w:name="_Toc173318843"/>
            <w:r w:rsidRPr="0053072D">
              <w:rPr>
                <w:rFonts w:eastAsia="Times New Roman" w:cs="Arial"/>
                <w:color w:val="000000"/>
                <w:sz w:val="20"/>
                <w:szCs w:val="20"/>
                <w:lang w:val="en-ID" w:eastAsia="en-ID"/>
              </w:rPr>
              <w:t xml:space="preserve">PRISMA supported PT ATS, a soil treatment company, in collaborating with an agri-tech company, PT MSMB, for soil testing and financial institutions (Bank Mandiri in East Java and BRI in Central Java) for kiosk financing. PT ATS also </w:t>
            </w:r>
            <w:r w:rsidRPr="0053072D">
              <w:rPr>
                <w:rFonts w:eastAsia="Times New Roman" w:cs="Arial"/>
                <w:color w:val="000000"/>
                <w:sz w:val="20"/>
                <w:szCs w:val="20"/>
                <w:lang w:val="en-ID" w:eastAsia="en-ID"/>
              </w:rPr>
              <w:lastRenderedPageBreak/>
              <w:t>collaborated with the local government of Madura to enhance the organic fertiliser market in under-served areas in 3 districts of Madura.</w:t>
            </w:r>
            <w:bookmarkEnd w:id="659"/>
          </w:p>
          <w:p w14:paraId="37B6DB6B" w14:textId="77777777" w:rsidR="00B30B11" w:rsidRPr="0053072D" w:rsidRDefault="00B30B11" w:rsidP="00EE453C">
            <w:pPr>
              <w:keepNext/>
              <w:keepLines/>
              <w:spacing w:after="120"/>
              <w:contextualSpacing/>
              <w:outlineLvl w:val="1"/>
              <w:rPr>
                <w:rFonts w:eastAsia="Times New Roman" w:cs="Arial"/>
                <w:color w:val="000000"/>
                <w:sz w:val="20"/>
                <w:szCs w:val="20"/>
                <w:lang w:val="en-ID" w:eastAsia="en-ID"/>
              </w:rPr>
            </w:pPr>
          </w:p>
          <w:p w14:paraId="7D0C5CCD" w14:textId="77777777" w:rsidR="00B30B11" w:rsidRPr="0053072D" w:rsidRDefault="00B30B11" w:rsidP="00EE453C">
            <w:pPr>
              <w:keepNext/>
              <w:keepLines/>
              <w:spacing w:after="120"/>
              <w:contextualSpacing/>
              <w:outlineLvl w:val="1"/>
              <w:rPr>
                <w:rFonts w:eastAsia="Times New Roman" w:cs="Arial"/>
                <w:color w:val="000000"/>
                <w:sz w:val="20"/>
                <w:szCs w:val="20"/>
                <w:lang w:val="en-ID" w:eastAsia="en-ID"/>
              </w:rPr>
            </w:pPr>
            <w:bookmarkStart w:id="660" w:name="_Toc173318844"/>
            <w:r w:rsidRPr="0053072D">
              <w:rPr>
                <w:rFonts w:eastAsia="Times New Roman" w:cs="Arial"/>
                <w:color w:val="000000"/>
                <w:sz w:val="20"/>
                <w:szCs w:val="20"/>
                <w:lang w:val="en-ID" w:eastAsia="en-ID"/>
              </w:rPr>
              <w:t>PRISMA supported BOSI in conducting a joint event with the local government of Sukoharjo, Central Java, to introduce organic fertiliser and enhance its use to support sustainable farming in Central Java.</w:t>
            </w:r>
            <w:bookmarkEnd w:id="660"/>
            <w:r w:rsidRPr="0053072D">
              <w:rPr>
                <w:rFonts w:eastAsia="Times New Roman" w:cs="Arial"/>
                <w:color w:val="000000"/>
                <w:sz w:val="20"/>
                <w:szCs w:val="20"/>
                <w:lang w:val="en-ID" w:eastAsia="en-ID"/>
              </w:rPr>
              <w:t xml:space="preserve"> </w:t>
            </w:r>
          </w:p>
          <w:p w14:paraId="5E5128DF" w14:textId="77777777" w:rsidR="00B30B11" w:rsidRPr="0053072D" w:rsidRDefault="00B30B11" w:rsidP="00EE453C">
            <w:pPr>
              <w:keepNext/>
              <w:keepLines/>
              <w:spacing w:after="120"/>
              <w:contextualSpacing/>
              <w:outlineLvl w:val="1"/>
              <w:rPr>
                <w:rFonts w:eastAsia="Times New Roman" w:cs="Arial"/>
                <w:color w:val="000000"/>
                <w:sz w:val="20"/>
                <w:szCs w:val="20"/>
                <w:lang w:val="en-ID" w:eastAsia="en-ID"/>
              </w:rPr>
            </w:pPr>
          </w:p>
          <w:p w14:paraId="6A99CB5A" w14:textId="715FC3F8" w:rsidR="00B30B11" w:rsidRPr="0053072D" w:rsidRDefault="00B30B11" w:rsidP="00EE453C">
            <w:pPr>
              <w:keepNext/>
              <w:keepLines/>
              <w:spacing w:after="120"/>
              <w:contextualSpacing/>
              <w:outlineLvl w:val="1"/>
              <w:rPr>
                <w:rFonts w:eastAsia="Times New Roman" w:cs="Arial"/>
                <w:color w:val="000000"/>
                <w:sz w:val="20"/>
                <w:szCs w:val="20"/>
                <w:lang w:val="en-ID" w:eastAsia="en-ID"/>
              </w:rPr>
            </w:pPr>
            <w:bookmarkStart w:id="661" w:name="_Toc173318845"/>
            <w:r w:rsidRPr="0053072D">
              <w:rPr>
                <w:rFonts w:eastAsia="Times New Roman" w:cs="Arial"/>
                <w:color w:val="000000"/>
                <w:sz w:val="20"/>
                <w:szCs w:val="20"/>
                <w:lang w:val="en-ID" w:eastAsia="en-ID"/>
              </w:rPr>
              <w:t xml:space="preserve">Facilitated by PRISMA, </w:t>
            </w:r>
            <w:r w:rsidRPr="0053072D">
              <w:rPr>
                <w:rFonts w:cs="Arial"/>
                <w:color w:val="000000"/>
                <w:sz w:val="20"/>
                <w:szCs w:val="20"/>
                <w:lang w:val="en-ID" w:eastAsia="en-ID"/>
              </w:rPr>
              <w:t xml:space="preserve">PT Saprotan Utama Nusantara (SUN), a fertiliser producer, together with PT Seger Agro Nusantara (a maize off-taker) and Syngenta (a seed producer), conducted </w:t>
            </w:r>
            <w:r w:rsidRPr="0053072D">
              <w:rPr>
                <w:rFonts w:eastAsia="Times New Roman" w:cs="Arial"/>
                <w:color w:val="000000"/>
                <w:sz w:val="20"/>
                <w:szCs w:val="20"/>
                <w:lang w:val="en-ID" w:eastAsia="en-ID"/>
              </w:rPr>
              <w:t>joint</w:t>
            </w:r>
            <w:r w:rsidRPr="0053072D">
              <w:rPr>
                <w:rFonts w:cs="Arial"/>
                <w:color w:val="000000"/>
                <w:sz w:val="20"/>
                <w:szCs w:val="20"/>
                <w:lang w:val="en-ID" w:eastAsia="en-ID"/>
              </w:rPr>
              <w:t xml:space="preserve"> training on GAP and good handling processes and established a demo plot </w:t>
            </w:r>
            <w:r w:rsidRPr="0053072D">
              <w:rPr>
                <w:rFonts w:eastAsia="Times New Roman" w:cs="Arial"/>
                <w:color w:val="000000"/>
                <w:sz w:val="20"/>
                <w:szCs w:val="20"/>
                <w:lang w:val="en-ID" w:eastAsia="en-ID"/>
              </w:rPr>
              <w:t xml:space="preserve">for maize </w:t>
            </w:r>
            <w:r w:rsidRPr="0053072D">
              <w:rPr>
                <w:rFonts w:cs="Arial"/>
                <w:color w:val="000000"/>
                <w:sz w:val="20"/>
                <w:szCs w:val="20"/>
                <w:lang w:val="en-ID" w:eastAsia="en-ID"/>
              </w:rPr>
              <w:t>farmers in Southwest Sumba, NTT</w:t>
            </w:r>
            <w:r w:rsidRPr="0053072D">
              <w:rPr>
                <w:rFonts w:eastAsia="Times New Roman" w:cs="Arial"/>
                <w:color w:val="000000"/>
                <w:sz w:val="20"/>
                <w:szCs w:val="20"/>
                <w:lang w:val="en-ID" w:eastAsia="en-ID"/>
              </w:rPr>
              <w:t>.</w:t>
            </w:r>
            <w:r w:rsidRPr="0053072D">
              <w:rPr>
                <w:rFonts w:cs="Arial"/>
                <w:color w:val="000000"/>
                <w:sz w:val="20"/>
                <w:szCs w:val="20"/>
                <w:lang w:val="en-ID" w:eastAsia="en-ID"/>
              </w:rPr>
              <w:t xml:space="preserve"> This joint activity aims to </w:t>
            </w:r>
            <w:r w:rsidRPr="0053072D">
              <w:rPr>
                <w:rFonts w:eastAsia="Times New Roman" w:cs="Arial"/>
                <w:color w:val="000000"/>
                <w:sz w:val="20"/>
                <w:szCs w:val="20"/>
                <w:lang w:val="en-ID" w:eastAsia="en-ID"/>
              </w:rPr>
              <w:t>support the growth of the</w:t>
            </w:r>
            <w:r w:rsidRPr="0053072D">
              <w:rPr>
                <w:rFonts w:cs="Arial"/>
                <w:color w:val="000000"/>
                <w:sz w:val="20"/>
                <w:szCs w:val="20"/>
                <w:lang w:val="en-ID" w:eastAsia="en-ID"/>
              </w:rPr>
              <w:t xml:space="preserve"> maize sector in underserved areas, such as NTT.</w:t>
            </w:r>
            <w:bookmarkEnd w:id="661"/>
          </w:p>
        </w:tc>
      </w:tr>
      <w:tr w:rsidR="00B30B11" w:rsidRPr="0053072D" w14:paraId="08917EA6" w14:textId="77777777" w:rsidTr="00EE453C">
        <w:tc>
          <w:tcPr>
            <w:tcW w:w="2002" w:type="dxa"/>
            <w:vMerge/>
          </w:tcPr>
          <w:p w14:paraId="0FF9103A"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15" w:type="dxa"/>
            <w:vMerge/>
          </w:tcPr>
          <w:p w14:paraId="60F047CD"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3791" w:type="dxa"/>
          </w:tcPr>
          <w:p w14:paraId="7CFF6F4B"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62" w:name="_Toc173318846"/>
            <w:r w:rsidRPr="0053072D">
              <w:rPr>
                <w:rFonts w:eastAsia="Times New Roman" w:cs="Aptos"/>
                <w:color w:val="000000"/>
                <w:sz w:val="20"/>
                <w:szCs w:val="20"/>
                <w:lang w:val="en-ID" w:eastAsia="en-ID"/>
              </w:rPr>
              <w:t>Explore opportunities to crowd in marketing companies and others as long-term advisors in education-based marketing.</w:t>
            </w:r>
            <w:bookmarkEnd w:id="662"/>
            <w:r w:rsidRPr="0053072D">
              <w:rPr>
                <w:rFonts w:eastAsia="Times New Roman" w:cs="Aptos"/>
                <w:color w:val="000000"/>
                <w:sz w:val="20"/>
                <w:szCs w:val="20"/>
                <w:lang w:val="en-ID" w:eastAsia="en-ID"/>
              </w:rPr>
              <w:t xml:space="preserve">  </w:t>
            </w:r>
          </w:p>
        </w:tc>
        <w:tc>
          <w:tcPr>
            <w:tcW w:w="2858" w:type="dxa"/>
          </w:tcPr>
          <w:p w14:paraId="6E5D78B2" w14:textId="74D36650" w:rsidR="00B30B11" w:rsidRPr="0053072D" w:rsidRDefault="00B30B11" w:rsidP="00A45E00">
            <w:pPr>
              <w:keepNext/>
              <w:keepLines/>
              <w:spacing w:after="80"/>
              <w:outlineLvl w:val="1"/>
              <w:rPr>
                <w:rFonts w:eastAsia="Times New Roman" w:cs="Arial"/>
                <w:color w:val="000000"/>
                <w:sz w:val="20"/>
                <w:szCs w:val="20"/>
                <w:lang w:val="en-ID" w:eastAsia="en-ID"/>
              </w:rPr>
            </w:pPr>
            <w:bookmarkStart w:id="663" w:name="_Toc173318847"/>
            <w:r w:rsidRPr="0053072D">
              <w:rPr>
                <w:rFonts w:eastAsia="Times New Roman" w:cs="Arial"/>
                <w:color w:val="000000"/>
                <w:sz w:val="20"/>
                <w:szCs w:val="20"/>
                <w:lang w:val="en-ID" w:eastAsia="en-ID"/>
              </w:rPr>
              <w:t>A workshop by a research and training (marketing) company for fertiliser and other input companies</w:t>
            </w:r>
            <w:bookmarkEnd w:id="663"/>
          </w:p>
        </w:tc>
        <w:tc>
          <w:tcPr>
            <w:tcW w:w="3304" w:type="dxa"/>
          </w:tcPr>
          <w:p w14:paraId="12EC2699" w14:textId="3538B5DE" w:rsidR="00B30B11" w:rsidRPr="0053072D" w:rsidRDefault="00B30B11" w:rsidP="00EE453C">
            <w:pPr>
              <w:keepNext/>
              <w:keepLines/>
              <w:spacing w:after="120"/>
              <w:outlineLvl w:val="1"/>
              <w:rPr>
                <w:rFonts w:eastAsia="Times New Roman" w:cs="Arial"/>
                <w:color w:val="000000"/>
                <w:sz w:val="20"/>
                <w:szCs w:val="20"/>
                <w:lang w:val="en-ID" w:eastAsia="en-ID"/>
              </w:rPr>
            </w:pPr>
            <w:bookmarkStart w:id="664" w:name="_Toc173318848"/>
            <w:r w:rsidRPr="0053072D">
              <w:rPr>
                <w:rFonts w:eastAsia="Times New Roman" w:cs="Arial"/>
                <w:color w:val="000000"/>
                <w:sz w:val="20"/>
                <w:szCs w:val="20"/>
                <w:lang w:val="en-ID" w:eastAsia="en-ID"/>
              </w:rPr>
              <w:t xml:space="preserve">The team faced challenges in engaging training providers, as the current market for training is underdeveloped. Fertiliser companies do not consider investment in training as a priority. PRISMA aims to invite training providers to the dissemination event in July and highlight the </w:t>
            </w:r>
            <w:r w:rsidRPr="0053072D">
              <w:rPr>
                <w:rFonts w:eastAsia="Times New Roman" w:cs="Arial"/>
                <w:color w:val="000000"/>
                <w:sz w:val="20"/>
                <w:szCs w:val="20"/>
                <w:lang w:val="en-ID" w:eastAsia="en-ID"/>
              </w:rPr>
              <w:lastRenderedPageBreak/>
              <w:t>importance of capacity development in improving marketing strategy effectiveness.</w:t>
            </w:r>
            <w:bookmarkEnd w:id="664"/>
          </w:p>
        </w:tc>
      </w:tr>
      <w:tr w:rsidR="00B30B11" w:rsidRPr="0053072D" w14:paraId="53EA30D6" w14:textId="77777777" w:rsidTr="00EE453C">
        <w:tc>
          <w:tcPr>
            <w:tcW w:w="2002" w:type="dxa"/>
            <w:vMerge/>
          </w:tcPr>
          <w:p w14:paraId="50B44938"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15" w:type="dxa"/>
          </w:tcPr>
          <w:p w14:paraId="2F69DBE9" w14:textId="74C7C70A"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65" w:name="_Toc173318849"/>
            <w:r w:rsidRPr="0053072D">
              <w:rPr>
                <w:rFonts w:eastAsia="Times New Roman" w:cs="Aptos"/>
                <w:color w:val="000000"/>
                <w:sz w:val="20"/>
                <w:szCs w:val="20"/>
                <w:lang w:val="en-ID" w:eastAsia="en-ID"/>
              </w:rPr>
              <w:t>Embedding innovative, sustainable, and environmentally friendly soil fertility management models</w:t>
            </w:r>
            <w:bookmarkEnd w:id="665"/>
          </w:p>
        </w:tc>
        <w:tc>
          <w:tcPr>
            <w:tcW w:w="3791" w:type="dxa"/>
          </w:tcPr>
          <w:p w14:paraId="0B264912" w14:textId="5F10446D"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66" w:name="_Toc173318850"/>
            <w:r w:rsidRPr="0053072D">
              <w:rPr>
                <w:rFonts w:eastAsia="Times New Roman" w:cs="Aptos"/>
                <w:color w:val="000000"/>
                <w:sz w:val="20"/>
                <w:szCs w:val="20"/>
                <w:lang w:val="en-ID" w:eastAsia="en-ID"/>
              </w:rPr>
              <w:t>Support local governments in developing social marketing campaigns to enhance organic fertiliser uptake and collaborations between fertiliser companies and local governments to introduce innovative products (for example, mineral-organic fertilisers).</w:t>
            </w:r>
            <w:bookmarkEnd w:id="666"/>
          </w:p>
        </w:tc>
        <w:tc>
          <w:tcPr>
            <w:tcW w:w="2858" w:type="dxa"/>
          </w:tcPr>
          <w:p w14:paraId="56CDFFB2" w14:textId="77777777" w:rsidR="00B30B11" w:rsidRPr="0053072D" w:rsidRDefault="00B30B11" w:rsidP="00A45E00">
            <w:pPr>
              <w:keepNext/>
              <w:keepLines/>
              <w:spacing w:after="80"/>
              <w:outlineLvl w:val="1"/>
              <w:rPr>
                <w:rFonts w:eastAsia="Times New Roman" w:cs="Arial"/>
                <w:color w:val="000000"/>
                <w:sz w:val="20"/>
                <w:szCs w:val="20"/>
                <w:lang w:val="en-ID" w:eastAsia="en-ID"/>
              </w:rPr>
            </w:pPr>
            <w:bookmarkStart w:id="667" w:name="_Toc173318851"/>
            <w:r w:rsidRPr="0053072D">
              <w:rPr>
                <w:rFonts w:eastAsia="Times New Roman" w:cs="Arial"/>
                <w:color w:val="000000"/>
                <w:sz w:val="20"/>
                <w:szCs w:val="20"/>
                <w:lang w:val="en-ID" w:eastAsia="en-ID"/>
              </w:rPr>
              <w:t>Social marketing campaigns on promoting sustainable farming practices and using organic fertiliser</w:t>
            </w:r>
            <w:bookmarkEnd w:id="667"/>
            <w:r w:rsidRPr="0053072D">
              <w:rPr>
                <w:rFonts w:eastAsia="Times New Roman" w:cs="Arial"/>
                <w:color w:val="000000"/>
                <w:sz w:val="20"/>
                <w:szCs w:val="20"/>
                <w:lang w:val="en-ID" w:eastAsia="en-ID"/>
              </w:rPr>
              <w:t xml:space="preserve"> </w:t>
            </w:r>
          </w:p>
        </w:tc>
        <w:tc>
          <w:tcPr>
            <w:tcW w:w="3304" w:type="dxa"/>
          </w:tcPr>
          <w:p w14:paraId="37D7266F" w14:textId="65BA53EE"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68" w:name="_Toc173318852"/>
            <w:r w:rsidRPr="0053072D">
              <w:rPr>
                <w:rFonts w:eastAsia="Times New Roman" w:cs="Arial"/>
                <w:color w:val="000000"/>
                <w:sz w:val="20"/>
                <w:szCs w:val="20"/>
                <w:lang w:val="en-ID" w:eastAsia="en-ID"/>
              </w:rPr>
              <w:t>Following the reprioritisation of PRISMA’s soil treatment strategy, the program decided not to continue this initiative, considering its early stage and the program’s timeframe.</w:t>
            </w:r>
            <w:bookmarkEnd w:id="668"/>
          </w:p>
        </w:tc>
      </w:tr>
      <w:tr w:rsidR="00B30B11" w:rsidRPr="0053072D" w14:paraId="3D58E8D8" w14:textId="77777777" w:rsidTr="00EE453C">
        <w:tc>
          <w:tcPr>
            <w:tcW w:w="2002" w:type="dxa"/>
            <w:vMerge w:val="restart"/>
          </w:tcPr>
          <w:p w14:paraId="5A606AA4"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69" w:name="_Toc173318853"/>
            <w:r w:rsidRPr="0053072D">
              <w:rPr>
                <w:rFonts w:eastAsia="Times New Roman" w:cs="Aptos"/>
                <w:color w:val="000000"/>
                <w:sz w:val="20"/>
                <w:szCs w:val="20"/>
                <w:lang w:val="en-ID" w:eastAsia="en-ID"/>
              </w:rPr>
              <w:t>Knowledge harvesting and dissemination</w:t>
            </w:r>
            <w:bookmarkEnd w:id="669"/>
            <w:r w:rsidRPr="0053072D">
              <w:rPr>
                <w:rFonts w:eastAsia="Times New Roman" w:cs="Aptos"/>
                <w:color w:val="000000"/>
                <w:sz w:val="20"/>
                <w:szCs w:val="20"/>
                <w:lang w:val="en-ID" w:eastAsia="en-ID"/>
              </w:rPr>
              <w:t xml:space="preserve"> </w:t>
            </w:r>
          </w:p>
        </w:tc>
        <w:tc>
          <w:tcPr>
            <w:tcW w:w="2615" w:type="dxa"/>
            <w:vMerge w:val="restart"/>
          </w:tcPr>
          <w:p w14:paraId="3FE7FACE" w14:textId="35477905"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70" w:name="_Toc173318854"/>
            <w:r w:rsidRPr="0053072D">
              <w:rPr>
                <w:rFonts w:eastAsia="Times New Roman" w:cs="Aptos"/>
                <w:color w:val="000000"/>
                <w:sz w:val="20"/>
                <w:szCs w:val="20"/>
                <w:lang w:val="en-ID" w:eastAsia="en-ID"/>
              </w:rPr>
              <w:t>Institutionalising education-based marketing and other soft-selling techniques</w:t>
            </w:r>
            <w:bookmarkEnd w:id="670"/>
          </w:p>
        </w:tc>
        <w:tc>
          <w:tcPr>
            <w:tcW w:w="3791" w:type="dxa"/>
          </w:tcPr>
          <w:p w14:paraId="418D99E3" w14:textId="2B52FAC2"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71" w:name="_Toc173318855"/>
            <w:r w:rsidRPr="0053072D">
              <w:rPr>
                <w:rFonts w:eastAsia="Times New Roman" w:cs="Aptos"/>
                <w:color w:val="000000"/>
                <w:sz w:val="20"/>
                <w:szCs w:val="20"/>
                <w:lang w:val="en-ID" w:eastAsia="en-ID"/>
              </w:rPr>
              <w:t>Produce comprehensive learning on PRISMA’s education-based marketing approach (in conjunction with the crop protection team) to help inform the market of the validity and viability of the approach.</w:t>
            </w:r>
            <w:bookmarkEnd w:id="671"/>
          </w:p>
        </w:tc>
        <w:tc>
          <w:tcPr>
            <w:tcW w:w="2858" w:type="dxa"/>
          </w:tcPr>
          <w:p w14:paraId="70556644" w14:textId="66E48BAD" w:rsidR="00B30B11" w:rsidRPr="0053072D" w:rsidRDefault="00B30B11" w:rsidP="00A45E00">
            <w:pPr>
              <w:keepNext/>
              <w:keepLines/>
              <w:spacing w:after="80"/>
              <w:outlineLvl w:val="1"/>
              <w:rPr>
                <w:rFonts w:eastAsia="Times New Roman" w:cs="Arial"/>
                <w:color w:val="000000"/>
                <w:sz w:val="20"/>
                <w:szCs w:val="20"/>
                <w:lang w:val="en-ID" w:eastAsia="en-ID"/>
              </w:rPr>
            </w:pPr>
            <w:bookmarkStart w:id="672" w:name="_Toc173318856"/>
            <w:r w:rsidRPr="0053072D">
              <w:rPr>
                <w:rFonts w:eastAsia="Times New Roman" w:cs="Arial"/>
                <w:color w:val="000000"/>
                <w:sz w:val="20"/>
                <w:szCs w:val="20"/>
                <w:lang w:val="en-ID" w:eastAsia="en-ID"/>
              </w:rPr>
              <w:t>A market brief on best practices applying GFP</w:t>
            </w:r>
            <w:bookmarkEnd w:id="672"/>
          </w:p>
        </w:tc>
        <w:tc>
          <w:tcPr>
            <w:tcW w:w="3304" w:type="dxa"/>
          </w:tcPr>
          <w:p w14:paraId="17411F83" w14:textId="3F1CC431"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73" w:name="_Toc173318857"/>
            <w:r w:rsidRPr="0053072D">
              <w:rPr>
                <w:rFonts w:eastAsia="Times New Roman" w:cs="Arial"/>
                <w:color w:val="000000"/>
                <w:sz w:val="20"/>
                <w:szCs w:val="20"/>
                <w:lang w:val="en-ID" w:eastAsia="en-ID"/>
              </w:rPr>
              <w:t>PRISMA is conducting a GFP study to assess the effectiveness of disseminating GFP information and the degree to which these promotional messages have been taken on by smallholder farmers and how they have changed their practices towards GFP. PRISMA will summarise the study into a market brief based on the learning of the study.</w:t>
            </w:r>
            <w:bookmarkEnd w:id="673"/>
          </w:p>
          <w:p w14:paraId="3862B224" w14:textId="255E54B4"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74" w:name="_Toc173318858"/>
            <w:r w:rsidRPr="0053072D">
              <w:rPr>
                <w:rFonts w:eastAsia="Times New Roman" w:cs="Arial"/>
                <w:color w:val="000000"/>
                <w:sz w:val="20"/>
                <w:szCs w:val="20"/>
                <w:lang w:val="en-ID" w:eastAsia="en-ID"/>
              </w:rPr>
              <w:t>Study analysis is currently underway. In July, a market brief will be disseminated at the event.</w:t>
            </w:r>
            <w:bookmarkEnd w:id="674"/>
          </w:p>
        </w:tc>
      </w:tr>
      <w:tr w:rsidR="00B30B11" w:rsidRPr="0053072D" w14:paraId="31C8B6C8" w14:textId="77777777" w:rsidTr="00EE453C">
        <w:tc>
          <w:tcPr>
            <w:tcW w:w="2002" w:type="dxa"/>
            <w:vMerge/>
          </w:tcPr>
          <w:p w14:paraId="16E9712D"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615" w:type="dxa"/>
            <w:vMerge/>
          </w:tcPr>
          <w:p w14:paraId="14A7827F"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3791" w:type="dxa"/>
          </w:tcPr>
          <w:p w14:paraId="79460FFC" w14:textId="4453521F"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675" w:name="_Toc173318859"/>
            <w:r w:rsidRPr="0053072D">
              <w:rPr>
                <w:rFonts w:eastAsia="Times New Roman" w:cs="Aptos"/>
                <w:color w:val="000000"/>
                <w:sz w:val="20"/>
                <w:szCs w:val="20"/>
                <w:lang w:val="en-ID" w:eastAsia="en-ID"/>
              </w:rPr>
              <w:t>Partner with business enablers (PISAgro</w:t>
            </w:r>
            <w:r>
              <w:rPr>
                <w:rFonts w:eastAsia="Times New Roman" w:cs="Aptos"/>
                <w:color w:val="000000"/>
                <w:sz w:val="20"/>
                <w:szCs w:val="20"/>
                <w:lang w:val="en-ID" w:eastAsia="en-ID"/>
              </w:rPr>
              <w:t>/</w:t>
            </w:r>
            <w:r w:rsidRPr="0053072D">
              <w:rPr>
                <w:rFonts w:eastAsia="Times New Roman" w:cs="Aptos"/>
                <w:color w:val="000000"/>
                <w:sz w:val="20"/>
                <w:szCs w:val="20"/>
                <w:lang w:val="en-ID" w:eastAsia="en-ID"/>
              </w:rPr>
              <w:t>universities/associations) to organise a learning workshop on education-based marketing.</w:t>
            </w:r>
            <w:bookmarkEnd w:id="675"/>
          </w:p>
        </w:tc>
        <w:tc>
          <w:tcPr>
            <w:tcW w:w="2858" w:type="dxa"/>
          </w:tcPr>
          <w:p w14:paraId="0FE02C30" w14:textId="00E332C4" w:rsidR="00B30B11" w:rsidRPr="0053072D" w:rsidRDefault="00B30B11" w:rsidP="00A45E00">
            <w:pPr>
              <w:keepNext/>
              <w:keepLines/>
              <w:spacing w:after="80"/>
              <w:outlineLvl w:val="1"/>
              <w:rPr>
                <w:rFonts w:eastAsia="Times New Roman" w:cs="Aptos"/>
                <w:color w:val="000000"/>
                <w:sz w:val="20"/>
                <w:szCs w:val="20"/>
                <w:lang w:val="en-ID" w:eastAsia="en-ID"/>
              </w:rPr>
            </w:pPr>
            <w:bookmarkStart w:id="676" w:name="_Toc173318860"/>
            <w:r w:rsidRPr="0053072D">
              <w:rPr>
                <w:rFonts w:eastAsia="Times New Roman" w:cs="Arial"/>
                <w:color w:val="000000"/>
                <w:sz w:val="20"/>
                <w:szCs w:val="20"/>
                <w:lang w:val="en-ID" w:eastAsia="en-ID"/>
              </w:rPr>
              <w:t>A dissemination event or workshop for fertiliser and input companies</w:t>
            </w:r>
            <w:bookmarkEnd w:id="676"/>
          </w:p>
        </w:tc>
        <w:tc>
          <w:tcPr>
            <w:tcW w:w="3304" w:type="dxa"/>
          </w:tcPr>
          <w:p w14:paraId="260BE7CF" w14:textId="378B2615"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77" w:name="_Toc173318861"/>
            <w:r>
              <w:rPr>
                <w:rFonts w:eastAsia="Times New Roman" w:cs="Arial"/>
                <w:color w:val="000000"/>
                <w:sz w:val="20"/>
                <w:szCs w:val="20"/>
                <w:lang w:val="en-ID" w:eastAsia="en-ID"/>
              </w:rPr>
              <w:t xml:space="preserve">A </w:t>
            </w:r>
            <w:r w:rsidRPr="0053072D">
              <w:rPr>
                <w:rFonts w:eastAsia="Times New Roman" w:cs="Arial"/>
                <w:color w:val="000000"/>
                <w:sz w:val="20"/>
                <w:szCs w:val="20"/>
                <w:lang w:val="en-ID" w:eastAsia="en-ID"/>
              </w:rPr>
              <w:t>dissemination event w</w:t>
            </w:r>
            <w:r>
              <w:rPr>
                <w:rFonts w:eastAsia="Times New Roman" w:cs="Arial"/>
                <w:color w:val="000000"/>
                <w:sz w:val="20"/>
                <w:szCs w:val="20"/>
                <w:lang w:val="en-ID" w:eastAsia="en-ID"/>
              </w:rPr>
              <w:t>as</w:t>
            </w:r>
            <w:r w:rsidRPr="0053072D">
              <w:rPr>
                <w:rFonts w:eastAsia="Times New Roman" w:cs="Arial"/>
                <w:color w:val="000000"/>
                <w:sz w:val="20"/>
                <w:szCs w:val="20"/>
                <w:lang w:val="en-ID" w:eastAsia="en-ID"/>
              </w:rPr>
              <w:t xml:space="preserve"> held in July 2024. The event discuss</w:t>
            </w:r>
            <w:r>
              <w:rPr>
                <w:rFonts w:eastAsia="Times New Roman" w:cs="Arial"/>
                <w:color w:val="000000"/>
                <w:sz w:val="20"/>
                <w:szCs w:val="20"/>
                <w:lang w:val="en-ID" w:eastAsia="en-ID"/>
              </w:rPr>
              <w:t>ed</w:t>
            </w:r>
            <w:r w:rsidRPr="0053072D">
              <w:rPr>
                <w:rFonts w:eastAsia="Times New Roman" w:cs="Arial"/>
                <w:color w:val="000000"/>
                <w:sz w:val="20"/>
                <w:szCs w:val="20"/>
                <w:lang w:val="en-ID" w:eastAsia="en-ID"/>
              </w:rPr>
              <w:t xml:space="preserve"> 2 main topics: (1) the effectiveness of the education-based marketing approach in fertiliser markets and (2) a strategy to develop organic fertiliser markets.</w:t>
            </w:r>
            <w:bookmarkEnd w:id="677"/>
          </w:p>
        </w:tc>
      </w:tr>
      <w:tr w:rsidR="00B30B11" w:rsidRPr="0053072D" w14:paraId="0BF3FB88" w14:textId="77777777" w:rsidTr="00EE453C">
        <w:tc>
          <w:tcPr>
            <w:tcW w:w="2002" w:type="dxa"/>
            <w:vMerge/>
          </w:tcPr>
          <w:p w14:paraId="7C18F48A"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615" w:type="dxa"/>
            <w:vMerge w:val="restart"/>
          </w:tcPr>
          <w:p w14:paraId="646A42D3" w14:textId="07A20478"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78" w:name="_Toc173318862"/>
            <w:r w:rsidRPr="0053072D">
              <w:rPr>
                <w:rFonts w:eastAsia="Times New Roman" w:cs="Aptos"/>
                <w:color w:val="000000"/>
                <w:sz w:val="20"/>
                <w:szCs w:val="20"/>
                <w:lang w:val="en-ID" w:eastAsia="en-ID"/>
              </w:rPr>
              <w:t>Embedding innovative, sustainable, environmentally friendly soil fertility management models</w:t>
            </w:r>
            <w:bookmarkEnd w:id="678"/>
          </w:p>
        </w:tc>
        <w:tc>
          <w:tcPr>
            <w:tcW w:w="3791" w:type="dxa"/>
          </w:tcPr>
          <w:p w14:paraId="5B9279AF" w14:textId="1E0F1D22"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679" w:name="_Toc173318863"/>
            <w:r w:rsidRPr="0053072D">
              <w:rPr>
                <w:rFonts w:eastAsia="Times New Roman" w:cs="Aptos"/>
                <w:color w:val="000000"/>
                <w:sz w:val="20"/>
                <w:szCs w:val="20"/>
                <w:lang w:val="en-ID" w:eastAsia="en-ID"/>
              </w:rPr>
              <w:t>Partner with business enablers (governments/universities/associations) to organise a learning workshop on PRISMA’s experience and market insights pertaining to organic fertiliser.</w:t>
            </w:r>
            <w:bookmarkEnd w:id="679"/>
          </w:p>
        </w:tc>
        <w:tc>
          <w:tcPr>
            <w:tcW w:w="2858" w:type="dxa"/>
          </w:tcPr>
          <w:p w14:paraId="1D531108" w14:textId="6C760A2C" w:rsidR="00B30B11" w:rsidRPr="0053072D" w:rsidRDefault="00B30B11" w:rsidP="00A45E00">
            <w:pPr>
              <w:keepNext/>
              <w:keepLines/>
              <w:spacing w:after="80"/>
              <w:outlineLvl w:val="1"/>
              <w:rPr>
                <w:rFonts w:eastAsia="Times New Roman" w:cs="Aptos"/>
                <w:color w:val="000000"/>
                <w:sz w:val="20"/>
                <w:szCs w:val="20"/>
                <w:lang w:val="en-ID" w:eastAsia="en-ID"/>
              </w:rPr>
            </w:pPr>
            <w:bookmarkStart w:id="680" w:name="_Toc173318864"/>
            <w:r w:rsidRPr="0053072D">
              <w:rPr>
                <w:rFonts w:eastAsia="Times New Roman" w:cs="Arial"/>
                <w:color w:val="000000"/>
                <w:sz w:val="20"/>
                <w:szCs w:val="20"/>
                <w:lang w:val="en-ID" w:eastAsia="en-ID"/>
              </w:rPr>
              <w:t>A dissemination event or workshop for fertiliser companies</w:t>
            </w:r>
            <w:bookmarkEnd w:id="680"/>
          </w:p>
        </w:tc>
        <w:tc>
          <w:tcPr>
            <w:tcW w:w="3304" w:type="dxa"/>
          </w:tcPr>
          <w:p w14:paraId="16C12D4F" w14:textId="784A832A"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81" w:name="_Toc173318865"/>
            <w:r w:rsidRPr="0053072D">
              <w:rPr>
                <w:rFonts w:eastAsia="Times New Roman" w:cs="Arial"/>
                <w:color w:val="000000"/>
                <w:sz w:val="20"/>
                <w:szCs w:val="20"/>
                <w:lang w:val="en-ID" w:eastAsia="en-ID"/>
              </w:rPr>
              <w:t>In July, a market brief on the organic fertiliser study w</w:t>
            </w:r>
            <w:r>
              <w:rPr>
                <w:rFonts w:eastAsia="Times New Roman" w:cs="Arial"/>
                <w:color w:val="000000"/>
                <w:sz w:val="20"/>
                <w:szCs w:val="20"/>
                <w:lang w:val="en-ID" w:eastAsia="en-ID"/>
              </w:rPr>
              <w:t>as</w:t>
            </w:r>
            <w:r w:rsidRPr="0053072D">
              <w:rPr>
                <w:rFonts w:eastAsia="Times New Roman" w:cs="Arial"/>
                <w:color w:val="000000"/>
                <w:sz w:val="20"/>
                <w:szCs w:val="20"/>
                <w:lang w:val="en-ID" w:eastAsia="en-ID"/>
              </w:rPr>
              <w:t xml:space="preserve"> presented at a dissemination event. The study itself is based on PRISMA’s learning and experience in developing the organic market.</w:t>
            </w:r>
            <w:bookmarkEnd w:id="681"/>
          </w:p>
        </w:tc>
      </w:tr>
      <w:tr w:rsidR="00B30B11" w:rsidRPr="0053072D" w14:paraId="2E733B1B" w14:textId="77777777" w:rsidTr="00EE453C">
        <w:tc>
          <w:tcPr>
            <w:tcW w:w="2002" w:type="dxa"/>
            <w:vMerge/>
          </w:tcPr>
          <w:p w14:paraId="2A053CFE"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615" w:type="dxa"/>
            <w:vMerge/>
          </w:tcPr>
          <w:p w14:paraId="260192AC"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3791" w:type="dxa"/>
          </w:tcPr>
          <w:p w14:paraId="2564A561"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682" w:name="_Toc173318866"/>
            <w:r w:rsidRPr="0053072D">
              <w:rPr>
                <w:rFonts w:eastAsia="Times New Roman" w:cs="Aptos"/>
                <w:color w:val="000000"/>
                <w:sz w:val="20"/>
                <w:szCs w:val="20"/>
                <w:lang w:val="en-ID" w:eastAsia="en-ID"/>
              </w:rPr>
              <w:t>The private sector and the NTB provincial government conduct joint research to test novel organic fertiliser products.</w:t>
            </w:r>
            <w:bookmarkEnd w:id="682"/>
            <w:r w:rsidRPr="0053072D">
              <w:rPr>
                <w:rFonts w:eastAsia="Times New Roman" w:cs="Aptos"/>
                <w:color w:val="000000"/>
                <w:sz w:val="20"/>
                <w:szCs w:val="20"/>
                <w:lang w:val="en-ID" w:eastAsia="en-ID"/>
              </w:rPr>
              <w:t xml:space="preserve">   </w:t>
            </w:r>
          </w:p>
        </w:tc>
        <w:tc>
          <w:tcPr>
            <w:tcW w:w="2858" w:type="dxa"/>
          </w:tcPr>
          <w:p w14:paraId="21294C5D" w14:textId="77777777" w:rsidR="00B30B11" w:rsidRPr="0053072D" w:rsidRDefault="00B30B11" w:rsidP="00A45E00">
            <w:pPr>
              <w:keepNext/>
              <w:keepLines/>
              <w:spacing w:after="80"/>
              <w:outlineLvl w:val="1"/>
              <w:rPr>
                <w:rFonts w:eastAsia="Times New Roman" w:cs="Aptos"/>
                <w:color w:val="000000"/>
                <w:sz w:val="20"/>
                <w:szCs w:val="20"/>
                <w:lang w:val="en-ID" w:eastAsia="en-ID"/>
              </w:rPr>
            </w:pPr>
            <w:bookmarkStart w:id="683" w:name="_Toc173318867"/>
            <w:r w:rsidRPr="0053072D">
              <w:rPr>
                <w:rFonts w:eastAsia="Times New Roman" w:cs="Arial"/>
                <w:color w:val="000000"/>
                <w:sz w:val="20"/>
                <w:szCs w:val="20"/>
                <w:lang w:val="en-ID" w:eastAsia="en-ID"/>
              </w:rPr>
              <w:t>A report on the organic fertiliser market in NTB</w:t>
            </w:r>
            <w:bookmarkEnd w:id="683"/>
            <w:r w:rsidRPr="0053072D">
              <w:rPr>
                <w:rFonts w:eastAsia="Times New Roman" w:cs="Arial"/>
                <w:color w:val="000000"/>
                <w:sz w:val="20"/>
                <w:szCs w:val="20"/>
                <w:lang w:val="en-ID" w:eastAsia="en-ID"/>
              </w:rPr>
              <w:t xml:space="preserve"> </w:t>
            </w:r>
          </w:p>
        </w:tc>
        <w:tc>
          <w:tcPr>
            <w:tcW w:w="3304" w:type="dxa"/>
          </w:tcPr>
          <w:p w14:paraId="48634242"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84" w:name="_Toc173318868"/>
            <w:r w:rsidRPr="0053072D">
              <w:rPr>
                <w:rFonts w:eastAsia="Times New Roman" w:cs="Arial"/>
                <w:color w:val="000000"/>
                <w:sz w:val="20"/>
                <w:szCs w:val="20"/>
                <w:lang w:val="en-ID" w:eastAsia="en-ID"/>
              </w:rPr>
              <w:t>Report completed for BOSI. One finding refers to how the marketing and promotion of liquid biofertiliser is generally related to government, and that PT Botani could benefit from involving local governments to disseminate information, educate farmers, and provide training and demo plots.</w:t>
            </w:r>
            <w:bookmarkEnd w:id="684"/>
            <w:r w:rsidRPr="0053072D">
              <w:rPr>
                <w:rFonts w:eastAsia="Times New Roman" w:cs="Arial"/>
                <w:color w:val="000000"/>
                <w:sz w:val="20"/>
                <w:szCs w:val="20"/>
                <w:lang w:val="en-ID" w:eastAsia="en-ID"/>
              </w:rPr>
              <w:t xml:space="preserve"> </w:t>
            </w:r>
          </w:p>
          <w:p w14:paraId="22F1B9D7" w14:textId="4E484A0B"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85" w:name="_Toc173318869"/>
            <w:r w:rsidRPr="0053072D">
              <w:rPr>
                <w:rFonts w:eastAsia="Times New Roman" w:cs="Arial"/>
                <w:color w:val="000000"/>
                <w:sz w:val="20"/>
                <w:szCs w:val="20"/>
                <w:lang w:val="en-ID" w:eastAsia="en-ID"/>
              </w:rPr>
              <w:t>BOSI, together with the governments of Central Lombok and East Lombok and the NTB provincial government, will conduct a mini workshop to share the learning and findings.</w:t>
            </w:r>
            <w:bookmarkEnd w:id="685"/>
          </w:p>
        </w:tc>
      </w:tr>
    </w:tbl>
    <w:p w14:paraId="15AF5806" w14:textId="77777777" w:rsidR="00B30B11" w:rsidRPr="0053072D" w:rsidRDefault="00B30B11" w:rsidP="00B30B11">
      <w:pPr>
        <w:keepNext/>
        <w:keepLines/>
        <w:spacing w:after="120" w:line="240" w:lineRule="auto"/>
        <w:ind w:left="11"/>
        <w:outlineLvl w:val="1"/>
        <w:rPr>
          <w:rFonts w:eastAsia="Times New Roman" w:cs="Arial"/>
          <w:color w:val="000000"/>
          <w:szCs w:val="20"/>
          <w:lang w:val="en-ID" w:eastAsia="en-ID"/>
        </w:rPr>
      </w:pPr>
    </w:p>
    <w:p w14:paraId="02D09029" w14:textId="77777777" w:rsidR="00B30B11" w:rsidRPr="0053072D" w:rsidRDefault="00B30B11" w:rsidP="00B30B11">
      <w:pPr>
        <w:keepNext/>
        <w:keepLines/>
        <w:spacing w:after="120" w:line="240" w:lineRule="auto"/>
        <w:ind w:left="11"/>
        <w:outlineLvl w:val="1"/>
        <w:rPr>
          <w:rFonts w:eastAsia="Times New Roman" w:cs="Arial"/>
          <w:color w:val="000000"/>
          <w:szCs w:val="20"/>
          <w:lang w:val="en-ID" w:eastAsia="en-ID"/>
        </w:rPr>
      </w:pPr>
      <w:r w:rsidRPr="0053072D">
        <w:rPr>
          <w:rFonts w:eastAsia="Times New Roman" w:cs="Arial"/>
          <w:color w:val="000000"/>
          <w:szCs w:val="20"/>
          <w:lang w:val="en-ID" w:eastAsia="en-ID"/>
        </w:rPr>
        <w:br w:type="page"/>
      </w:r>
    </w:p>
    <w:p w14:paraId="16372E4B" w14:textId="094BD02B" w:rsidR="00B30B11" w:rsidRPr="0053072D" w:rsidRDefault="00B30B11" w:rsidP="00B30B11">
      <w:pPr>
        <w:keepNext/>
        <w:keepLines/>
        <w:spacing w:after="360" w:line="240" w:lineRule="auto"/>
        <w:ind w:left="851"/>
        <w:outlineLvl w:val="1"/>
        <w:rPr>
          <w:rFonts w:eastAsia="Times New Roman" w:cs="Arial"/>
          <w:b/>
          <w:bCs/>
          <w:color w:val="262C66"/>
          <w:szCs w:val="20"/>
          <w:lang w:val="en-ID" w:eastAsia="en-ID"/>
        </w:rPr>
      </w:pPr>
      <w:bookmarkStart w:id="686" w:name="_Toc173318870"/>
      <w:r w:rsidRPr="0053072D">
        <w:rPr>
          <w:rFonts w:eastAsia="Times New Roman" w:cs="Arial"/>
          <w:b/>
          <w:bCs/>
          <w:noProof/>
          <w:color w:val="262C66"/>
          <w:szCs w:val="20"/>
          <w:lang w:val="en-ID" w:eastAsia="en-ID"/>
          <w14:ligatures w14:val="standardContextual"/>
        </w:rPr>
        <w:lastRenderedPageBreak/>
        <w:drawing>
          <wp:anchor distT="0" distB="0" distL="114300" distR="114300" simplePos="0" relativeHeight="251658283" behindDoc="0" locked="0" layoutInCell="1" allowOverlap="1" wp14:anchorId="64B7A187" wp14:editId="73BC9E51">
            <wp:simplePos x="0" y="0"/>
            <wp:positionH relativeFrom="column">
              <wp:posOffset>-19685</wp:posOffset>
            </wp:positionH>
            <wp:positionV relativeFrom="paragraph">
              <wp:posOffset>-166299</wp:posOffset>
            </wp:positionV>
            <wp:extent cx="468000" cy="468000"/>
            <wp:effectExtent l="0" t="0" r="1905" b="1905"/>
            <wp:wrapNone/>
            <wp:docPr id="523347454" name="Graphic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557367" name="Graphic 14">
                      <a:extLst>
                        <a:ext uri="{C183D7F6-B498-43B3-948B-1728B52AA6E4}">
                          <adec:decorative xmlns:adec="http://schemas.microsoft.com/office/drawing/2017/decorative" val="1"/>
                        </a:ext>
                      </a:extLst>
                    </pic:cNvPr>
                    <pic:cNvPicPr/>
                  </pic:nvPicPr>
                  <pic:blipFill>
                    <a:blip r:embed="rId167" cstate="print">
                      <a:extLst>
                        <a:ext uri="{28A0092B-C50C-407E-A947-70E740481C1C}">
                          <a14:useLocalDpi xmlns:a14="http://schemas.microsoft.com/office/drawing/2010/main" val="0"/>
                        </a:ext>
                        <a:ext uri="{96DAC541-7B7A-43D3-8B79-37D633B846F1}">
                          <asvg:svgBlip xmlns:asvg="http://schemas.microsoft.com/office/drawing/2016/SVG/main" r:embed="rId168"/>
                        </a:ext>
                      </a:extLst>
                    </a:blip>
                    <a:stretch>
                      <a:fillRect/>
                    </a:stretch>
                  </pic:blipFill>
                  <pic:spPr>
                    <a:xfrm>
                      <a:off x="0" y="0"/>
                      <a:ext cx="468000" cy="468000"/>
                    </a:xfrm>
                    <a:prstGeom prst="rect">
                      <a:avLst/>
                    </a:prstGeom>
                  </pic:spPr>
                </pic:pic>
              </a:graphicData>
            </a:graphic>
            <wp14:sizeRelH relativeFrom="page">
              <wp14:pctWidth>0</wp14:pctWidth>
            </wp14:sizeRelH>
            <wp14:sizeRelV relativeFrom="page">
              <wp14:pctHeight>0</wp14:pctHeight>
            </wp14:sizeRelV>
          </wp:anchor>
        </w:drawing>
      </w:r>
      <w:r w:rsidR="00321DBB">
        <w:rPr>
          <w:rFonts w:eastAsia="Times New Roman" w:cs="Arial"/>
          <w:b/>
          <w:bCs/>
          <w:color w:val="262C66"/>
          <w:szCs w:val="20"/>
          <w:lang w:val="en-ID" w:eastAsia="en-ID"/>
        </w:rPr>
        <w:t>Progress</w:t>
      </w:r>
      <w:r w:rsidRPr="0053072D">
        <w:rPr>
          <w:rFonts w:eastAsia="Times New Roman" w:cs="Arial"/>
          <w:b/>
          <w:bCs/>
          <w:color w:val="262C66"/>
          <w:szCs w:val="20"/>
          <w:lang w:val="en-ID" w:eastAsia="en-ID"/>
        </w:rPr>
        <w:t>: Vegetables and Regional Economic Development (RED) – Tanah Papua</w:t>
      </w:r>
      <w:bookmarkEnd w:id="686"/>
    </w:p>
    <w:p w14:paraId="5DF7ABF8" w14:textId="4ABAAC84" w:rsidR="00B30B11" w:rsidRPr="0053072D" w:rsidRDefault="00B30B11" w:rsidP="00B30B11">
      <w:pPr>
        <w:keepNext/>
        <w:keepLines/>
        <w:spacing w:before="120" w:after="120" w:line="276" w:lineRule="auto"/>
        <w:contextualSpacing/>
        <w:outlineLvl w:val="1"/>
        <w:rPr>
          <w:rFonts w:eastAsia="Yu Gothic" w:cs="Arial"/>
          <w:b/>
          <w:bCs/>
          <w:color w:val="252D65"/>
          <w:szCs w:val="20"/>
        </w:rPr>
      </w:pPr>
      <w:bookmarkStart w:id="687" w:name="_Toc173318871"/>
      <w:r w:rsidRPr="0053072D">
        <w:rPr>
          <w:rFonts w:eastAsia="Yu Gothic" w:cs="Arial"/>
          <w:b/>
          <w:bCs/>
          <w:color w:val="252D65"/>
          <w:szCs w:val="20"/>
        </w:rPr>
        <w:t>Vision</w:t>
      </w:r>
      <w:bookmarkEnd w:id="687"/>
    </w:p>
    <w:p w14:paraId="018D26D5" w14:textId="05B700B2" w:rsidR="00B30B11" w:rsidRDefault="00B30B11" w:rsidP="00A45E00">
      <w:pPr>
        <w:keepNext/>
        <w:keepLines/>
        <w:spacing w:after="500" w:line="276" w:lineRule="auto"/>
        <w:ind w:right="-6"/>
        <w:contextualSpacing/>
        <w:jc w:val="both"/>
        <w:outlineLvl w:val="1"/>
        <w:rPr>
          <w:rFonts w:eastAsia="Yu Gothic" w:cs="Arial"/>
          <w:color w:val="000000"/>
          <w:szCs w:val="20"/>
        </w:rPr>
      </w:pPr>
      <w:bookmarkStart w:id="688" w:name="_Toc173318872"/>
      <w:r w:rsidRPr="0053072D">
        <w:rPr>
          <w:rFonts w:eastAsia="Yu Gothic" w:cs="Arial"/>
          <w:color w:val="000000"/>
          <w:szCs w:val="20"/>
        </w:rPr>
        <w:t>Smallholder farmers in Tanah Papua use quality seeds, apply GAP, and have access to the downstream market. This will be achieved by working with seed companies and off-takers and will include implementing indigenous-inclusive strategies. By the end of the program, PRISMA aims for more than 12,000</w:t>
      </w:r>
      <w:r w:rsidRPr="0053072D" w:rsidDel="00AC6A02">
        <w:rPr>
          <w:rFonts w:eastAsia="Yu Gothic" w:cs="Arial"/>
          <w:color w:val="000000"/>
          <w:szCs w:val="20"/>
        </w:rPr>
        <w:t xml:space="preserve"> </w:t>
      </w:r>
      <w:r w:rsidRPr="0053072D">
        <w:rPr>
          <w:rFonts w:eastAsia="Yu Gothic" w:cs="Arial"/>
          <w:color w:val="000000"/>
          <w:szCs w:val="20"/>
        </w:rPr>
        <w:t>seasonal vegetable</w:t>
      </w:r>
      <w:r w:rsidRPr="0053072D" w:rsidDel="00CA471C">
        <w:rPr>
          <w:rFonts w:eastAsia="Yu Gothic" w:cs="Arial"/>
          <w:color w:val="000000"/>
          <w:szCs w:val="20"/>
        </w:rPr>
        <w:t xml:space="preserve"> </w:t>
      </w:r>
      <w:r w:rsidRPr="0053072D">
        <w:rPr>
          <w:rFonts w:eastAsia="Yu Gothic" w:cs="Arial"/>
          <w:color w:val="000000"/>
          <w:szCs w:val="20"/>
        </w:rPr>
        <w:t>farmers to experience an increase in productivity due to better seeds, agricultural practices, and off-taking services.</w:t>
      </w:r>
      <w:bookmarkEnd w:id="688"/>
    </w:p>
    <w:p w14:paraId="773CDD77" w14:textId="77777777" w:rsidR="00A45E00" w:rsidRPr="0053072D" w:rsidRDefault="00A45E00" w:rsidP="00A45E00">
      <w:pPr>
        <w:keepNext/>
        <w:keepLines/>
        <w:spacing w:after="500" w:line="276" w:lineRule="auto"/>
        <w:ind w:right="-6"/>
        <w:contextualSpacing/>
        <w:outlineLvl w:val="1"/>
        <w:rPr>
          <w:rFonts w:eastAsia="Yu Gothic" w:cs="Arial"/>
          <w:color w:val="000000"/>
          <w:szCs w:val="20"/>
        </w:rPr>
      </w:pPr>
    </w:p>
    <w:tbl>
      <w:tblPr>
        <w:tblStyle w:val="TableGrid2"/>
        <w:tblpPr w:leftFromText="181" w:rightFromText="181" w:vertAnchor="text" w:tblpY="1"/>
        <w:tblW w:w="0" w:type="auto"/>
        <w:tblBorders>
          <w:left w:val="none" w:sz="0" w:space="0" w:color="auto"/>
          <w:right w:val="none" w:sz="0" w:space="0" w:color="auto"/>
          <w:insideV w:val="none" w:sz="0" w:space="0" w:color="auto"/>
        </w:tblBorders>
        <w:tblCellMar>
          <w:top w:w="57" w:type="dxa"/>
          <w:bottom w:w="57" w:type="dxa"/>
        </w:tblCellMar>
        <w:tblLook w:val="06A0" w:firstRow="1" w:lastRow="0" w:firstColumn="1" w:lastColumn="0" w:noHBand="1" w:noVBand="1"/>
      </w:tblPr>
      <w:tblGrid>
        <w:gridCol w:w="2002"/>
        <w:gridCol w:w="2138"/>
        <w:gridCol w:w="3285"/>
        <w:gridCol w:w="45"/>
        <w:gridCol w:w="3240"/>
        <w:gridCol w:w="3860"/>
      </w:tblGrid>
      <w:tr w:rsidR="00B30B11" w:rsidRPr="0053072D" w14:paraId="1C7E8BCD" w14:textId="77777777" w:rsidTr="002D6DCE">
        <w:tc>
          <w:tcPr>
            <w:tcW w:w="2002" w:type="dxa"/>
            <w:tcBorders>
              <w:top w:val="nil"/>
              <w:bottom w:val="nil"/>
            </w:tcBorders>
            <w:shd w:val="clear" w:color="auto" w:fill="272A5F"/>
          </w:tcPr>
          <w:p w14:paraId="1F1775C6" w14:textId="4C7E4484" w:rsidR="00B30B11" w:rsidRPr="0053072D" w:rsidRDefault="00B30B11" w:rsidP="00EE453C">
            <w:pPr>
              <w:keepNext/>
              <w:keepLines/>
              <w:spacing w:before="60" w:after="60"/>
              <w:ind w:left="11"/>
              <w:jc w:val="center"/>
              <w:outlineLvl w:val="1"/>
              <w:rPr>
                <w:rFonts w:eastAsia="Times New Roman" w:cs="Arial"/>
                <w:b/>
                <w:bCs/>
                <w:color w:val="FFFFFF"/>
                <w:sz w:val="20"/>
                <w:szCs w:val="20"/>
                <w:lang w:val="en-ID" w:eastAsia="en-ID"/>
              </w:rPr>
            </w:pPr>
            <w:bookmarkStart w:id="689" w:name="_Toc173318873"/>
            <w:r w:rsidRPr="0053072D">
              <w:rPr>
                <w:rFonts w:eastAsia="Times New Roman" w:cs="Arial"/>
                <w:b/>
                <w:bCs/>
                <w:color w:val="FFFFFF"/>
                <w:sz w:val="20"/>
                <w:szCs w:val="20"/>
                <w:lang w:val="en-ID" w:eastAsia="en-ID"/>
              </w:rPr>
              <w:t>Exit strategies</w:t>
            </w:r>
            <w:bookmarkEnd w:id="689"/>
          </w:p>
        </w:tc>
        <w:tc>
          <w:tcPr>
            <w:tcW w:w="2138" w:type="dxa"/>
            <w:tcBorders>
              <w:top w:val="nil"/>
              <w:bottom w:val="nil"/>
            </w:tcBorders>
            <w:shd w:val="clear" w:color="auto" w:fill="272A5F"/>
          </w:tcPr>
          <w:p w14:paraId="620DEFD7" w14:textId="2E4113B4" w:rsidR="00B30B11" w:rsidRPr="0053072D" w:rsidRDefault="00B30B11" w:rsidP="00EE453C">
            <w:pPr>
              <w:keepNext/>
              <w:keepLines/>
              <w:spacing w:before="60" w:after="60"/>
              <w:ind w:left="11"/>
              <w:jc w:val="center"/>
              <w:outlineLvl w:val="1"/>
              <w:rPr>
                <w:rFonts w:eastAsia="Times New Roman" w:cs="Arial"/>
                <w:b/>
                <w:bCs/>
                <w:color w:val="FFFFFF"/>
                <w:sz w:val="20"/>
                <w:szCs w:val="20"/>
                <w:lang w:val="en-ID" w:eastAsia="en-ID"/>
              </w:rPr>
            </w:pPr>
            <w:bookmarkStart w:id="690" w:name="_Toc173318874"/>
            <w:r w:rsidRPr="0053072D">
              <w:rPr>
                <w:rFonts w:eastAsia="Times New Roman" w:cs="Arial"/>
                <w:b/>
                <w:bCs/>
                <w:color w:val="FFFFFF"/>
                <w:sz w:val="20"/>
                <w:szCs w:val="20"/>
                <w:lang w:val="en-ID" w:eastAsia="en-ID"/>
              </w:rPr>
              <w:t>Focus areas</w:t>
            </w:r>
            <w:bookmarkEnd w:id="690"/>
          </w:p>
        </w:tc>
        <w:tc>
          <w:tcPr>
            <w:tcW w:w="3330" w:type="dxa"/>
            <w:gridSpan w:val="2"/>
            <w:tcBorders>
              <w:top w:val="nil"/>
              <w:bottom w:val="nil"/>
            </w:tcBorders>
            <w:shd w:val="clear" w:color="auto" w:fill="272A5F"/>
          </w:tcPr>
          <w:p w14:paraId="4BB6F850" w14:textId="2165A99B" w:rsidR="00B30B11" w:rsidRPr="0053072D" w:rsidRDefault="00B30B11" w:rsidP="00EE453C">
            <w:pPr>
              <w:keepNext/>
              <w:keepLines/>
              <w:spacing w:before="60" w:after="60"/>
              <w:ind w:left="11"/>
              <w:jc w:val="center"/>
              <w:outlineLvl w:val="1"/>
              <w:rPr>
                <w:rFonts w:eastAsia="Times New Roman" w:cs="Arial"/>
                <w:b/>
                <w:bCs/>
                <w:color w:val="FFFFFF"/>
                <w:sz w:val="20"/>
                <w:szCs w:val="20"/>
                <w:lang w:val="en-ID" w:eastAsia="en-ID"/>
              </w:rPr>
            </w:pPr>
            <w:bookmarkStart w:id="691" w:name="_Toc173318875"/>
            <w:r w:rsidRPr="0053072D">
              <w:rPr>
                <w:rFonts w:eastAsia="Times New Roman" w:cs="Arial"/>
                <w:b/>
                <w:bCs/>
                <w:color w:val="FFFFFF"/>
                <w:sz w:val="20"/>
                <w:szCs w:val="20"/>
                <w:lang w:val="en-ID" w:eastAsia="en-ID"/>
              </w:rPr>
              <w:t>Planned initiatives</w:t>
            </w:r>
            <w:bookmarkEnd w:id="691"/>
          </w:p>
        </w:tc>
        <w:tc>
          <w:tcPr>
            <w:tcW w:w="3240" w:type="dxa"/>
            <w:tcBorders>
              <w:top w:val="nil"/>
              <w:bottom w:val="nil"/>
            </w:tcBorders>
            <w:shd w:val="clear" w:color="auto" w:fill="272A5F"/>
          </w:tcPr>
          <w:p w14:paraId="4560F81E" w14:textId="1EEAFC0A" w:rsidR="00B30B11" w:rsidRPr="0053072D" w:rsidRDefault="00B30B11" w:rsidP="00EE453C">
            <w:pPr>
              <w:keepNext/>
              <w:keepLines/>
              <w:spacing w:before="60" w:after="60"/>
              <w:ind w:left="11"/>
              <w:jc w:val="center"/>
              <w:outlineLvl w:val="1"/>
              <w:rPr>
                <w:rFonts w:eastAsia="Times New Roman" w:cs="Arial"/>
                <w:b/>
                <w:bCs/>
                <w:color w:val="FFFFFF"/>
                <w:sz w:val="20"/>
                <w:szCs w:val="20"/>
                <w:lang w:val="en-ID" w:eastAsia="en-ID"/>
              </w:rPr>
            </w:pPr>
            <w:bookmarkStart w:id="692" w:name="_Toc173318876"/>
            <w:r w:rsidRPr="0053072D">
              <w:rPr>
                <w:rFonts w:eastAsia="Times New Roman" w:cs="Arial"/>
                <w:b/>
                <w:bCs/>
                <w:color w:val="FFFFFF"/>
                <w:sz w:val="20"/>
                <w:szCs w:val="20"/>
                <w:lang w:val="en-ID" w:eastAsia="en-ID"/>
              </w:rPr>
              <w:t>Expected outputs</w:t>
            </w:r>
            <w:bookmarkEnd w:id="692"/>
          </w:p>
        </w:tc>
        <w:tc>
          <w:tcPr>
            <w:tcW w:w="3860" w:type="dxa"/>
            <w:tcBorders>
              <w:top w:val="nil"/>
              <w:bottom w:val="nil"/>
            </w:tcBorders>
            <w:shd w:val="clear" w:color="auto" w:fill="272A5F"/>
          </w:tcPr>
          <w:p w14:paraId="341B75AF" w14:textId="2B91161D" w:rsidR="00B30B11" w:rsidRPr="0053072D" w:rsidRDefault="00B30B11" w:rsidP="00EE453C">
            <w:pPr>
              <w:keepNext/>
              <w:keepLines/>
              <w:spacing w:before="60" w:after="60"/>
              <w:ind w:left="11"/>
              <w:jc w:val="center"/>
              <w:outlineLvl w:val="1"/>
              <w:rPr>
                <w:rFonts w:eastAsia="Times New Roman" w:cs="Arial"/>
                <w:b/>
                <w:bCs/>
                <w:color w:val="FFFFFF"/>
                <w:sz w:val="20"/>
                <w:szCs w:val="20"/>
                <w:lang w:val="en-ID" w:eastAsia="en-ID"/>
              </w:rPr>
            </w:pPr>
            <w:bookmarkStart w:id="693" w:name="_Toc173318877"/>
            <w:r w:rsidRPr="0053072D">
              <w:rPr>
                <w:rFonts w:eastAsia="Times New Roman" w:cs="Arial"/>
                <w:b/>
                <w:bCs/>
                <w:color w:val="FFFFFF"/>
                <w:sz w:val="20"/>
                <w:szCs w:val="20"/>
                <w:lang w:val="en-ID" w:eastAsia="en-ID"/>
              </w:rPr>
              <w:t>Progress update</w:t>
            </w:r>
            <w:bookmarkEnd w:id="693"/>
          </w:p>
        </w:tc>
      </w:tr>
      <w:tr w:rsidR="00B30B11" w:rsidRPr="0053072D" w14:paraId="6C3DC4AC" w14:textId="77777777" w:rsidTr="002D6DCE">
        <w:trPr>
          <w:trHeight w:val="300"/>
        </w:trPr>
        <w:tc>
          <w:tcPr>
            <w:tcW w:w="14570" w:type="dxa"/>
            <w:gridSpan w:val="6"/>
            <w:tcBorders>
              <w:top w:val="nil"/>
              <w:bottom w:val="nil"/>
            </w:tcBorders>
            <w:shd w:val="clear" w:color="auto" w:fill="C7F7FD" w:themeFill="accent1" w:themeFillTint="33"/>
            <w:vAlign w:val="center"/>
          </w:tcPr>
          <w:p w14:paraId="3DC5E70D" w14:textId="583224EF" w:rsidR="00B30B11" w:rsidRPr="002D6DCE" w:rsidRDefault="00B30B11" w:rsidP="002D6DCE">
            <w:pPr>
              <w:keepNext/>
              <w:keepLines/>
              <w:spacing w:after="120"/>
              <w:ind w:left="11"/>
              <w:jc w:val="center"/>
              <w:outlineLvl w:val="1"/>
              <w:rPr>
                <w:rFonts w:eastAsia="Times New Roman" w:cs="Arial"/>
                <w:b/>
                <w:bCs/>
                <w:color w:val="272A5F"/>
                <w:sz w:val="20"/>
                <w:szCs w:val="20"/>
                <w:lang w:val="en-ID" w:eastAsia="en-ID"/>
              </w:rPr>
            </w:pPr>
            <w:bookmarkStart w:id="694" w:name="_Toc173318878"/>
            <w:r w:rsidRPr="002D6DCE">
              <w:rPr>
                <w:rFonts w:eastAsia="Times New Roman" w:cs="Arial"/>
                <w:b/>
                <w:bCs/>
                <w:color w:val="272A5F"/>
                <w:sz w:val="20"/>
                <w:szCs w:val="20"/>
                <w:lang w:val="en-ID" w:eastAsia="en-ID"/>
              </w:rPr>
              <w:t>Regional Economic Development (RED)</w:t>
            </w:r>
            <w:bookmarkEnd w:id="694"/>
          </w:p>
        </w:tc>
      </w:tr>
      <w:tr w:rsidR="00B30B11" w:rsidRPr="0053072D" w14:paraId="25098E8F" w14:textId="77777777" w:rsidTr="002D6DCE">
        <w:tc>
          <w:tcPr>
            <w:tcW w:w="2002" w:type="dxa"/>
            <w:vMerge w:val="restart"/>
            <w:tcBorders>
              <w:top w:val="nil"/>
            </w:tcBorders>
          </w:tcPr>
          <w:p w14:paraId="18AEEA5B" w14:textId="1292019C"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95" w:name="_Toc173318879"/>
            <w:r w:rsidRPr="0053072D">
              <w:rPr>
                <w:rFonts w:eastAsia="Times New Roman" w:cs="Aptos"/>
                <w:color w:val="000000"/>
                <w:sz w:val="20"/>
                <w:szCs w:val="20"/>
                <w:lang w:val="en-ID" w:eastAsia="en-ID"/>
              </w:rPr>
              <w:t>Policy initiatives (which may include support for Bappenas/MoA)</w:t>
            </w:r>
            <w:bookmarkEnd w:id="695"/>
          </w:p>
        </w:tc>
        <w:tc>
          <w:tcPr>
            <w:tcW w:w="2138" w:type="dxa"/>
            <w:vMerge w:val="restart"/>
            <w:tcBorders>
              <w:top w:val="nil"/>
            </w:tcBorders>
          </w:tcPr>
          <w:p w14:paraId="09615FE2" w14:textId="4E3E50F1"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96" w:name="_Toc173318880"/>
            <w:r w:rsidRPr="0053072D">
              <w:rPr>
                <w:rFonts w:eastAsia="Times New Roman" w:cs="Aptos"/>
                <w:color w:val="000000"/>
                <w:sz w:val="20"/>
                <w:szCs w:val="20"/>
                <w:lang w:val="en-ID" w:eastAsia="en-ID"/>
              </w:rPr>
              <w:t>Disseminating a formulated strategy document to all Tanah Papua provinces</w:t>
            </w:r>
            <w:bookmarkEnd w:id="696"/>
          </w:p>
        </w:tc>
        <w:tc>
          <w:tcPr>
            <w:tcW w:w="3330" w:type="dxa"/>
            <w:gridSpan w:val="2"/>
            <w:tcBorders>
              <w:top w:val="nil"/>
            </w:tcBorders>
          </w:tcPr>
          <w:p w14:paraId="77A804C4" w14:textId="54270D62"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697" w:name="_Toc173318881"/>
            <w:r w:rsidRPr="0053072D">
              <w:rPr>
                <w:rFonts w:eastAsia="Times New Roman" w:cs="Aptos"/>
                <w:color w:val="000000"/>
                <w:sz w:val="20"/>
                <w:szCs w:val="20"/>
                <w:lang w:val="en-ID" w:eastAsia="en-ID"/>
              </w:rPr>
              <w:t>Develop a province-level report outlining and analysing the agriculture market potential.</w:t>
            </w:r>
            <w:bookmarkEnd w:id="697"/>
          </w:p>
        </w:tc>
        <w:tc>
          <w:tcPr>
            <w:tcW w:w="3240" w:type="dxa"/>
            <w:tcBorders>
              <w:top w:val="nil"/>
            </w:tcBorders>
          </w:tcPr>
          <w:p w14:paraId="03CBBEBB" w14:textId="77777777" w:rsidR="00B30B11" w:rsidRPr="0053072D" w:rsidRDefault="00B30B11" w:rsidP="00A45E00">
            <w:pPr>
              <w:keepNext/>
              <w:keepLines/>
              <w:spacing w:after="80"/>
              <w:ind w:left="75"/>
              <w:outlineLvl w:val="1"/>
              <w:rPr>
                <w:rFonts w:eastAsia="Times New Roman" w:cs="Arial"/>
                <w:color w:val="000000"/>
                <w:sz w:val="20"/>
                <w:szCs w:val="20"/>
                <w:lang w:val="en-ID" w:eastAsia="en-ID"/>
              </w:rPr>
            </w:pPr>
            <w:bookmarkStart w:id="698" w:name="_Toc173318882"/>
            <w:r w:rsidRPr="0053072D">
              <w:rPr>
                <w:rFonts w:eastAsia="Times New Roman" w:cs="Arial"/>
                <w:color w:val="000000"/>
                <w:sz w:val="20"/>
                <w:szCs w:val="20"/>
                <w:lang w:val="en-ID" w:eastAsia="en-ID"/>
              </w:rPr>
              <w:t>A provincial-based report highlighting the market potential</w:t>
            </w:r>
            <w:bookmarkEnd w:id="698"/>
            <w:r w:rsidRPr="0053072D">
              <w:rPr>
                <w:rFonts w:eastAsia="Times New Roman" w:cs="Arial"/>
                <w:color w:val="000000"/>
                <w:sz w:val="20"/>
                <w:szCs w:val="20"/>
                <w:lang w:val="en-ID" w:eastAsia="en-ID"/>
              </w:rPr>
              <w:t xml:space="preserve"> </w:t>
            </w:r>
          </w:p>
        </w:tc>
        <w:tc>
          <w:tcPr>
            <w:tcW w:w="3860" w:type="dxa"/>
            <w:tcBorders>
              <w:top w:val="nil"/>
            </w:tcBorders>
          </w:tcPr>
          <w:p w14:paraId="3A60B239" w14:textId="77777777" w:rsidR="00B30B11" w:rsidRPr="0053072D" w:rsidRDefault="00B30B11" w:rsidP="00EE453C">
            <w:pPr>
              <w:keepNext/>
              <w:keepLines/>
              <w:spacing w:after="120"/>
              <w:ind w:left="11"/>
              <w:outlineLvl w:val="1"/>
              <w:rPr>
                <w:rFonts w:eastAsia="Times New Roman" w:cs="Arial"/>
                <w:sz w:val="20"/>
                <w:szCs w:val="20"/>
                <w:lang w:val="en-ID" w:eastAsia="en-ID"/>
              </w:rPr>
            </w:pPr>
            <w:bookmarkStart w:id="699" w:name="_Toc173318883"/>
            <w:r w:rsidRPr="0053072D">
              <w:rPr>
                <w:rFonts w:eastAsia="Times New Roman" w:cs="Arial"/>
                <w:sz w:val="20"/>
                <w:szCs w:val="20"/>
                <w:lang w:val="en-ID" w:eastAsia="en-ID"/>
              </w:rPr>
              <w:t>Six provincial-level reports were developed for Papua, Central Papua, Highland Papua, West Papua, Southwest Papua, and South Papua.</w:t>
            </w:r>
            <w:bookmarkEnd w:id="699"/>
            <w:r w:rsidRPr="0053072D">
              <w:rPr>
                <w:rFonts w:eastAsia="Times New Roman" w:cs="Arial"/>
                <w:sz w:val="20"/>
                <w:szCs w:val="20"/>
                <w:lang w:val="en-ID" w:eastAsia="en-ID"/>
              </w:rPr>
              <w:t xml:space="preserve"> </w:t>
            </w:r>
          </w:p>
          <w:p w14:paraId="2AA20794" w14:textId="2B8521AF" w:rsidR="00B30B11" w:rsidRPr="0053072D" w:rsidRDefault="00B30B11" w:rsidP="00EE453C">
            <w:pPr>
              <w:keepNext/>
              <w:keepLines/>
              <w:spacing w:after="120"/>
              <w:ind w:left="11"/>
              <w:outlineLvl w:val="1"/>
              <w:rPr>
                <w:rFonts w:eastAsia="Times New Roman" w:cs="Arial"/>
                <w:sz w:val="20"/>
                <w:szCs w:val="20"/>
                <w:lang w:val="en-ID" w:eastAsia="en-ID"/>
              </w:rPr>
            </w:pPr>
            <w:bookmarkStart w:id="700" w:name="_Toc173318884"/>
            <w:r w:rsidRPr="0053072D">
              <w:rPr>
                <w:rFonts w:eastAsia="Times New Roman" w:cs="Arial"/>
                <w:sz w:val="20"/>
                <w:szCs w:val="20"/>
                <w:lang w:val="en-ID" w:eastAsia="en-ID"/>
              </w:rPr>
              <w:t>The draft report was shared during the workshop to receive feedback from participants.</w:t>
            </w:r>
            <w:bookmarkEnd w:id="700"/>
          </w:p>
        </w:tc>
      </w:tr>
      <w:tr w:rsidR="00B30B11" w:rsidRPr="0053072D" w14:paraId="06591A4C" w14:textId="77777777" w:rsidTr="00A45E00">
        <w:trPr>
          <w:trHeight w:val="3484"/>
        </w:trPr>
        <w:tc>
          <w:tcPr>
            <w:tcW w:w="2002" w:type="dxa"/>
            <w:vMerge/>
          </w:tcPr>
          <w:p w14:paraId="7AAEDCF6"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138" w:type="dxa"/>
            <w:vMerge/>
          </w:tcPr>
          <w:p w14:paraId="215FC17B"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3330" w:type="dxa"/>
            <w:gridSpan w:val="2"/>
          </w:tcPr>
          <w:p w14:paraId="718E45C0" w14:textId="1A70D4A8"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701" w:name="_Toc173318885"/>
            <w:r w:rsidRPr="0053072D">
              <w:rPr>
                <w:rFonts w:eastAsia="Times New Roman" w:cs="Aptos"/>
                <w:color w:val="000000"/>
                <w:sz w:val="20"/>
                <w:szCs w:val="20"/>
                <w:lang w:val="en-ID" w:eastAsia="en-ID"/>
              </w:rPr>
              <w:t>Workshops with stakeholders from the government and customary and religious networks to disseminate findings</w:t>
            </w:r>
            <w:bookmarkEnd w:id="701"/>
          </w:p>
        </w:tc>
        <w:tc>
          <w:tcPr>
            <w:tcW w:w="3240" w:type="dxa"/>
          </w:tcPr>
          <w:p w14:paraId="7A16CE2F" w14:textId="22A8904C" w:rsidR="00B30B11" w:rsidRPr="0053072D" w:rsidRDefault="00B30B11" w:rsidP="00A45E00">
            <w:pPr>
              <w:keepNext/>
              <w:keepLines/>
              <w:spacing w:after="80"/>
              <w:ind w:left="75"/>
              <w:outlineLvl w:val="1"/>
              <w:rPr>
                <w:rFonts w:eastAsia="Times New Roman" w:cs="Arial"/>
                <w:color w:val="000000"/>
                <w:sz w:val="20"/>
                <w:szCs w:val="20"/>
                <w:lang w:val="en-ID" w:eastAsia="en-ID"/>
              </w:rPr>
            </w:pPr>
            <w:bookmarkStart w:id="702" w:name="_Toc173318886"/>
            <w:r w:rsidRPr="0053072D">
              <w:rPr>
                <w:rFonts w:eastAsia="Times New Roman" w:cs="Arial"/>
                <w:color w:val="000000"/>
                <w:sz w:val="20"/>
                <w:szCs w:val="20"/>
                <w:lang w:val="en-ID" w:eastAsia="en-ID"/>
              </w:rPr>
              <w:t>Workshops across all Tanah Papua provinces</w:t>
            </w:r>
            <w:bookmarkEnd w:id="702"/>
          </w:p>
        </w:tc>
        <w:tc>
          <w:tcPr>
            <w:tcW w:w="3860" w:type="dxa"/>
          </w:tcPr>
          <w:p w14:paraId="57F0CF98"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703" w:name="_Toc173318887"/>
            <w:r w:rsidRPr="0053072D">
              <w:rPr>
                <w:rFonts w:eastAsia="Times New Roman" w:cs="Arial"/>
                <w:color w:val="000000"/>
                <w:sz w:val="20"/>
                <w:szCs w:val="20"/>
                <w:lang w:val="en-ID" w:eastAsia="en-ID"/>
              </w:rPr>
              <w:t>Three workshops were conducted in Jayapura, Merauke, and Manokwari to discuss insights and ways forward based on the provincial report.</w:t>
            </w:r>
            <w:bookmarkEnd w:id="703"/>
            <w:r w:rsidRPr="0053072D">
              <w:rPr>
                <w:rFonts w:eastAsia="Times New Roman" w:cs="Arial"/>
                <w:color w:val="000000"/>
                <w:sz w:val="20"/>
                <w:szCs w:val="20"/>
                <w:lang w:val="en-ID" w:eastAsia="en-ID"/>
              </w:rPr>
              <w:t xml:space="preserve"> </w:t>
            </w:r>
          </w:p>
          <w:p w14:paraId="4C58D10F" w14:textId="147B1720"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704" w:name="_Toc173318888"/>
            <w:r w:rsidRPr="0053072D">
              <w:rPr>
                <w:rFonts w:eastAsia="Times New Roman" w:cs="Arial"/>
                <w:color w:val="000000"/>
                <w:sz w:val="20"/>
                <w:szCs w:val="20"/>
                <w:lang w:val="en-ID" w:eastAsia="en-ID"/>
              </w:rPr>
              <w:t xml:space="preserve">Various representatives from </w:t>
            </w:r>
            <w:r w:rsidRPr="0053072D">
              <w:rPr>
                <w:rFonts w:eastAsia="Times New Roman" w:cs="Arial"/>
                <w:sz w:val="20"/>
                <w:szCs w:val="20"/>
                <w:lang w:val="en-ID" w:eastAsia="en-ID"/>
              </w:rPr>
              <w:t>government, academia, civil society organisations, and private sector participants</w:t>
            </w:r>
            <w:r w:rsidRPr="0053072D">
              <w:rPr>
                <w:rFonts w:eastAsia="Times New Roman" w:cs="Arial"/>
                <w:color w:val="000000"/>
                <w:sz w:val="20"/>
                <w:szCs w:val="20"/>
                <w:lang w:val="en-ID" w:eastAsia="en-ID"/>
              </w:rPr>
              <w:t xml:space="preserve"> attended, including the head of the House of Representatives in Papua province and the head of the People’s Consultative Assembly</w:t>
            </w:r>
            <w:r w:rsidRPr="0053072D">
              <w:rPr>
                <w:rFonts w:eastAsia="Times New Roman" w:cs="Arial"/>
                <w:i/>
                <w:iCs/>
                <w:color w:val="000000"/>
                <w:sz w:val="20"/>
                <w:szCs w:val="20"/>
                <w:lang w:val="en-ID" w:eastAsia="en-ID"/>
              </w:rPr>
              <w:t xml:space="preserve"> </w:t>
            </w:r>
            <w:r w:rsidRPr="0053072D">
              <w:rPr>
                <w:rFonts w:eastAsia="Times New Roman" w:cs="Arial"/>
                <w:color w:val="000000"/>
                <w:sz w:val="20"/>
                <w:szCs w:val="20"/>
                <w:lang w:val="en-ID" w:eastAsia="en-ID"/>
              </w:rPr>
              <w:t>in Papua province.</w:t>
            </w:r>
            <w:bookmarkEnd w:id="704"/>
          </w:p>
        </w:tc>
      </w:tr>
      <w:tr w:rsidR="00B30B11" w:rsidRPr="0053072D" w14:paraId="17F3D4FD" w14:textId="77777777" w:rsidTr="002D6DCE">
        <w:tc>
          <w:tcPr>
            <w:tcW w:w="2002" w:type="dxa"/>
            <w:vMerge/>
            <w:tcBorders>
              <w:bottom w:val="nil"/>
            </w:tcBorders>
          </w:tcPr>
          <w:p w14:paraId="23529407"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138" w:type="dxa"/>
            <w:vMerge/>
            <w:tcBorders>
              <w:bottom w:val="nil"/>
            </w:tcBorders>
          </w:tcPr>
          <w:p w14:paraId="32058FC9"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3330" w:type="dxa"/>
            <w:gridSpan w:val="2"/>
            <w:tcBorders>
              <w:bottom w:val="nil"/>
            </w:tcBorders>
          </w:tcPr>
          <w:p w14:paraId="1A69D130" w14:textId="1609CBAA"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705" w:name="_Toc173318889"/>
            <w:r w:rsidRPr="0053072D">
              <w:rPr>
                <w:rFonts w:eastAsia="Times New Roman" w:cs="Aptos"/>
                <w:color w:val="000000"/>
                <w:sz w:val="20"/>
                <w:szCs w:val="20"/>
                <w:lang w:val="en-ID" w:eastAsia="en-ID"/>
              </w:rPr>
              <w:t>Follow up and observe responses from stakeholders</w:t>
            </w:r>
            <w:bookmarkEnd w:id="705"/>
          </w:p>
        </w:tc>
        <w:tc>
          <w:tcPr>
            <w:tcW w:w="3240" w:type="dxa"/>
            <w:tcBorders>
              <w:bottom w:val="nil"/>
            </w:tcBorders>
          </w:tcPr>
          <w:p w14:paraId="688AD6A2" w14:textId="77777777" w:rsidR="00B30B11" w:rsidRPr="0053072D" w:rsidRDefault="00B30B11" w:rsidP="00A45E00">
            <w:pPr>
              <w:keepNext/>
              <w:keepLines/>
              <w:spacing w:after="80"/>
              <w:ind w:left="75"/>
              <w:outlineLvl w:val="1"/>
              <w:rPr>
                <w:rFonts w:eastAsia="Times New Roman" w:cs="Arial"/>
                <w:color w:val="000000"/>
                <w:sz w:val="20"/>
                <w:szCs w:val="20"/>
                <w:lang w:val="en-ID" w:eastAsia="en-ID"/>
              </w:rPr>
            </w:pPr>
            <w:bookmarkStart w:id="706" w:name="_Toc173318890"/>
            <w:r w:rsidRPr="0053072D">
              <w:rPr>
                <w:rFonts w:eastAsia="Times New Roman" w:cs="Arial"/>
                <w:color w:val="000000"/>
                <w:sz w:val="20"/>
                <w:szCs w:val="20"/>
                <w:lang w:val="en-ID" w:eastAsia="en-ID"/>
              </w:rPr>
              <w:t>Follow-up plans collected from stakeholders</w:t>
            </w:r>
            <w:bookmarkEnd w:id="706"/>
            <w:r w:rsidRPr="0053072D">
              <w:rPr>
                <w:rFonts w:eastAsia="Times New Roman" w:cs="Arial"/>
                <w:color w:val="000000"/>
                <w:sz w:val="20"/>
                <w:szCs w:val="20"/>
                <w:lang w:val="en-ID" w:eastAsia="en-ID"/>
              </w:rPr>
              <w:t xml:space="preserve"> </w:t>
            </w:r>
          </w:p>
        </w:tc>
        <w:tc>
          <w:tcPr>
            <w:tcW w:w="3860" w:type="dxa"/>
            <w:tcBorders>
              <w:bottom w:val="nil"/>
            </w:tcBorders>
          </w:tcPr>
          <w:p w14:paraId="3158E789" w14:textId="139F490E"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707" w:name="_Toc173318891"/>
            <w:r w:rsidRPr="0053072D">
              <w:rPr>
                <w:rFonts w:eastAsia="Times New Roman" w:cs="Arial"/>
                <w:color w:val="000000"/>
                <w:sz w:val="20"/>
                <w:szCs w:val="20"/>
                <w:lang w:val="en-ID" w:eastAsia="en-ID"/>
              </w:rPr>
              <w:t xml:space="preserve">Ongoing facilitation between market actors to take up results from the </w:t>
            </w:r>
            <w:r w:rsidRPr="0053072D">
              <w:rPr>
                <w:rFonts w:eastAsia="Times New Roman" w:cs="Arial"/>
                <w:color w:val="000000"/>
                <w:sz w:val="20"/>
                <w:szCs w:val="20"/>
                <w:lang w:val="en-ID" w:eastAsia="en-ID"/>
              </w:rPr>
              <w:lastRenderedPageBreak/>
              <w:t>workshop on a selected commodity as a trial.</w:t>
            </w:r>
            <w:bookmarkEnd w:id="707"/>
          </w:p>
          <w:p w14:paraId="3AB72EB6" w14:textId="34B9371B"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708" w:name="_Toc173318892"/>
            <w:r w:rsidRPr="0053072D">
              <w:rPr>
                <w:rFonts w:eastAsia="Times New Roman" w:cs="Arial"/>
                <w:color w:val="000000"/>
                <w:sz w:val="20"/>
                <w:szCs w:val="20"/>
                <w:lang w:val="en-ID" w:eastAsia="en-ID"/>
              </w:rPr>
              <w:t>Each province identified a potential collaboration model involving government, civil society organisations, and agribusinesses for specific commodities that have high indigenous Papuan involvement in their respective provinces.</w:t>
            </w:r>
            <w:bookmarkEnd w:id="708"/>
          </w:p>
          <w:p w14:paraId="2087E1F2" w14:textId="4365FBE1"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709" w:name="_Toc173318893"/>
            <w:r w:rsidRPr="0053072D">
              <w:rPr>
                <w:rFonts w:eastAsia="Times New Roman" w:cs="Arial"/>
                <w:color w:val="000000"/>
                <w:sz w:val="20"/>
                <w:szCs w:val="20"/>
                <w:lang w:val="en-ID" w:eastAsia="en-ID"/>
              </w:rPr>
              <w:t>The participants will follow up accordingly; however, implementation might be delayed due to ongoing preparation for the head of district elections.</w:t>
            </w:r>
            <w:bookmarkEnd w:id="709"/>
          </w:p>
        </w:tc>
      </w:tr>
      <w:tr w:rsidR="00B30B11" w:rsidRPr="0053072D" w14:paraId="7C9CF1D3" w14:textId="77777777" w:rsidTr="002D6DCE">
        <w:tc>
          <w:tcPr>
            <w:tcW w:w="14570" w:type="dxa"/>
            <w:gridSpan w:val="6"/>
            <w:tcBorders>
              <w:top w:val="nil"/>
              <w:bottom w:val="nil"/>
            </w:tcBorders>
            <w:shd w:val="clear" w:color="auto" w:fill="C7F7FD" w:themeFill="accent1" w:themeFillTint="33"/>
          </w:tcPr>
          <w:p w14:paraId="003E99BF" w14:textId="1AEE2D78" w:rsidR="00B30B11" w:rsidRPr="002D6DCE" w:rsidRDefault="00B30B11" w:rsidP="00EE453C">
            <w:pPr>
              <w:keepNext/>
              <w:keepLines/>
              <w:spacing w:after="120"/>
              <w:ind w:left="11"/>
              <w:jc w:val="center"/>
              <w:outlineLvl w:val="1"/>
              <w:rPr>
                <w:rFonts w:eastAsia="Times New Roman" w:cs="Arial"/>
                <w:color w:val="272A5F"/>
                <w:sz w:val="20"/>
                <w:szCs w:val="20"/>
                <w:lang w:val="en-ID" w:eastAsia="en-ID"/>
              </w:rPr>
            </w:pPr>
            <w:bookmarkStart w:id="710" w:name="_Toc173318894"/>
            <w:r w:rsidRPr="002D6DCE">
              <w:rPr>
                <w:rFonts w:eastAsia="Times New Roman" w:cs="Aptos"/>
                <w:b/>
                <w:color w:val="272A5F"/>
                <w:sz w:val="20"/>
                <w:szCs w:val="20"/>
                <w:lang w:val="en-ID" w:eastAsia="en-ID"/>
              </w:rPr>
              <w:lastRenderedPageBreak/>
              <w:t>Vegetable Sector</w:t>
            </w:r>
            <w:bookmarkEnd w:id="710"/>
          </w:p>
        </w:tc>
      </w:tr>
      <w:tr w:rsidR="00B30B11" w:rsidRPr="0053072D" w14:paraId="43C4224B" w14:textId="77777777" w:rsidTr="002D6DCE">
        <w:tc>
          <w:tcPr>
            <w:tcW w:w="2002" w:type="dxa"/>
            <w:vMerge w:val="restart"/>
            <w:tcBorders>
              <w:top w:val="nil"/>
            </w:tcBorders>
          </w:tcPr>
          <w:p w14:paraId="2BF629C2" w14:textId="5B3105AB"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711" w:name="_Toc173318895"/>
            <w:r w:rsidRPr="0053072D">
              <w:rPr>
                <w:rFonts w:eastAsia="Times New Roman" w:cs="Aptos"/>
                <w:color w:val="000000"/>
                <w:sz w:val="20"/>
                <w:szCs w:val="20"/>
                <w:lang w:val="en-ID" w:eastAsia="en-ID"/>
              </w:rPr>
              <w:t>Strategies towards ensuring greater sustainability</w:t>
            </w:r>
            <w:bookmarkEnd w:id="711"/>
          </w:p>
        </w:tc>
        <w:tc>
          <w:tcPr>
            <w:tcW w:w="2138" w:type="dxa"/>
            <w:vMerge w:val="restart"/>
            <w:tcBorders>
              <w:top w:val="nil"/>
            </w:tcBorders>
          </w:tcPr>
          <w:p w14:paraId="1DACD451" w14:textId="05CB9079"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712" w:name="_Toc173318896"/>
            <w:r w:rsidRPr="0053072D">
              <w:rPr>
                <w:rFonts w:eastAsia="Times New Roman" w:cs="Aptos"/>
                <w:color w:val="000000"/>
                <w:sz w:val="20"/>
                <w:szCs w:val="20"/>
                <w:lang w:val="en-ID" w:eastAsia="en-ID"/>
              </w:rPr>
              <w:t>Assisting vegetable seed partners to succeed in marketing their quality products to indigenous farmers</w:t>
            </w:r>
            <w:bookmarkEnd w:id="712"/>
          </w:p>
        </w:tc>
        <w:tc>
          <w:tcPr>
            <w:tcW w:w="6570" w:type="dxa"/>
            <w:gridSpan w:val="3"/>
            <w:tcBorders>
              <w:top w:val="nil"/>
            </w:tcBorders>
          </w:tcPr>
          <w:p w14:paraId="0A59DCEE" w14:textId="744965D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713" w:name="_Toc173318897"/>
            <w:r w:rsidRPr="0053072D">
              <w:rPr>
                <w:rFonts w:eastAsia="Times New Roman" w:cs="Arial"/>
                <w:color w:val="000000"/>
                <w:sz w:val="20"/>
                <w:szCs w:val="20"/>
                <w:lang w:val="en-ID" w:eastAsia="en-ID"/>
              </w:rPr>
              <w:t>Seed Access across Tanah Papua</w:t>
            </w:r>
            <w:bookmarkEnd w:id="713"/>
          </w:p>
        </w:tc>
        <w:tc>
          <w:tcPr>
            <w:tcW w:w="3860" w:type="dxa"/>
            <w:tcBorders>
              <w:top w:val="nil"/>
            </w:tcBorders>
          </w:tcPr>
          <w:p w14:paraId="347D3E19"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r>
      <w:tr w:rsidR="00B30B11" w:rsidRPr="0053072D" w14:paraId="3876E931" w14:textId="77777777" w:rsidTr="00A45E00">
        <w:trPr>
          <w:trHeight w:val="422"/>
        </w:trPr>
        <w:tc>
          <w:tcPr>
            <w:tcW w:w="2002" w:type="dxa"/>
            <w:vMerge/>
          </w:tcPr>
          <w:p w14:paraId="56646F96"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138" w:type="dxa"/>
            <w:vMerge/>
          </w:tcPr>
          <w:p w14:paraId="6619AD40"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3330" w:type="dxa"/>
            <w:gridSpan w:val="2"/>
          </w:tcPr>
          <w:p w14:paraId="02184F57" w14:textId="56874E2A"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714" w:name="_Toc173318898"/>
            <w:r w:rsidRPr="0053072D">
              <w:rPr>
                <w:rFonts w:eastAsia="Times New Roman" w:cs="Aptos"/>
                <w:color w:val="000000"/>
                <w:sz w:val="20"/>
                <w:szCs w:val="20"/>
                <w:lang w:val="en-ID" w:eastAsia="en-ID"/>
              </w:rPr>
              <w:t>Link partners for locally-led development and indigenous-inclusive promotion activities.</w:t>
            </w:r>
            <w:bookmarkEnd w:id="714"/>
          </w:p>
        </w:tc>
        <w:tc>
          <w:tcPr>
            <w:tcW w:w="3240" w:type="dxa"/>
          </w:tcPr>
          <w:p w14:paraId="79A85CF9" w14:textId="30F6582C" w:rsidR="00B30B11" w:rsidRPr="0053072D" w:rsidRDefault="00B30B11" w:rsidP="00A45E00">
            <w:pPr>
              <w:keepNext/>
              <w:keepLines/>
              <w:spacing w:after="80"/>
              <w:ind w:left="75"/>
              <w:outlineLvl w:val="1"/>
              <w:rPr>
                <w:rFonts w:eastAsia="Times New Roman" w:cs="Arial"/>
                <w:color w:val="000000"/>
                <w:sz w:val="20"/>
                <w:szCs w:val="20"/>
                <w:lang w:val="en-ID" w:eastAsia="en-ID"/>
              </w:rPr>
            </w:pPr>
            <w:bookmarkStart w:id="715" w:name="_Toc173318899"/>
            <w:r w:rsidRPr="0053072D">
              <w:rPr>
                <w:rFonts w:eastAsia="Times New Roman" w:cs="Arial"/>
                <w:color w:val="000000"/>
                <w:sz w:val="20"/>
                <w:szCs w:val="20"/>
                <w:lang w:val="en-ID" w:eastAsia="en-ID"/>
              </w:rPr>
              <w:t>A list of linkages between seed partners and local institutions/agencies</w:t>
            </w:r>
            <w:bookmarkEnd w:id="715"/>
          </w:p>
          <w:p w14:paraId="4B03A848" w14:textId="7F33E260" w:rsidR="00B30B11" w:rsidRPr="0053072D" w:rsidRDefault="00B30B11" w:rsidP="00A45E00">
            <w:pPr>
              <w:keepNext/>
              <w:keepLines/>
              <w:spacing w:after="80"/>
              <w:ind w:left="75"/>
              <w:outlineLvl w:val="1"/>
              <w:rPr>
                <w:rFonts w:eastAsia="Times New Roman" w:cs="Arial"/>
                <w:color w:val="000000"/>
                <w:sz w:val="20"/>
                <w:szCs w:val="20"/>
                <w:lang w:val="en-ID" w:eastAsia="en-ID"/>
              </w:rPr>
            </w:pPr>
            <w:bookmarkStart w:id="716" w:name="_Toc173318900"/>
            <w:r w:rsidRPr="0053072D">
              <w:rPr>
                <w:rFonts w:eastAsia="Times New Roman" w:cs="Arial"/>
                <w:color w:val="000000"/>
                <w:sz w:val="20"/>
                <w:szCs w:val="20"/>
                <w:lang w:val="en-ID" w:eastAsia="en-ID"/>
              </w:rPr>
              <w:t>Minutes of the agreements on promoting quality seed and providing GAP assistance to indigenous farmers</w:t>
            </w:r>
            <w:bookmarkEnd w:id="716"/>
          </w:p>
        </w:tc>
        <w:tc>
          <w:tcPr>
            <w:tcW w:w="3860" w:type="dxa"/>
          </w:tcPr>
          <w:p w14:paraId="665BAB3E" w14:textId="376F23AF" w:rsidR="00B30B11" w:rsidRPr="0053072D" w:rsidRDefault="00B30B11" w:rsidP="00EE453C">
            <w:pPr>
              <w:keepNext/>
              <w:keepLines/>
              <w:spacing w:before="240" w:after="80"/>
              <w:outlineLvl w:val="1"/>
              <w:rPr>
                <w:rFonts w:eastAsia="Times New Roman" w:cs="Arial"/>
                <w:color w:val="000000"/>
                <w:sz w:val="20"/>
                <w:szCs w:val="20"/>
                <w:lang w:val="en-ID" w:eastAsia="en-ID"/>
              </w:rPr>
            </w:pPr>
            <w:bookmarkStart w:id="717" w:name="_Toc173318901"/>
            <w:r w:rsidRPr="0053072D">
              <w:rPr>
                <w:rFonts w:eastAsia="Times New Roman" w:cs="Arial"/>
                <w:color w:val="000000"/>
                <w:sz w:val="20"/>
                <w:szCs w:val="20"/>
                <w:lang w:val="en-ID" w:eastAsia="en-ID"/>
              </w:rPr>
              <w:t>PRISMA facilitated a public-private partnership between PT Agrosid and the  Manokwari District Community and Village Empowerment Agency (DPMK), formalised by signing the minutes as an agreement between both parties.</w:t>
            </w:r>
            <w:bookmarkEnd w:id="717"/>
          </w:p>
          <w:p w14:paraId="65C5689A" w14:textId="1D7D1DAD" w:rsidR="00B30B11" w:rsidRPr="0053072D" w:rsidRDefault="00B30B11" w:rsidP="00EE453C">
            <w:pPr>
              <w:keepNext/>
              <w:keepLines/>
              <w:spacing w:before="240" w:after="80"/>
              <w:outlineLvl w:val="1"/>
              <w:rPr>
                <w:rFonts w:eastAsia="Times New Roman" w:cs="Arial"/>
                <w:color w:val="000000"/>
                <w:sz w:val="20"/>
                <w:szCs w:val="20"/>
                <w:lang w:val="en-ID" w:eastAsia="en-ID"/>
              </w:rPr>
            </w:pPr>
            <w:bookmarkStart w:id="718" w:name="_Toc173318902"/>
            <w:r w:rsidRPr="0053072D">
              <w:rPr>
                <w:rFonts w:eastAsia="Times New Roman" w:cs="Arial"/>
                <w:color w:val="000000"/>
                <w:sz w:val="20"/>
                <w:szCs w:val="20"/>
                <w:lang w:val="en-ID" w:eastAsia="en-ID"/>
              </w:rPr>
              <w:t>The multiparty collaboration aims to enhance indigenous farmers' access to quality seeds, GAP assistance, and off-taking services in Manokwari district through 2 government aid programs: TEKAD and the Village Fund (</w:t>
            </w:r>
            <w:r w:rsidRPr="0053072D">
              <w:rPr>
                <w:rFonts w:eastAsia="Times New Roman" w:cs="Arial"/>
                <w:i/>
                <w:iCs/>
                <w:color w:val="000000"/>
                <w:sz w:val="20"/>
                <w:szCs w:val="20"/>
                <w:lang w:val="en-ID" w:eastAsia="en-ID"/>
              </w:rPr>
              <w:t>Dana Desa</w:t>
            </w:r>
            <w:r w:rsidRPr="0053072D">
              <w:rPr>
                <w:rFonts w:eastAsia="Times New Roman" w:cs="Arial"/>
                <w:color w:val="000000"/>
                <w:sz w:val="20"/>
                <w:szCs w:val="20"/>
                <w:lang w:val="en-ID" w:eastAsia="en-ID"/>
              </w:rPr>
              <w:t>).</w:t>
            </w:r>
            <w:bookmarkEnd w:id="718"/>
          </w:p>
          <w:p w14:paraId="614AB82E" w14:textId="2662784D" w:rsidR="00B30B11" w:rsidRPr="0053072D" w:rsidRDefault="00B30B11" w:rsidP="00EE453C">
            <w:pPr>
              <w:keepNext/>
              <w:keepLines/>
              <w:spacing w:before="240" w:after="80"/>
              <w:outlineLvl w:val="1"/>
              <w:rPr>
                <w:rFonts w:eastAsia="Times New Roman" w:cs="Arial"/>
                <w:color w:val="000000"/>
                <w:sz w:val="20"/>
                <w:szCs w:val="20"/>
                <w:lang w:val="en-ID" w:eastAsia="en-ID"/>
              </w:rPr>
            </w:pPr>
            <w:bookmarkStart w:id="719" w:name="_Toc173318903"/>
            <w:r w:rsidRPr="0053072D">
              <w:rPr>
                <w:rFonts w:eastAsia="Times New Roman" w:cs="Arial"/>
                <w:color w:val="000000"/>
                <w:sz w:val="20"/>
                <w:szCs w:val="20"/>
                <w:lang w:val="en-ID" w:eastAsia="en-ID"/>
              </w:rPr>
              <w:t xml:space="preserve">The collaboration includes establishing demo plots and organising farmers' meetings to promote quality seeds and </w:t>
            </w:r>
            <w:r w:rsidRPr="0053072D">
              <w:rPr>
                <w:rFonts w:eastAsia="Times New Roman" w:cs="Arial"/>
                <w:color w:val="000000"/>
                <w:sz w:val="20"/>
                <w:szCs w:val="20"/>
                <w:lang w:val="en-ID" w:eastAsia="en-ID"/>
              </w:rPr>
              <w:lastRenderedPageBreak/>
              <w:t>provide GAP assistance to indigenous farmers in Kwau village as a pilot.</w:t>
            </w:r>
            <w:bookmarkEnd w:id="719"/>
          </w:p>
          <w:p w14:paraId="0A88AD8E" w14:textId="24DD47E4" w:rsidR="00B30B11" w:rsidRPr="0053072D" w:rsidRDefault="00B30B11" w:rsidP="00EE453C">
            <w:pPr>
              <w:keepNext/>
              <w:keepLines/>
              <w:spacing w:after="80"/>
              <w:outlineLvl w:val="1"/>
              <w:rPr>
                <w:rFonts w:eastAsia="Times New Roman" w:cs="Arial"/>
                <w:color w:val="000000"/>
                <w:sz w:val="20"/>
                <w:szCs w:val="20"/>
                <w:lang w:val="en-ID" w:eastAsia="en-ID"/>
              </w:rPr>
            </w:pPr>
            <w:bookmarkStart w:id="720" w:name="_Toc173318904"/>
            <w:r w:rsidRPr="0053072D">
              <w:rPr>
                <w:rFonts w:eastAsia="Times New Roman" w:cs="Arial"/>
                <w:color w:val="000000"/>
                <w:sz w:val="20"/>
                <w:szCs w:val="20"/>
                <w:lang w:val="en-ID" w:eastAsia="en-ID"/>
              </w:rPr>
              <w:t>Moving forward, PT Agrosid and  Manokwari DPMK have agreed to continue this thriving collaboration by replicating similar activities in other Indigenous villages, demonstrating their long-term commitment to the betterment of the community.</w:t>
            </w:r>
            <w:bookmarkEnd w:id="720"/>
          </w:p>
        </w:tc>
      </w:tr>
      <w:tr w:rsidR="00B30B11" w:rsidRPr="0053072D" w14:paraId="2121C40A" w14:textId="77777777" w:rsidTr="00A45E00">
        <w:tc>
          <w:tcPr>
            <w:tcW w:w="2002" w:type="dxa"/>
          </w:tcPr>
          <w:p w14:paraId="44DCD704" w14:textId="4B8C885B"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721" w:name="_Toc173318905"/>
            <w:r w:rsidRPr="0053072D">
              <w:rPr>
                <w:rFonts w:eastAsia="Times New Roman" w:cs="Aptos"/>
                <w:color w:val="000000"/>
                <w:sz w:val="20"/>
                <w:szCs w:val="20"/>
                <w:lang w:val="en-ID" w:eastAsia="en-ID"/>
              </w:rPr>
              <w:lastRenderedPageBreak/>
              <w:t>Knowledge harvesting and dissemination</w:t>
            </w:r>
            <w:bookmarkEnd w:id="721"/>
          </w:p>
        </w:tc>
        <w:tc>
          <w:tcPr>
            <w:tcW w:w="2138" w:type="dxa"/>
          </w:tcPr>
          <w:p w14:paraId="6731829A" w14:textId="69BB1982"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722" w:name="_Toc173318906"/>
            <w:r w:rsidRPr="0053072D">
              <w:rPr>
                <w:rFonts w:eastAsia="Times New Roman" w:cs="Aptos"/>
                <w:color w:val="000000"/>
                <w:sz w:val="20"/>
                <w:szCs w:val="20"/>
                <w:lang w:val="en-ID" w:eastAsia="en-ID"/>
              </w:rPr>
              <w:t>Embedding innovative, sustainable, environmentally friendly soil fertility management models</w:t>
            </w:r>
            <w:bookmarkEnd w:id="722"/>
          </w:p>
        </w:tc>
        <w:tc>
          <w:tcPr>
            <w:tcW w:w="3330" w:type="dxa"/>
            <w:gridSpan w:val="2"/>
          </w:tcPr>
          <w:p w14:paraId="716C3917" w14:textId="23F7250B"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723" w:name="_Toc173318907"/>
            <w:r w:rsidRPr="0053072D">
              <w:rPr>
                <w:rFonts w:eastAsia="Times New Roman" w:cs="Aptos"/>
                <w:color w:val="000000"/>
                <w:sz w:val="20"/>
                <w:szCs w:val="20"/>
                <w:lang w:val="en-ID" w:eastAsia="en-ID"/>
              </w:rPr>
              <w:t>Institutionalise the learnings in local universities/agencies and offer business development services.</w:t>
            </w:r>
            <w:bookmarkEnd w:id="723"/>
          </w:p>
        </w:tc>
        <w:tc>
          <w:tcPr>
            <w:tcW w:w="3240" w:type="dxa"/>
          </w:tcPr>
          <w:p w14:paraId="5FD71DD1" w14:textId="55A6724A" w:rsidR="00B30B11" w:rsidRPr="0053072D" w:rsidRDefault="00B30B11" w:rsidP="00A45E00">
            <w:pPr>
              <w:keepNext/>
              <w:keepLines/>
              <w:spacing w:after="80"/>
              <w:ind w:left="75"/>
              <w:outlineLvl w:val="1"/>
              <w:rPr>
                <w:rFonts w:eastAsia="Times New Roman" w:cs="Aptos"/>
                <w:color w:val="000000"/>
                <w:sz w:val="20"/>
                <w:szCs w:val="20"/>
                <w:lang w:val="en-ID" w:eastAsia="en-ID"/>
              </w:rPr>
            </w:pPr>
            <w:bookmarkStart w:id="724" w:name="_Toc173318908"/>
            <w:r w:rsidRPr="0053072D">
              <w:rPr>
                <w:rFonts w:eastAsia="Times New Roman" w:cs="Arial"/>
                <w:color w:val="000000"/>
                <w:sz w:val="20"/>
                <w:szCs w:val="20"/>
                <w:lang w:val="en-ID" w:eastAsia="en-ID"/>
              </w:rPr>
              <w:t>Market assessment reports for 4 new market expansion areas</w:t>
            </w:r>
            <w:bookmarkEnd w:id="724"/>
          </w:p>
          <w:p w14:paraId="5A9FBB82" w14:textId="77777777" w:rsidR="00B30B11" w:rsidRPr="0053072D" w:rsidRDefault="00B30B11" w:rsidP="00A45E00">
            <w:pPr>
              <w:keepNext/>
              <w:keepLines/>
              <w:spacing w:after="80"/>
              <w:ind w:left="75"/>
              <w:outlineLvl w:val="1"/>
              <w:rPr>
                <w:rFonts w:eastAsia="Times New Roman" w:cs="Aptos"/>
                <w:color w:val="000000"/>
                <w:sz w:val="20"/>
                <w:szCs w:val="20"/>
                <w:lang w:val="en-ID" w:eastAsia="en-ID"/>
              </w:rPr>
            </w:pPr>
            <w:bookmarkStart w:id="725" w:name="_Toc173318909"/>
            <w:r w:rsidRPr="0053072D">
              <w:rPr>
                <w:rFonts w:eastAsia="Times New Roman" w:cs="Arial"/>
                <w:color w:val="000000"/>
                <w:sz w:val="20"/>
                <w:szCs w:val="20"/>
                <w:lang w:val="en-ID" w:eastAsia="en-ID"/>
              </w:rPr>
              <w:t>A list of potential new distributors</w:t>
            </w:r>
            <w:bookmarkEnd w:id="725"/>
            <w:r w:rsidRPr="0053072D">
              <w:rPr>
                <w:rFonts w:eastAsia="Times New Roman" w:cs="Arial"/>
                <w:color w:val="000000"/>
                <w:sz w:val="20"/>
                <w:szCs w:val="20"/>
                <w:lang w:val="en-ID" w:eastAsia="en-ID"/>
              </w:rPr>
              <w:t xml:space="preserve"> </w:t>
            </w:r>
          </w:p>
        </w:tc>
        <w:tc>
          <w:tcPr>
            <w:tcW w:w="3860" w:type="dxa"/>
          </w:tcPr>
          <w:p w14:paraId="3CE9493C" w14:textId="47DE58CD" w:rsidR="00B30B11" w:rsidRPr="0053072D" w:rsidRDefault="00B30B11" w:rsidP="00EE453C">
            <w:pPr>
              <w:keepNext/>
              <w:keepLines/>
              <w:spacing w:after="80"/>
              <w:outlineLvl w:val="1"/>
              <w:rPr>
                <w:rFonts w:eastAsia="Times New Roman" w:cs="Arial"/>
                <w:color w:val="000000"/>
                <w:sz w:val="20"/>
                <w:szCs w:val="20"/>
                <w:lang w:val="en-ID" w:eastAsia="en-ID"/>
              </w:rPr>
            </w:pPr>
            <w:bookmarkStart w:id="726" w:name="_Toc173318910"/>
            <w:r w:rsidRPr="0053072D">
              <w:rPr>
                <w:rFonts w:eastAsia="Times New Roman" w:cs="Arial"/>
                <w:color w:val="000000"/>
                <w:sz w:val="20"/>
                <w:szCs w:val="20"/>
                <w:lang w:val="en-ID" w:eastAsia="en-ID"/>
              </w:rPr>
              <w:t>Due to budget concerns, the market assessment was only completed for one area.</w:t>
            </w:r>
            <w:bookmarkEnd w:id="726"/>
          </w:p>
          <w:p w14:paraId="5CAB68EC" w14:textId="64342E7E" w:rsidR="00B30B11" w:rsidRPr="0053072D" w:rsidRDefault="00B30B11" w:rsidP="00EE453C">
            <w:pPr>
              <w:keepNext/>
              <w:keepLines/>
              <w:spacing w:before="240" w:after="80"/>
              <w:outlineLvl w:val="1"/>
              <w:rPr>
                <w:rFonts w:eastAsia="Times New Roman" w:cs="Arial"/>
                <w:color w:val="000000"/>
                <w:sz w:val="20"/>
                <w:szCs w:val="20"/>
                <w:lang w:val="en-ID" w:eastAsia="en-ID"/>
              </w:rPr>
            </w:pPr>
            <w:bookmarkStart w:id="727" w:name="_Toc173318911"/>
            <w:r w:rsidRPr="0053072D">
              <w:rPr>
                <w:rFonts w:eastAsia="Times New Roman" w:cs="Arial"/>
                <w:color w:val="000000"/>
                <w:sz w:val="20"/>
                <w:szCs w:val="20"/>
                <w:lang w:val="en-ID" w:eastAsia="en-ID"/>
              </w:rPr>
              <w:t>PRISMA has linked Ottow Geissler University in Jayapura to PRISMA’s seed partners and supported the university in showcasing its business development and consultancy services.</w:t>
            </w:r>
            <w:bookmarkEnd w:id="727"/>
          </w:p>
          <w:p w14:paraId="36E515AE" w14:textId="05C4B688" w:rsidR="00B30B11" w:rsidRPr="0053072D" w:rsidRDefault="00B30B11" w:rsidP="00EE453C">
            <w:pPr>
              <w:keepNext/>
              <w:keepLines/>
              <w:spacing w:before="240" w:after="80"/>
              <w:outlineLvl w:val="1"/>
              <w:rPr>
                <w:rFonts w:eastAsia="Times New Roman" w:cs="Arial"/>
                <w:color w:val="000000"/>
                <w:sz w:val="20"/>
                <w:szCs w:val="20"/>
                <w:lang w:val="en-ID" w:eastAsia="en-ID"/>
              </w:rPr>
            </w:pPr>
            <w:bookmarkStart w:id="728" w:name="_Toc173318912"/>
            <w:r w:rsidRPr="0053072D">
              <w:rPr>
                <w:rFonts w:eastAsia="Times New Roman" w:cs="Arial"/>
                <w:color w:val="000000"/>
                <w:sz w:val="20"/>
                <w:szCs w:val="20"/>
                <w:lang w:val="en-ID" w:eastAsia="en-ID"/>
              </w:rPr>
              <w:t>Ottow Geissler University, with PRISMA support, conducted a market survey in South Sorong, identifying 3 agri kiosks as potential distributors.</w:t>
            </w:r>
            <w:bookmarkEnd w:id="728"/>
          </w:p>
          <w:p w14:paraId="0D7D75ED" w14:textId="5A774DCD" w:rsidR="00B30B11" w:rsidRPr="0053072D" w:rsidRDefault="00B30B11" w:rsidP="00EE453C">
            <w:pPr>
              <w:keepNext/>
              <w:keepLines/>
              <w:spacing w:before="240" w:after="80"/>
              <w:outlineLvl w:val="1"/>
              <w:rPr>
                <w:rFonts w:eastAsia="Times New Roman" w:cs="Arial"/>
                <w:color w:val="000000"/>
                <w:sz w:val="20"/>
                <w:szCs w:val="20"/>
                <w:lang w:val="en-ID" w:eastAsia="en-ID"/>
              </w:rPr>
            </w:pPr>
            <w:bookmarkStart w:id="729" w:name="_Toc173318913"/>
            <w:r w:rsidRPr="0053072D">
              <w:rPr>
                <w:rFonts w:eastAsia="Times New Roman" w:cs="Arial"/>
                <w:color w:val="000000"/>
                <w:sz w:val="20"/>
                <w:szCs w:val="20"/>
                <w:lang w:val="en-ID" w:eastAsia="en-ID"/>
              </w:rPr>
              <w:t>The university presented the market survey report to PRISMA’s partners and received a positive response from seed partner, PT Agrosid, which has expressed interest in exploring collaboration with the university to expand its commercial seed distribution and GAP assistance to indigenous farmers.</w:t>
            </w:r>
            <w:bookmarkEnd w:id="729"/>
          </w:p>
        </w:tc>
      </w:tr>
      <w:tr w:rsidR="00B30B11" w:rsidRPr="0053072D" w14:paraId="581FDB2A" w14:textId="77777777" w:rsidTr="00A45E00">
        <w:tc>
          <w:tcPr>
            <w:tcW w:w="2002" w:type="dxa"/>
            <w:vMerge w:val="restart"/>
          </w:tcPr>
          <w:p w14:paraId="276A7D4A" w14:textId="753F8318" w:rsidR="00B30B11" w:rsidRPr="0053072D" w:rsidRDefault="00B30B11" w:rsidP="00EE453C">
            <w:pPr>
              <w:keepNext/>
              <w:keepLines/>
              <w:spacing w:after="120" w:line="276" w:lineRule="auto"/>
              <w:ind w:left="11"/>
              <w:outlineLvl w:val="1"/>
              <w:rPr>
                <w:rFonts w:eastAsia="Times New Roman" w:cs="Aptos"/>
                <w:color w:val="000000"/>
                <w:sz w:val="20"/>
                <w:szCs w:val="20"/>
                <w:lang w:val="en-ID" w:eastAsia="en-ID"/>
              </w:rPr>
            </w:pPr>
            <w:bookmarkStart w:id="730" w:name="_Toc173318914"/>
            <w:r w:rsidRPr="0053072D">
              <w:rPr>
                <w:rFonts w:eastAsia="Times New Roman" w:cs="Aptos"/>
                <w:color w:val="000000"/>
                <w:sz w:val="20"/>
                <w:szCs w:val="20"/>
                <w:lang w:val="en-ID" w:eastAsia="en-ID"/>
              </w:rPr>
              <w:t>Strategies towards ensuring greater sustainability</w:t>
            </w:r>
            <w:bookmarkEnd w:id="730"/>
          </w:p>
        </w:tc>
        <w:tc>
          <w:tcPr>
            <w:tcW w:w="2138" w:type="dxa"/>
          </w:tcPr>
          <w:p w14:paraId="3B554890" w14:textId="4F056848"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731" w:name="_Toc173318915"/>
            <w:r w:rsidRPr="0053072D">
              <w:rPr>
                <w:rFonts w:eastAsia="Times New Roman" w:cs="Aptos"/>
                <w:color w:val="000000"/>
                <w:sz w:val="20"/>
                <w:szCs w:val="20"/>
                <w:lang w:val="en-ID" w:eastAsia="en-ID"/>
              </w:rPr>
              <w:t>Engaging local off-takers to enhance local produce absorption</w:t>
            </w:r>
            <w:bookmarkEnd w:id="731"/>
          </w:p>
        </w:tc>
        <w:tc>
          <w:tcPr>
            <w:tcW w:w="10430" w:type="dxa"/>
            <w:gridSpan w:val="4"/>
          </w:tcPr>
          <w:p w14:paraId="51CD9D7E" w14:textId="03221F6D" w:rsidR="00B30B11" w:rsidRPr="0053072D" w:rsidRDefault="00B30B11" w:rsidP="00A45E00">
            <w:pPr>
              <w:keepNext/>
              <w:keepLines/>
              <w:spacing w:after="80"/>
              <w:ind w:left="75"/>
              <w:outlineLvl w:val="1"/>
              <w:rPr>
                <w:rFonts w:eastAsia="Times New Roman" w:cs="Arial"/>
                <w:color w:val="000000"/>
                <w:sz w:val="20"/>
                <w:szCs w:val="20"/>
                <w:lang w:val="en-ID" w:eastAsia="en-ID"/>
              </w:rPr>
            </w:pPr>
            <w:bookmarkStart w:id="732" w:name="_Toc173318916"/>
            <w:r w:rsidRPr="0053072D">
              <w:rPr>
                <w:rFonts w:eastAsia="Times New Roman" w:cs="Arial"/>
                <w:color w:val="000000"/>
                <w:sz w:val="20"/>
                <w:szCs w:val="20"/>
                <w:lang w:val="en-ID" w:eastAsia="en-ID"/>
              </w:rPr>
              <w:t>Supply Chain Enhancement</w:t>
            </w:r>
            <w:bookmarkEnd w:id="732"/>
          </w:p>
        </w:tc>
      </w:tr>
      <w:tr w:rsidR="00B30B11" w:rsidRPr="0053072D" w14:paraId="38E39D15" w14:textId="77777777" w:rsidTr="00A45E00">
        <w:trPr>
          <w:trHeight w:val="106"/>
        </w:trPr>
        <w:tc>
          <w:tcPr>
            <w:tcW w:w="2002" w:type="dxa"/>
            <w:vMerge/>
          </w:tcPr>
          <w:p w14:paraId="5927C5C7" w14:textId="77777777" w:rsidR="00B30B11" w:rsidRPr="0053072D" w:rsidRDefault="00B30B11" w:rsidP="00EE453C">
            <w:pPr>
              <w:keepNext/>
              <w:keepLines/>
              <w:spacing w:after="120" w:line="276" w:lineRule="auto"/>
              <w:ind w:left="11"/>
              <w:outlineLvl w:val="1"/>
              <w:rPr>
                <w:rFonts w:eastAsia="Times New Roman" w:cs="Aptos"/>
                <w:color w:val="000000"/>
                <w:sz w:val="20"/>
                <w:szCs w:val="20"/>
                <w:lang w:val="en-ID" w:eastAsia="en-ID"/>
              </w:rPr>
            </w:pPr>
          </w:p>
        </w:tc>
        <w:tc>
          <w:tcPr>
            <w:tcW w:w="2138" w:type="dxa"/>
          </w:tcPr>
          <w:p w14:paraId="65DB563B"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3285" w:type="dxa"/>
          </w:tcPr>
          <w:p w14:paraId="2A8807B3" w14:textId="0075A24A"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733" w:name="_Toc173318917"/>
            <w:r w:rsidRPr="0053072D">
              <w:rPr>
                <w:rFonts w:eastAsia="Times New Roman" w:cs="Aptos"/>
                <w:color w:val="000000"/>
                <w:sz w:val="20"/>
                <w:szCs w:val="20"/>
                <w:lang w:val="en-ID" w:eastAsia="en-ID"/>
              </w:rPr>
              <w:t>Link the off-takers’ suppliers (farmers) with seed companies for farming assistance.</w:t>
            </w:r>
            <w:bookmarkEnd w:id="733"/>
          </w:p>
        </w:tc>
        <w:tc>
          <w:tcPr>
            <w:tcW w:w="3285" w:type="dxa"/>
            <w:gridSpan w:val="2"/>
          </w:tcPr>
          <w:p w14:paraId="3F9C37F1" w14:textId="145A054A" w:rsidR="00B30B11" w:rsidRPr="0053072D" w:rsidRDefault="00B30B11" w:rsidP="00A45E00">
            <w:pPr>
              <w:keepNext/>
              <w:keepLines/>
              <w:spacing w:after="80"/>
              <w:ind w:left="75"/>
              <w:outlineLvl w:val="1"/>
              <w:rPr>
                <w:rFonts w:eastAsia="Times New Roman" w:cs="Arial"/>
                <w:color w:val="000000"/>
                <w:sz w:val="20"/>
                <w:szCs w:val="20"/>
                <w:lang w:val="en-ID" w:eastAsia="en-ID"/>
              </w:rPr>
            </w:pPr>
            <w:bookmarkStart w:id="734" w:name="_Toc173318918"/>
            <w:r w:rsidRPr="0053072D">
              <w:rPr>
                <w:rFonts w:eastAsia="Times New Roman" w:cs="Arial"/>
                <w:color w:val="000000"/>
                <w:sz w:val="20"/>
                <w:szCs w:val="20"/>
                <w:lang w:val="en-ID" w:eastAsia="en-ID"/>
              </w:rPr>
              <w:t>A list of linkages established between seed partners and local off-takers</w:t>
            </w:r>
            <w:bookmarkEnd w:id="734"/>
          </w:p>
          <w:p w14:paraId="671AF130" w14:textId="15A81B49" w:rsidR="00B30B11" w:rsidRPr="0053072D" w:rsidRDefault="00B30B11" w:rsidP="00A45E00">
            <w:pPr>
              <w:keepNext/>
              <w:keepLines/>
              <w:spacing w:after="80"/>
              <w:ind w:left="75"/>
              <w:outlineLvl w:val="1"/>
              <w:rPr>
                <w:rFonts w:eastAsia="Times New Roman" w:cs="Arial"/>
                <w:color w:val="000000"/>
                <w:sz w:val="20"/>
                <w:szCs w:val="20"/>
                <w:lang w:val="en-ID" w:eastAsia="en-ID"/>
              </w:rPr>
            </w:pPr>
            <w:bookmarkStart w:id="735" w:name="_Toc173318919"/>
            <w:r w:rsidRPr="0053072D">
              <w:rPr>
                <w:rFonts w:eastAsia="Times New Roman" w:cs="Arial"/>
                <w:color w:val="000000"/>
                <w:sz w:val="20"/>
                <w:szCs w:val="20"/>
                <w:lang w:val="en-ID" w:eastAsia="en-ID"/>
              </w:rPr>
              <w:t>Minutes of the agreements on promoting quality seed, providing GAP assistance and off-taking services to indigenous farmers</w:t>
            </w:r>
            <w:bookmarkEnd w:id="735"/>
          </w:p>
        </w:tc>
        <w:tc>
          <w:tcPr>
            <w:tcW w:w="3860" w:type="dxa"/>
          </w:tcPr>
          <w:p w14:paraId="0FA3BA13" w14:textId="3576D92A" w:rsidR="00B30B11" w:rsidRPr="0053072D" w:rsidRDefault="00B30B11" w:rsidP="00EE453C">
            <w:pPr>
              <w:keepNext/>
              <w:keepLines/>
              <w:spacing w:after="80"/>
              <w:outlineLvl w:val="1"/>
              <w:rPr>
                <w:rFonts w:eastAsia="Times New Roman" w:cs="Arial"/>
                <w:color w:val="000000"/>
                <w:sz w:val="20"/>
                <w:szCs w:val="20"/>
                <w:lang w:val="en-ID" w:eastAsia="en-ID"/>
              </w:rPr>
            </w:pPr>
            <w:bookmarkStart w:id="736" w:name="_Toc173318920"/>
            <w:r w:rsidRPr="0053072D">
              <w:rPr>
                <w:rFonts w:eastAsia="Times New Roman" w:cs="Arial"/>
                <w:color w:val="000000"/>
                <w:sz w:val="20"/>
                <w:szCs w:val="20"/>
                <w:lang w:val="en-ID" w:eastAsia="en-ID"/>
              </w:rPr>
              <w:t>Three collaborations were established between seed partners and local off-takers, one each in Sorong, Manokwari, and Merauke.</w:t>
            </w:r>
            <w:bookmarkEnd w:id="736"/>
          </w:p>
          <w:p w14:paraId="17261324" w14:textId="77777777" w:rsidR="00B30B11" w:rsidRPr="0053072D" w:rsidRDefault="00B30B11" w:rsidP="00EE453C">
            <w:pPr>
              <w:keepNext/>
              <w:keepLines/>
              <w:spacing w:before="240" w:after="80"/>
              <w:outlineLvl w:val="1"/>
              <w:rPr>
                <w:rFonts w:eastAsia="Times New Roman" w:cs="Arial"/>
                <w:color w:val="000000"/>
                <w:sz w:val="20"/>
                <w:szCs w:val="20"/>
                <w:lang w:val="en-ID" w:eastAsia="en-ID"/>
              </w:rPr>
            </w:pPr>
            <w:bookmarkStart w:id="737" w:name="_Toc173318921"/>
            <w:r w:rsidRPr="0053072D">
              <w:rPr>
                <w:rFonts w:eastAsia="Yu Gothic Light" w:cs="Arial"/>
                <w:color w:val="000000"/>
                <w:sz w:val="20"/>
                <w:szCs w:val="20"/>
                <w:bdr w:val="none" w:sz="0" w:space="0" w:color="auto" w:frame="1"/>
                <w:lang w:eastAsia="en-ID"/>
              </w:rPr>
              <w:t>PRISMA took the success of the multistakeholder</w:t>
            </w:r>
            <w:r w:rsidRPr="0053072D">
              <w:rPr>
                <w:rFonts w:eastAsia="Times New Roman" w:cs="Arial"/>
                <w:color w:val="000000"/>
                <w:sz w:val="20"/>
                <w:szCs w:val="20"/>
                <w:bdr w:val="none" w:sz="0" w:space="0" w:color="auto" w:frame="1"/>
                <w:lang w:eastAsia="en-ID"/>
              </w:rPr>
              <w:t xml:space="preserve"> collaboration</w:t>
            </w:r>
            <w:r w:rsidRPr="0053072D">
              <w:rPr>
                <w:rFonts w:eastAsia="Yu Gothic Light" w:cs="Arial"/>
                <w:color w:val="000000"/>
                <w:sz w:val="20"/>
                <w:szCs w:val="20"/>
                <w:bdr w:val="none" w:sz="0" w:space="0" w:color="auto" w:frame="1"/>
                <w:lang w:eastAsia="en-ID"/>
              </w:rPr>
              <w:t xml:space="preserve"> in Sorong (Southwest Papua) from last semester and set the stage for a similar approach in </w:t>
            </w:r>
            <w:r w:rsidRPr="0053072D">
              <w:rPr>
                <w:rFonts w:eastAsia="Times New Roman" w:cs="Arial"/>
                <w:color w:val="000000"/>
                <w:sz w:val="20"/>
                <w:szCs w:val="20"/>
                <w:bdr w:val="none" w:sz="0" w:space="0" w:color="auto" w:frame="1"/>
                <w:lang w:eastAsia="en-ID"/>
              </w:rPr>
              <w:t xml:space="preserve">Manokwari (West Papua) and </w:t>
            </w:r>
            <w:r w:rsidRPr="0053072D">
              <w:rPr>
                <w:rFonts w:eastAsia="Yu Gothic Light" w:cs="Arial"/>
                <w:color w:val="000000"/>
                <w:sz w:val="20"/>
                <w:szCs w:val="20"/>
                <w:bdr w:val="none" w:sz="0" w:space="0" w:color="auto" w:frame="1"/>
                <w:lang w:eastAsia="en-ID"/>
              </w:rPr>
              <w:t>Merauke (South Papua)</w:t>
            </w:r>
            <w:r w:rsidRPr="0053072D">
              <w:rPr>
                <w:rFonts w:eastAsia="Times New Roman" w:cs="Arial"/>
                <w:color w:val="000000"/>
                <w:sz w:val="20"/>
                <w:szCs w:val="20"/>
                <w:bdr w:val="none" w:sz="0" w:space="0" w:color="auto" w:frame="1"/>
                <w:lang w:eastAsia="en-ID"/>
              </w:rPr>
              <w:t>.</w:t>
            </w:r>
            <w:bookmarkEnd w:id="737"/>
            <w:r w:rsidRPr="0053072D">
              <w:rPr>
                <w:rFonts w:eastAsia="Times New Roman" w:cs="Arial"/>
                <w:color w:val="000000"/>
                <w:sz w:val="20"/>
                <w:szCs w:val="20"/>
                <w:bdr w:val="none" w:sz="0" w:space="0" w:color="auto" w:frame="1"/>
                <w:lang w:val="en-ID" w:eastAsia="en-ID"/>
              </w:rPr>
              <w:t xml:space="preserve"> </w:t>
            </w:r>
            <w:r w:rsidRPr="0053072D">
              <w:rPr>
                <w:rFonts w:eastAsia="Yu Gothic Light" w:cs="Arial"/>
                <w:color w:val="000000"/>
                <w:sz w:val="20"/>
                <w:szCs w:val="20"/>
                <w:shd w:val="clear" w:color="auto" w:fill="FFFFFF"/>
                <w:lang w:eastAsia="en-ID"/>
              </w:rPr>
              <w:t xml:space="preserve"> </w:t>
            </w:r>
          </w:p>
          <w:p w14:paraId="2AB91450" w14:textId="749409B7" w:rsidR="00B30B11" w:rsidRPr="0053072D" w:rsidRDefault="00B30B11" w:rsidP="00EE453C">
            <w:pPr>
              <w:keepNext/>
              <w:keepLines/>
              <w:spacing w:before="240" w:after="80"/>
              <w:outlineLvl w:val="1"/>
              <w:rPr>
                <w:rFonts w:eastAsia="Times New Roman" w:cs="Arial"/>
                <w:color w:val="000000"/>
                <w:sz w:val="20"/>
                <w:szCs w:val="20"/>
                <w:lang w:val="en-ID" w:eastAsia="en-ID"/>
              </w:rPr>
            </w:pPr>
            <w:bookmarkStart w:id="738" w:name="_Toc173318922"/>
            <w:r w:rsidRPr="0053072D">
              <w:rPr>
                <w:rFonts w:eastAsia="Times New Roman" w:cs="Arial"/>
                <w:color w:val="000000"/>
                <w:sz w:val="20"/>
                <w:szCs w:val="20"/>
                <w:lang w:val="en-ID" w:eastAsia="en-ID"/>
              </w:rPr>
              <w:t>In Manokwari, PRISMA facilitated tripartite collaboration between DPMK through the village-owned enterprise (BUMDES), Anggi Mart and PT Agrosid to provide GAP assistance and off-taking services to indigenous farmers in Kwau village.</w:t>
            </w:r>
            <w:bookmarkEnd w:id="738"/>
          </w:p>
          <w:p w14:paraId="194CF870" w14:textId="2538DE23" w:rsidR="00B30B11" w:rsidRPr="0053072D" w:rsidRDefault="00B30B11" w:rsidP="00EE453C">
            <w:pPr>
              <w:keepNext/>
              <w:keepLines/>
              <w:spacing w:before="240" w:after="80"/>
              <w:outlineLvl w:val="1"/>
              <w:rPr>
                <w:rFonts w:eastAsia="Times New Roman" w:cs="Arial"/>
                <w:color w:val="000000"/>
                <w:sz w:val="20"/>
                <w:szCs w:val="20"/>
                <w:lang w:val="en-ID" w:eastAsia="en-ID"/>
              </w:rPr>
            </w:pPr>
            <w:bookmarkStart w:id="739" w:name="_Toc173318923"/>
            <w:r w:rsidRPr="0053072D">
              <w:rPr>
                <w:rFonts w:eastAsia="Times New Roman" w:cs="Arial"/>
                <w:color w:val="000000"/>
                <w:sz w:val="20"/>
                <w:szCs w:val="20"/>
                <w:lang w:val="en-ID" w:eastAsia="en-ID"/>
              </w:rPr>
              <w:t xml:space="preserve">In Merauke, </w:t>
            </w:r>
            <w:r w:rsidRPr="0053072D">
              <w:rPr>
                <w:rFonts w:eastAsia="Yu Gothic Light" w:cs="Arial"/>
                <w:color w:val="000000"/>
                <w:sz w:val="20"/>
                <w:szCs w:val="20"/>
                <w:shd w:val="clear" w:color="auto" w:fill="FFFFFF"/>
                <w:lang w:eastAsia="en-ID"/>
              </w:rPr>
              <w:t xml:space="preserve">PRISMA facilitated a collaboration between vegetable seed partner PT Agrosid and Ibu Wiwin, a local female vegetable off-taker, to </w:t>
            </w:r>
            <w:r w:rsidRPr="0053072D">
              <w:rPr>
                <w:rFonts w:eastAsia="Times New Roman" w:cs="Arial"/>
                <w:color w:val="000000"/>
                <w:sz w:val="20"/>
                <w:szCs w:val="20"/>
                <w:lang w:val="en-ID" w:eastAsia="en-ID"/>
              </w:rPr>
              <w:t>promote commercial seed and off-taking services to both indigenous and transmigrant farmers</w:t>
            </w:r>
            <w:r w:rsidRPr="0053072D">
              <w:rPr>
                <w:rFonts w:eastAsia="Yu Gothic Light" w:cs="Arial"/>
                <w:color w:val="000000"/>
                <w:sz w:val="20"/>
                <w:szCs w:val="20"/>
                <w:shd w:val="clear" w:color="auto" w:fill="FFFFFF"/>
                <w:lang w:eastAsia="en-ID"/>
              </w:rPr>
              <w:t>.</w:t>
            </w:r>
            <w:bookmarkEnd w:id="739"/>
          </w:p>
        </w:tc>
      </w:tr>
      <w:tr w:rsidR="00B30B11" w:rsidRPr="0053072D" w14:paraId="17B0A9E9" w14:textId="77777777" w:rsidTr="00A45E00">
        <w:tc>
          <w:tcPr>
            <w:tcW w:w="2002" w:type="dxa"/>
            <w:vMerge/>
          </w:tcPr>
          <w:p w14:paraId="0F0DF18B" w14:textId="77777777" w:rsidR="00B30B11" w:rsidRPr="0053072D" w:rsidRDefault="00B30B11" w:rsidP="00EE453C">
            <w:pPr>
              <w:keepNext/>
              <w:keepLines/>
              <w:spacing w:after="120" w:line="276" w:lineRule="auto"/>
              <w:ind w:left="11"/>
              <w:outlineLvl w:val="1"/>
              <w:rPr>
                <w:rFonts w:eastAsia="Times New Roman" w:cs="Aptos"/>
                <w:color w:val="000000"/>
                <w:sz w:val="20"/>
                <w:szCs w:val="20"/>
                <w:lang w:val="en-ID" w:eastAsia="en-ID"/>
              </w:rPr>
            </w:pPr>
          </w:p>
        </w:tc>
        <w:tc>
          <w:tcPr>
            <w:tcW w:w="2138" w:type="dxa"/>
          </w:tcPr>
          <w:p w14:paraId="24F81CD7"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3330" w:type="dxa"/>
            <w:gridSpan w:val="2"/>
          </w:tcPr>
          <w:p w14:paraId="5D77388C" w14:textId="6A087995"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740" w:name="_Toc173318924"/>
            <w:r w:rsidRPr="0053072D">
              <w:rPr>
                <w:rFonts w:eastAsia="Times New Roman" w:cs="Aptos"/>
                <w:color w:val="000000"/>
                <w:sz w:val="20"/>
                <w:szCs w:val="20"/>
                <w:lang w:val="en-ID" w:eastAsia="en-ID"/>
              </w:rPr>
              <w:t>Roundtable discussions to endorse B2B engagement to increase the uptake of locally produced vegetables</w:t>
            </w:r>
            <w:bookmarkEnd w:id="740"/>
          </w:p>
        </w:tc>
        <w:tc>
          <w:tcPr>
            <w:tcW w:w="3240" w:type="dxa"/>
          </w:tcPr>
          <w:p w14:paraId="41C147E6" w14:textId="65610B30" w:rsidR="00B30B11" w:rsidRPr="0053072D" w:rsidRDefault="00B30B11" w:rsidP="00A45E00">
            <w:pPr>
              <w:keepNext/>
              <w:keepLines/>
              <w:spacing w:after="80"/>
              <w:ind w:left="75"/>
              <w:outlineLvl w:val="1"/>
              <w:rPr>
                <w:rFonts w:eastAsia="Times New Roman" w:cs="Arial"/>
                <w:color w:val="000000"/>
                <w:sz w:val="20"/>
                <w:szCs w:val="20"/>
                <w:lang w:val="en-ID" w:eastAsia="en-ID"/>
              </w:rPr>
            </w:pPr>
            <w:bookmarkStart w:id="741" w:name="_Toc173318925"/>
            <w:r w:rsidRPr="0053072D">
              <w:rPr>
                <w:rFonts w:eastAsia="Times New Roman" w:cs="Arial"/>
                <w:color w:val="000000"/>
                <w:sz w:val="20"/>
                <w:szCs w:val="20"/>
                <w:lang w:val="en-ID" w:eastAsia="en-ID"/>
              </w:rPr>
              <w:t>Roundtable discussions in 5 provinces in Tanah Papua</w:t>
            </w:r>
            <w:bookmarkEnd w:id="741"/>
          </w:p>
          <w:p w14:paraId="2EF011C1" w14:textId="381CA60A" w:rsidR="00B30B11" w:rsidRPr="0053072D" w:rsidRDefault="00B30B11" w:rsidP="00A45E00">
            <w:pPr>
              <w:keepNext/>
              <w:keepLines/>
              <w:spacing w:after="80"/>
              <w:ind w:left="75"/>
              <w:outlineLvl w:val="1"/>
              <w:rPr>
                <w:rFonts w:eastAsia="Times New Roman" w:cs="Arial"/>
                <w:color w:val="000000"/>
                <w:sz w:val="20"/>
                <w:szCs w:val="20"/>
                <w:lang w:val="en-ID" w:eastAsia="en-ID"/>
              </w:rPr>
            </w:pPr>
            <w:bookmarkStart w:id="742" w:name="_Toc173318926"/>
            <w:r w:rsidRPr="0053072D">
              <w:rPr>
                <w:rFonts w:eastAsia="Times New Roman" w:cs="Arial"/>
                <w:color w:val="000000"/>
                <w:sz w:val="20"/>
                <w:szCs w:val="20"/>
                <w:lang w:val="en-ID" w:eastAsia="en-ID"/>
              </w:rPr>
              <w:t>Purchase orders from hotels, restaurants and cafés and big industry consumers to local off-takers</w:t>
            </w:r>
            <w:bookmarkEnd w:id="742"/>
          </w:p>
        </w:tc>
        <w:tc>
          <w:tcPr>
            <w:tcW w:w="3860" w:type="dxa"/>
          </w:tcPr>
          <w:p w14:paraId="4AE5F2BA" w14:textId="53E737AF" w:rsidR="00B30B11" w:rsidRPr="0053072D" w:rsidRDefault="00B30B11" w:rsidP="00EE453C">
            <w:pPr>
              <w:keepNext/>
              <w:keepLines/>
              <w:spacing w:after="80"/>
              <w:outlineLvl w:val="1"/>
              <w:rPr>
                <w:rFonts w:eastAsia="Times New Roman" w:cs="Arial"/>
                <w:color w:val="000000"/>
                <w:sz w:val="20"/>
                <w:szCs w:val="20"/>
                <w:lang w:val="en-ID" w:eastAsia="en-ID"/>
              </w:rPr>
            </w:pPr>
            <w:bookmarkStart w:id="743" w:name="_Toc173318927"/>
            <w:r w:rsidRPr="0053072D">
              <w:rPr>
                <w:rFonts w:eastAsia="Times New Roman" w:cs="Arial"/>
                <w:color w:val="000000"/>
                <w:sz w:val="20"/>
                <w:szCs w:val="20"/>
                <w:lang w:val="en-ID" w:eastAsia="en-ID"/>
              </w:rPr>
              <w:t>Due to budget concerns and travel to the locations, the roundtable discussion was eventually held at one location, Manokwari.</w:t>
            </w:r>
            <w:bookmarkEnd w:id="743"/>
          </w:p>
          <w:p w14:paraId="729DACB3" w14:textId="4D8C1464" w:rsidR="00B30B11" w:rsidRPr="0053072D" w:rsidRDefault="00B30B11" w:rsidP="00EE453C">
            <w:pPr>
              <w:keepNext/>
              <w:keepLines/>
              <w:spacing w:before="240" w:after="80"/>
              <w:outlineLvl w:val="1"/>
              <w:rPr>
                <w:rFonts w:eastAsia="Times New Roman" w:cs="Arial"/>
                <w:color w:val="000000"/>
                <w:sz w:val="20"/>
                <w:szCs w:val="20"/>
                <w:lang w:val="en-ID" w:eastAsia="en-ID"/>
              </w:rPr>
            </w:pPr>
            <w:bookmarkStart w:id="744" w:name="_Toc173318928"/>
            <w:r w:rsidRPr="0053072D">
              <w:rPr>
                <w:rFonts w:eastAsia="Times New Roman" w:cs="Arial"/>
                <w:sz w:val="20"/>
                <w:szCs w:val="20"/>
                <w:lang w:val="en-ID" w:eastAsia="en-ID"/>
              </w:rPr>
              <w:t xml:space="preserve">PRISMA, together with the </w:t>
            </w:r>
            <w:r w:rsidRPr="0053072D">
              <w:rPr>
                <w:rFonts w:eastAsia="Times New Roman" w:cs="Arial"/>
                <w:color w:val="000000"/>
                <w:sz w:val="20"/>
                <w:szCs w:val="20"/>
                <w:lang w:val="en-ID" w:eastAsia="en-ID"/>
              </w:rPr>
              <w:t xml:space="preserve">West Papua provincial government, hosted </w:t>
            </w:r>
            <w:r w:rsidRPr="0053072D">
              <w:rPr>
                <w:rFonts w:eastAsia="Times New Roman" w:cs="Arial"/>
                <w:sz w:val="20"/>
                <w:szCs w:val="20"/>
                <w:lang w:val="en-ID" w:eastAsia="en-ID"/>
              </w:rPr>
              <w:t xml:space="preserve">a multistakeholder event </w:t>
            </w:r>
            <w:r w:rsidRPr="0053072D">
              <w:rPr>
                <w:rFonts w:eastAsia="Times New Roman" w:cs="Arial"/>
                <w:color w:val="000000"/>
                <w:sz w:val="20"/>
                <w:szCs w:val="20"/>
                <w:lang w:val="en-ID" w:eastAsia="en-ID"/>
              </w:rPr>
              <w:t>to promote indigenous-inclusive approaches</w:t>
            </w:r>
            <w:r w:rsidRPr="0053072D">
              <w:rPr>
                <w:rFonts w:eastAsia="Times New Roman" w:cs="Arial"/>
                <w:sz w:val="20"/>
                <w:szCs w:val="20"/>
                <w:lang w:val="en-ID" w:eastAsia="en-ID"/>
              </w:rPr>
              <w:t>. Private and public sectors</w:t>
            </w:r>
            <w:r w:rsidRPr="0053072D">
              <w:rPr>
                <w:rFonts w:eastAsia="Times New Roman" w:cs="Arial"/>
                <w:color w:val="000000"/>
                <w:sz w:val="20"/>
                <w:szCs w:val="20"/>
                <w:lang w:val="en-ID" w:eastAsia="en-ID"/>
              </w:rPr>
              <w:t xml:space="preserve">, including hotel, restaurant, and café reps, also attended. </w:t>
            </w:r>
            <w:r w:rsidRPr="0053072D">
              <w:rPr>
                <w:rFonts w:eastAsia="Times New Roman" w:cs="Arial"/>
                <w:color w:val="000000"/>
                <w:sz w:val="20"/>
                <w:szCs w:val="20"/>
                <w:lang w:val="en-ID" w:eastAsia="en-ID"/>
              </w:rPr>
              <w:lastRenderedPageBreak/>
              <w:t xml:space="preserve">The half-day event </w:t>
            </w:r>
            <w:r w:rsidRPr="0053072D">
              <w:rPr>
                <w:rFonts w:eastAsia="Times New Roman" w:cs="Arial"/>
                <w:sz w:val="20"/>
                <w:szCs w:val="20"/>
                <w:lang w:val="en-ID" w:eastAsia="en-ID"/>
              </w:rPr>
              <w:t>consisted of a panel discussion, a joint commitment ceremony, and a mini-exhibition, showcasing products and innovations from partners, including Anggi Mart</w:t>
            </w:r>
            <w:r w:rsidRPr="0053072D">
              <w:rPr>
                <w:rFonts w:eastAsia="Times New Roman" w:cs="Arial"/>
                <w:color w:val="000000"/>
                <w:sz w:val="20"/>
                <w:szCs w:val="20"/>
                <w:lang w:val="en-ID" w:eastAsia="en-ID"/>
              </w:rPr>
              <w:t>.</w:t>
            </w:r>
            <w:bookmarkEnd w:id="744"/>
          </w:p>
          <w:p w14:paraId="25F734C8" w14:textId="05D304CB" w:rsidR="00B30B11" w:rsidRPr="0053072D" w:rsidRDefault="00B30B11" w:rsidP="00EE453C">
            <w:pPr>
              <w:keepNext/>
              <w:keepLines/>
              <w:spacing w:before="240" w:after="80"/>
              <w:outlineLvl w:val="1"/>
              <w:rPr>
                <w:rFonts w:eastAsia="Times New Roman" w:cs="Arial"/>
                <w:color w:val="000000"/>
                <w:sz w:val="20"/>
                <w:szCs w:val="20"/>
                <w:lang w:val="en-ID" w:eastAsia="en-ID"/>
              </w:rPr>
            </w:pPr>
            <w:bookmarkStart w:id="745" w:name="_Toc173318929"/>
            <w:r w:rsidRPr="0053072D">
              <w:rPr>
                <w:rFonts w:eastAsia="Times New Roman" w:cs="Arial"/>
                <w:color w:val="000000"/>
                <w:sz w:val="20"/>
                <w:szCs w:val="20"/>
                <w:lang w:val="en-ID" w:eastAsia="en-ID"/>
              </w:rPr>
              <w:t>The mini-exhibition successfully triggered interest from notable supermarket and restaurant chains, which requested Anggi Mart to submit a sales offer, which is the step required prior to becoming a supplier.</w:t>
            </w:r>
            <w:bookmarkEnd w:id="745"/>
          </w:p>
        </w:tc>
      </w:tr>
      <w:tr w:rsidR="00B30B11" w:rsidRPr="0053072D" w14:paraId="071DF5D2" w14:textId="77777777" w:rsidTr="00A45E00">
        <w:trPr>
          <w:trHeight w:val="253"/>
        </w:trPr>
        <w:tc>
          <w:tcPr>
            <w:tcW w:w="2002" w:type="dxa"/>
            <w:vMerge w:val="restart"/>
          </w:tcPr>
          <w:p w14:paraId="6F730D88" w14:textId="3592EE9B" w:rsidR="00B30B11" w:rsidRPr="0053072D" w:rsidRDefault="00B30B11" w:rsidP="00EE453C">
            <w:pPr>
              <w:keepNext/>
              <w:keepLines/>
              <w:spacing w:after="120" w:line="276" w:lineRule="auto"/>
              <w:ind w:left="11"/>
              <w:outlineLvl w:val="1"/>
              <w:rPr>
                <w:rFonts w:eastAsia="Times New Roman" w:cs="Aptos"/>
                <w:color w:val="000000"/>
                <w:sz w:val="20"/>
                <w:szCs w:val="20"/>
                <w:lang w:val="en-ID" w:eastAsia="en-ID"/>
              </w:rPr>
            </w:pPr>
            <w:bookmarkStart w:id="746" w:name="_Toc173318930"/>
            <w:r w:rsidRPr="0053072D">
              <w:rPr>
                <w:rFonts w:eastAsia="Times New Roman" w:cs="Aptos"/>
                <w:color w:val="000000"/>
                <w:sz w:val="20"/>
                <w:szCs w:val="20"/>
                <w:lang w:val="en-ID" w:eastAsia="en-ID"/>
              </w:rPr>
              <w:lastRenderedPageBreak/>
              <w:t>Knowledge harvesting and dissemination</w:t>
            </w:r>
            <w:bookmarkEnd w:id="746"/>
          </w:p>
        </w:tc>
        <w:tc>
          <w:tcPr>
            <w:tcW w:w="2138" w:type="dxa"/>
            <w:vMerge w:val="restart"/>
          </w:tcPr>
          <w:p w14:paraId="2BDB1BF5" w14:textId="70861C27"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747" w:name="_Toc173318931"/>
            <w:r w:rsidRPr="0053072D">
              <w:rPr>
                <w:rFonts w:eastAsia="Times New Roman" w:cs="Aptos"/>
                <w:color w:val="000000"/>
                <w:sz w:val="20"/>
                <w:szCs w:val="20"/>
                <w:lang w:val="en-ID" w:eastAsia="en-ID"/>
              </w:rPr>
              <w:t>Endorsing successful indigenous-inclusive approaches and learnings to stakeholders that will foster replication across Tanah Papua</w:t>
            </w:r>
            <w:bookmarkEnd w:id="747"/>
          </w:p>
        </w:tc>
        <w:tc>
          <w:tcPr>
            <w:tcW w:w="3330" w:type="dxa"/>
            <w:gridSpan w:val="2"/>
          </w:tcPr>
          <w:p w14:paraId="0FCC6218"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748" w:name="_Toc173318932"/>
            <w:r w:rsidRPr="0053072D">
              <w:rPr>
                <w:rFonts w:eastAsia="Times New Roman" w:cs="Aptos"/>
                <w:color w:val="000000"/>
                <w:sz w:val="20"/>
                <w:szCs w:val="20"/>
                <w:lang w:val="en-ID" w:eastAsia="en-ID"/>
              </w:rPr>
              <w:t>Dissemination of Indigenous-inclusive best practices</w:t>
            </w:r>
            <w:bookmarkEnd w:id="748"/>
            <w:r w:rsidRPr="0053072D">
              <w:rPr>
                <w:rFonts w:eastAsia="Times New Roman" w:cs="Aptos"/>
                <w:color w:val="000000"/>
                <w:sz w:val="20"/>
                <w:szCs w:val="20"/>
                <w:lang w:val="en-ID" w:eastAsia="en-ID"/>
              </w:rPr>
              <w:t xml:space="preserve"> </w:t>
            </w:r>
          </w:p>
        </w:tc>
        <w:tc>
          <w:tcPr>
            <w:tcW w:w="3240" w:type="dxa"/>
          </w:tcPr>
          <w:p w14:paraId="2EDBEF43" w14:textId="77777777" w:rsidR="00B30B11" w:rsidRPr="0053072D" w:rsidRDefault="00B30B11" w:rsidP="00A45E00">
            <w:pPr>
              <w:keepNext/>
              <w:keepLines/>
              <w:spacing w:after="80"/>
              <w:ind w:left="75"/>
              <w:outlineLvl w:val="1"/>
              <w:rPr>
                <w:rFonts w:eastAsia="Times New Roman" w:cs="Arial"/>
                <w:color w:val="000000"/>
                <w:sz w:val="20"/>
                <w:szCs w:val="20"/>
                <w:lang w:val="en-ID" w:eastAsia="en-ID"/>
              </w:rPr>
            </w:pPr>
            <w:bookmarkStart w:id="749" w:name="_Toc173318933"/>
            <w:r w:rsidRPr="0053072D">
              <w:rPr>
                <w:rFonts w:eastAsia="Times New Roman" w:cs="Arial"/>
                <w:color w:val="000000"/>
                <w:sz w:val="20"/>
                <w:szCs w:val="20"/>
                <w:lang w:val="en-ID" w:eastAsia="en-ID"/>
              </w:rPr>
              <w:t>One network facilitation conducted in West Papua</w:t>
            </w:r>
            <w:bookmarkEnd w:id="749"/>
            <w:r w:rsidRPr="0053072D">
              <w:rPr>
                <w:rFonts w:eastAsia="Times New Roman" w:cs="Arial"/>
                <w:color w:val="000000"/>
                <w:sz w:val="20"/>
                <w:szCs w:val="20"/>
                <w:lang w:val="en-ID" w:eastAsia="en-ID"/>
              </w:rPr>
              <w:t xml:space="preserve"> </w:t>
            </w:r>
          </w:p>
        </w:tc>
        <w:tc>
          <w:tcPr>
            <w:tcW w:w="3860" w:type="dxa"/>
          </w:tcPr>
          <w:p w14:paraId="4676AE30" w14:textId="0EEAFFC5" w:rsidR="00B30B11" w:rsidRPr="0053072D" w:rsidRDefault="00B30B11" w:rsidP="00EE453C">
            <w:pPr>
              <w:keepNext/>
              <w:keepLines/>
              <w:outlineLvl w:val="1"/>
              <w:rPr>
                <w:rFonts w:eastAsia="Times New Roman" w:cs="Arial"/>
                <w:color w:val="000000"/>
                <w:sz w:val="20"/>
                <w:szCs w:val="20"/>
                <w:lang w:val="en-ID" w:eastAsia="en-ID"/>
              </w:rPr>
            </w:pPr>
            <w:bookmarkStart w:id="750" w:name="_Toc173318934"/>
            <w:r w:rsidRPr="0053072D">
              <w:rPr>
                <w:rFonts w:eastAsia="Times New Roman" w:cs="Arial"/>
                <w:color w:val="000000"/>
                <w:sz w:val="20"/>
                <w:szCs w:val="20"/>
                <w:lang w:val="en-ID" w:eastAsia="en-ID"/>
              </w:rPr>
              <w:t>PRISMA collaborated with Papua Youth Creative Hub (PYCH), an organisation of young indigenous Papuan entrepreneurs, to hold the Youthpreneur Summit in Manokwari.</w:t>
            </w:r>
            <w:bookmarkEnd w:id="750"/>
          </w:p>
          <w:p w14:paraId="520540E7" w14:textId="77777777" w:rsidR="00B30B11" w:rsidRPr="0053072D" w:rsidRDefault="00B30B11" w:rsidP="00EE453C">
            <w:pPr>
              <w:keepNext/>
              <w:keepLines/>
              <w:outlineLvl w:val="1"/>
              <w:rPr>
                <w:rFonts w:eastAsia="Times New Roman" w:cs="Arial"/>
                <w:color w:val="000000"/>
                <w:sz w:val="20"/>
                <w:szCs w:val="20"/>
                <w:lang w:val="en-ID" w:eastAsia="en-ID"/>
              </w:rPr>
            </w:pPr>
          </w:p>
          <w:p w14:paraId="2E97B31D" w14:textId="77777777" w:rsidR="00B30B11" w:rsidRPr="0053072D" w:rsidRDefault="00B30B11" w:rsidP="00EE453C">
            <w:pPr>
              <w:keepNext/>
              <w:keepLines/>
              <w:outlineLvl w:val="1"/>
              <w:rPr>
                <w:rFonts w:eastAsia="Times New Roman" w:cs="Arial"/>
                <w:color w:val="000000"/>
                <w:sz w:val="20"/>
                <w:szCs w:val="20"/>
                <w:lang w:val="en-ID" w:eastAsia="en-ID"/>
              </w:rPr>
            </w:pPr>
            <w:bookmarkStart w:id="751" w:name="_Toc173318935"/>
            <w:r w:rsidRPr="0053072D">
              <w:rPr>
                <w:rFonts w:eastAsia="Yu Gothic Light" w:cs="Arial"/>
                <w:color w:val="000000"/>
                <w:sz w:val="20"/>
                <w:szCs w:val="20"/>
                <w:shd w:val="clear" w:color="auto" w:fill="FFFFFF"/>
                <w:lang w:val="en-US" w:eastAsia="en-ID"/>
              </w:rPr>
              <w:t xml:space="preserve">The event provided a platform for participants </w:t>
            </w:r>
            <w:r w:rsidRPr="0053072D">
              <w:rPr>
                <w:rFonts w:eastAsia="Times New Roman" w:cs="Arial"/>
                <w:color w:val="000000"/>
                <w:sz w:val="20"/>
                <w:szCs w:val="20"/>
                <w:lang w:val="en-ID" w:eastAsia="en-ID"/>
              </w:rPr>
              <w:t xml:space="preserve">from 4 provinces in Tanah Papua </w:t>
            </w:r>
            <w:r w:rsidRPr="0053072D">
              <w:rPr>
                <w:rFonts w:eastAsia="Yu Gothic Light" w:cs="Arial"/>
                <w:color w:val="000000"/>
                <w:sz w:val="20"/>
                <w:szCs w:val="20"/>
                <w:shd w:val="clear" w:color="auto" w:fill="FFFFFF"/>
                <w:lang w:val="en-US" w:eastAsia="en-ID"/>
              </w:rPr>
              <w:t>to exchange ideas and foster creativity in replicating the inclusive off-taking model aimed at enhancing the economy of indigenous communities.</w:t>
            </w:r>
            <w:bookmarkEnd w:id="751"/>
            <w:r w:rsidRPr="0053072D">
              <w:rPr>
                <w:rFonts w:eastAsia="Yu Gothic Light" w:cs="Arial"/>
                <w:color w:val="000000"/>
                <w:sz w:val="20"/>
                <w:szCs w:val="20"/>
                <w:shd w:val="clear" w:color="auto" w:fill="FFFFFF"/>
                <w:lang w:val="en-ID" w:eastAsia="en-ID"/>
              </w:rPr>
              <w:t> </w:t>
            </w:r>
          </w:p>
          <w:p w14:paraId="0CBF272C" w14:textId="77777777" w:rsidR="00B30B11" w:rsidRPr="0053072D" w:rsidRDefault="00B30B11" w:rsidP="00EE453C">
            <w:pPr>
              <w:keepNext/>
              <w:keepLines/>
              <w:outlineLvl w:val="1"/>
              <w:rPr>
                <w:rFonts w:eastAsia="Times New Roman" w:cs="Arial"/>
                <w:color w:val="000000"/>
                <w:sz w:val="20"/>
                <w:szCs w:val="20"/>
                <w:lang w:val="en-ID" w:eastAsia="en-ID"/>
              </w:rPr>
            </w:pPr>
          </w:p>
          <w:p w14:paraId="1C4E68FA" w14:textId="484E72C2" w:rsidR="00B30B11" w:rsidRPr="0053072D" w:rsidRDefault="00B30B11" w:rsidP="00EE453C">
            <w:pPr>
              <w:keepNext/>
              <w:keepLines/>
              <w:spacing w:after="80"/>
              <w:outlineLvl w:val="1"/>
              <w:rPr>
                <w:rFonts w:eastAsia="Times New Roman" w:cs="Arial"/>
                <w:color w:val="000000"/>
                <w:sz w:val="20"/>
                <w:szCs w:val="20"/>
                <w:lang w:val="en-ID" w:eastAsia="en-ID"/>
              </w:rPr>
            </w:pPr>
            <w:bookmarkStart w:id="752" w:name="_Toc173318936"/>
            <w:r w:rsidRPr="0053072D">
              <w:rPr>
                <w:rFonts w:eastAsia="Times New Roman" w:cs="Arial"/>
                <w:color w:val="000000"/>
                <w:sz w:val="20"/>
                <w:szCs w:val="20"/>
                <w:lang w:val="en-ID" w:eastAsia="en-ID"/>
              </w:rPr>
              <w:t>Following the event, 5 out of 6 participants immediately replicated the inclusive business model, and 3 participants from Biak, Jayawijaya, and Teluk Wondama kick-started their vegetable businesses.</w:t>
            </w:r>
            <w:bookmarkEnd w:id="752"/>
          </w:p>
        </w:tc>
      </w:tr>
      <w:tr w:rsidR="00B30B11" w:rsidRPr="0053072D" w14:paraId="434B3D16" w14:textId="77777777" w:rsidTr="00A45E00">
        <w:tc>
          <w:tcPr>
            <w:tcW w:w="2002" w:type="dxa"/>
            <w:vMerge/>
          </w:tcPr>
          <w:p w14:paraId="236C3934" w14:textId="77777777" w:rsidR="00B30B11" w:rsidRPr="0053072D" w:rsidRDefault="00B30B11" w:rsidP="00EE453C">
            <w:pPr>
              <w:keepNext/>
              <w:keepLines/>
              <w:spacing w:after="120" w:line="276" w:lineRule="auto"/>
              <w:ind w:left="11"/>
              <w:outlineLvl w:val="1"/>
              <w:rPr>
                <w:rFonts w:eastAsia="Times New Roman" w:cs="Aptos"/>
                <w:color w:val="000000"/>
                <w:sz w:val="20"/>
                <w:szCs w:val="20"/>
                <w:lang w:val="en-ID" w:eastAsia="en-ID"/>
              </w:rPr>
            </w:pPr>
          </w:p>
        </w:tc>
        <w:tc>
          <w:tcPr>
            <w:tcW w:w="2138" w:type="dxa"/>
            <w:vMerge/>
          </w:tcPr>
          <w:p w14:paraId="09DB5769"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10430" w:type="dxa"/>
            <w:gridSpan w:val="4"/>
          </w:tcPr>
          <w:p w14:paraId="3EB5109D" w14:textId="66AF1527" w:rsidR="00B30B11" w:rsidRPr="0053072D" w:rsidRDefault="00B30B11" w:rsidP="00A45E00">
            <w:pPr>
              <w:keepNext/>
              <w:keepLines/>
              <w:spacing w:after="120"/>
              <w:ind w:left="75"/>
              <w:outlineLvl w:val="1"/>
              <w:rPr>
                <w:rFonts w:eastAsia="Times New Roman" w:cs="Arial"/>
                <w:color w:val="000000"/>
                <w:sz w:val="20"/>
                <w:szCs w:val="20"/>
                <w:lang w:val="en-ID" w:eastAsia="en-ID"/>
              </w:rPr>
            </w:pPr>
            <w:bookmarkStart w:id="753" w:name="_Toc173318937"/>
            <w:r w:rsidRPr="0053072D">
              <w:rPr>
                <w:rFonts w:eastAsia="Times New Roman" w:cs="Aptos"/>
                <w:color w:val="000000"/>
                <w:sz w:val="20"/>
                <w:szCs w:val="20"/>
                <w:lang w:val="en-ID" w:eastAsia="en-ID"/>
              </w:rPr>
              <w:t>Share learnings from off-taking models to encourage replication.</w:t>
            </w:r>
            <w:bookmarkEnd w:id="753"/>
          </w:p>
        </w:tc>
      </w:tr>
      <w:tr w:rsidR="00B30B11" w:rsidRPr="0053072D" w14:paraId="7090A2B6" w14:textId="77777777" w:rsidTr="00A45E00">
        <w:tc>
          <w:tcPr>
            <w:tcW w:w="2002" w:type="dxa"/>
            <w:vMerge/>
          </w:tcPr>
          <w:p w14:paraId="38735DF8" w14:textId="77777777" w:rsidR="00B30B11" w:rsidRPr="0053072D" w:rsidRDefault="00B30B11" w:rsidP="00EE453C">
            <w:pPr>
              <w:keepNext/>
              <w:keepLines/>
              <w:spacing w:after="120" w:line="276" w:lineRule="auto"/>
              <w:ind w:left="11"/>
              <w:outlineLvl w:val="1"/>
              <w:rPr>
                <w:rFonts w:eastAsia="Times New Roman" w:cs="Aptos"/>
                <w:color w:val="000000"/>
                <w:sz w:val="20"/>
                <w:szCs w:val="20"/>
                <w:lang w:val="en-ID" w:eastAsia="en-ID"/>
              </w:rPr>
            </w:pPr>
          </w:p>
        </w:tc>
        <w:tc>
          <w:tcPr>
            <w:tcW w:w="2138" w:type="dxa"/>
            <w:vMerge/>
          </w:tcPr>
          <w:p w14:paraId="3CE8B8ED"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3330" w:type="dxa"/>
            <w:gridSpan w:val="2"/>
          </w:tcPr>
          <w:p w14:paraId="470B4107" w14:textId="135728FA"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754" w:name="_Toc173318938"/>
            <w:r w:rsidRPr="0053072D">
              <w:rPr>
                <w:rFonts w:eastAsia="Times New Roman" w:cs="Aptos"/>
                <w:color w:val="000000"/>
                <w:sz w:val="20"/>
                <w:szCs w:val="20"/>
                <w:lang w:val="en-ID" w:eastAsia="en-ID"/>
              </w:rPr>
              <w:t xml:space="preserve">Conduct workshops in partnership with local governments and seed companies to share best practices </w:t>
            </w:r>
            <w:r w:rsidRPr="0053072D">
              <w:rPr>
                <w:rFonts w:eastAsia="Times New Roman" w:cs="Aptos"/>
                <w:color w:val="000000"/>
                <w:sz w:val="20"/>
                <w:szCs w:val="20"/>
                <w:lang w:val="en-ID" w:eastAsia="en-ID"/>
              </w:rPr>
              <w:lastRenderedPageBreak/>
              <w:t>from the indigenous targeted activities.</w:t>
            </w:r>
            <w:bookmarkEnd w:id="754"/>
          </w:p>
        </w:tc>
        <w:tc>
          <w:tcPr>
            <w:tcW w:w="3240" w:type="dxa"/>
          </w:tcPr>
          <w:p w14:paraId="15CA76B9" w14:textId="798F22D6" w:rsidR="00B30B11" w:rsidRPr="0053072D" w:rsidRDefault="00B30B11" w:rsidP="00A45E00">
            <w:pPr>
              <w:keepNext/>
              <w:keepLines/>
              <w:spacing w:after="80"/>
              <w:ind w:left="75"/>
              <w:outlineLvl w:val="1"/>
              <w:rPr>
                <w:rFonts w:eastAsia="Times New Roman" w:cs="Arial"/>
                <w:color w:val="000000"/>
                <w:sz w:val="20"/>
                <w:szCs w:val="20"/>
                <w:lang w:val="en-ID" w:eastAsia="en-ID"/>
              </w:rPr>
            </w:pPr>
            <w:bookmarkStart w:id="755" w:name="_Toc173318939"/>
            <w:r w:rsidRPr="0053072D">
              <w:rPr>
                <w:rFonts w:eastAsia="Times New Roman" w:cs="Arial"/>
                <w:color w:val="000000"/>
                <w:sz w:val="20"/>
                <w:szCs w:val="20"/>
                <w:lang w:val="en-ID" w:eastAsia="en-ID"/>
              </w:rPr>
              <w:lastRenderedPageBreak/>
              <w:t>Workshops in 5 provinces in Tanah Papua</w:t>
            </w:r>
            <w:bookmarkEnd w:id="755"/>
          </w:p>
          <w:p w14:paraId="13394E22" w14:textId="5C2D3131" w:rsidR="00B30B11" w:rsidRPr="0053072D" w:rsidRDefault="00B30B11" w:rsidP="00A45E00">
            <w:pPr>
              <w:keepNext/>
              <w:keepLines/>
              <w:spacing w:after="80"/>
              <w:ind w:left="75"/>
              <w:outlineLvl w:val="1"/>
              <w:rPr>
                <w:rFonts w:eastAsia="Times New Roman" w:cs="Arial"/>
                <w:color w:val="000000"/>
                <w:sz w:val="20"/>
                <w:szCs w:val="20"/>
                <w:lang w:val="en-ID" w:eastAsia="en-ID"/>
              </w:rPr>
            </w:pPr>
            <w:bookmarkStart w:id="756" w:name="_Toc173318940"/>
            <w:r w:rsidRPr="0053072D">
              <w:rPr>
                <w:rFonts w:eastAsia="Times New Roman" w:cs="Arial"/>
                <w:color w:val="000000"/>
                <w:sz w:val="20"/>
                <w:szCs w:val="20"/>
                <w:lang w:val="en-ID" w:eastAsia="en-ID"/>
              </w:rPr>
              <w:t>A market brief</w:t>
            </w:r>
            <w:bookmarkEnd w:id="756"/>
          </w:p>
        </w:tc>
        <w:tc>
          <w:tcPr>
            <w:tcW w:w="3860" w:type="dxa"/>
          </w:tcPr>
          <w:p w14:paraId="1877274D" w14:textId="49FE5DE9" w:rsidR="00B30B11" w:rsidRPr="0053072D" w:rsidRDefault="00B30B11" w:rsidP="00EE453C">
            <w:pPr>
              <w:keepNext/>
              <w:keepLines/>
              <w:spacing w:after="80"/>
              <w:outlineLvl w:val="1"/>
              <w:rPr>
                <w:rFonts w:eastAsia="Times New Roman" w:cs="Arial"/>
                <w:color w:val="000000"/>
                <w:sz w:val="20"/>
                <w:szCs w:val="20"/>
                <w:lang w:val="en-ID" w:eastAsia="en-ID"/>
              </w:rPr>
            </w:pPr>
            <w:bookmarkStart w:id="757" w:name="_Toc173318941"/>
            <w:r w:rsidRPr="0053072D">
              <w:rPr>
                <w:rFonts w:eastAsia="Times New Roman" w:cs="Arial"/>
                <w:color w:val="000000"/>
                <w:sz w:val="20"/>
                <w:szCs w:val="20"/>
                <w:lang w:val="en-ID" w:eastAsia="en-ID"/>
              </w:rPr>
              <w:t>Considering the program’s budget and travel to the locations, the workshop was held in conjunction with the stakeholder meeting in Manokwari.</w:t>
            </w:r>
            <w:bookmarkEnd w:id="757"/>
          </w:p>
          <w:p w14:paraId="2E2B6A40" w14:textId="77777777" w:rsidR="00B30B11" w:rsidRPr="0053072D" w:rsidRDefault="00B30B11" w:rsidP="00EE453C">
            <w:pPr>
              <w:keepNext/>
              <w:keepLines/>
              <w:spacing w:after="80"/>
              <w:outlineLvl w:val="1"/>
              <w:rPr>
                <w:rFonts w:cs="Arial"/>
                <w:color w:val="000000"/>
                <w:sz w:val="20"/>
                <w:szCs w:val="20"/>
                <w:lang w:eastAsia="en-ID"/>
              </w:rPr>
            </w:pPr>
            <w:bookmarkStart w:id="758" w:name="_Toc173318942"/>
            <w:r w:rsidRPr="0053072D">
              <w:rPr>
                <w:rFonts w:cs="Arial"/>
                <w:color w:val="000000"/>
                <w:sz w:val="20"/>
                <w:szCs w:val="20"/>
                <w:lang w:eastAsia="en-ID"/>
              </w:rPr>
              <w:lastRenderedPageBreak/>
              <w:t>The stakeholder meeting was attended by 70 people, mostly government reps from 4 districts. The event was acknowledged and opened by the second highest person in command, the Acting Regional Secretary of West Papua Province.</w:t>
            </w:r>
            <w:bookmarkEnd w:id="758"/>
            <w:r w:rsidRPr="0053072D">
              <w:rPr>
                <w:rFonts w:cs="Arial"/>
                <w:color w:val="000000"/>
                <w:sz w:val="20"/>
                <w:szCs w:val="20"/>
                <w:lang w:eastAsia="en-ID"/>
              </w:rPr>
              <w:t xml:space="preserve"> </w:t>
            </w:r>
          </w:p>
          <w:p w14:paraId="5297D258" w14:textId="3D53E94B" w:rsidR="00B30B11" w:rsidRPr="0053072D" w:rsidRDefault="00B30B11" w:rsidP="00EE453C">
            <w:pPr>
              <w:keepNext/>
              <w:keepLines/>
              <w:spacing w:after="80"/>
              <w:outlineLvl w:val="1"/>
              <w:rPr>
                <w:rFonts w:eastAsia="Times New Roman" w:cs="Arial"/>
                <w:color w:val="000000"/>
                <w:sz w:val="20"/>
                <w:szCs w:val="20"/>
                <w:lang w:val="en-ID" w:eastAsia="en-ID"/>
              </w:rPr>
            </w:pPr>
            <w:bookmarkStart w:id="759" w:name="_Toc173318943"/>
            <w:r w:rsidRPr="0053072D">
              <w:rPr>
                <w:rFonts w:cs="Arial"/>
                <w:color w:val="000000"/>
                <w:sz w:val="20"/>
                <w:szCs w:val="20"/>
                <w:lang w:eastAsia="en-ID"/>
              </w:rPr>
              <w:t>The participants expressed their appreciation for the event and interest in taking up the model in their respective areas.</w:t>
            </w:r>
            <w:bookmarkEnd w:id="759"/>
          </w:p>
          <w:p w14:paraId="256D638B" w14:textId="0CCBFA58" w:rsidR="00B30B11" w:rsidRPr="0053072D" w:rsidRDefault="00B30B11" w:rsidP="00EE453C">
            <w:pPr>
              <w:keepNext/>
              <w:keepLines/>
              <w:spacing w:after="80"/>
              <w:outlineLvl w:val="1"/>
              <w:rPr>
                <w:rFonts w:eastAsia="Times New Roman" w:cs="Arial"/>
                <w:color w:val="000000"/>
                <w:sz w:val="20"/>
                <w:szCs w:val="20"/>
                <w:lang w:val="en-ID" w:eastAsia="en-ID"/>
              </w:rPr>
            </w:pPr>
            <w:bookmarkStart w:id="760" w:name="_Toc173318944"/>
            <w:r w:rsidRPr="0053072D">
              <w:rPr>
                <w:rFonts w:eastAsia="Times New Roman" w:cs="Arial"/>
                <w:sz w:val="20"/>
                <w:szCs w:val="20"/>
                <w:lang w:val="en-ID" w:eastAsia="en-ID"/>
              </w:rPr>
              <w:t>Going forward, PRISMA’s private sector partners will follow up directly with interested district-level governments.</w:t>
            </w:r>
            <w:bookmarkEnd w:id="760"/>
          </w:p>
        </w:tc>
      </w:tr>
    </w:tbl>
    <w:p w14:paraId="77BF0A70" w14:textId="77777777" w:rsidR="00B30B11" w:rsidRPr="0053072D" w:rsidRDefault="00B30B11" w:rsidP="00B30B11">
      <w:pPr>
        <w:keepNext/>
        <w:keepLines/>
        <w:spacing w:after="120" w:line="240" w:lineRule="auto"/>
        <w:ind w:left="11"/>
        <w:outlineLvl w:val="1"/>
        <w:rPr>
          <w:rFonts w:eastAsia="Times New Roman" w:cs="Arial"/>
          <w:color w:val="000000"/>
          <w:szCs w:val="20"/>
          <w:lang w:val="en-ID" w:eastAsia="en-ID"/>
        </w:rPr>
      </w:pPr>
    </w:p>
    <w:p w14:paraId="7700614C" w14:textId="77777777" w:rsidR="00B30B11" w:rsidRPr="0053072D" w:rsidRDefault="00B30B11" w:rsidP="00B30B11">
      <w:pPr>
        <w:keepNext/>
        <w:keepLines/>
        <w:spacing w:after="120" w:line="240" w:lineRule="auto"/>
        <w:outlineLvl w:val="1"/>
        <w:rPr>
          <w:rFonts w:eastAsia="Times New Roman" w:cs="Arial"/>
          <w:color w:val="262C66"/>
          <w:szCs w:val="20"/>
          <w:lang w:val="en-ID" w:eastAsia="en-ID"/>
        </w:rPr>
        <w:sectPr w:rsidR="00B30B11" w:rsidRPr="0053072D" w:rsidSect="00971661">
          <w:pgSz w:w="16838" w:h="11906" w:orient="landscape"/>
          <w:pgMar w:top="1134" w:right="1134" w:bottom="1134" w:left="1134" w:header="709" w:footer="0" w:gutter="0"/>
          <w:cols w:space="708"/>
          <w:docGrid w:linePitch="360"/>
        </w:sectPr>
      </w:pPr>
    </w:p>
    <w:p w14:paraId="64A18F20" w14:textId="17B521BB" w:rsidR="00B30B11" w:rsidRPr="0053072D" w:rsidRDefault="00B30B11" w:rsidP="00B30B11">
      <w:pPr>
        <w:keepNext/>
        <w:keepLines/>
        <w:spacing w:after="120" w:line="240" w:lineRule="auto"/>
        <w:outlineLvl w:val="1"/>
        <w:rPr>
          <w:rFonts w:eastAsia="Times New Roman" w:cs="Arial"/>
          <w:b/>
          <w:bCs/>
          <w:color w:val="262C66"/>
          <w:szCs w:val="20"/>
          <w:lang w:val="en-ID" w:eastAsia="en-ID"/>
        </w:rPr>
      </w:pPr>
      <w:bookmarkStart w:id="761" w:name="_Toc173318945"/>
      <w:r w:rsidRPr="0053072D">
        <w:rPr>
          <w:rFonts w:eastAsia="Times New Roman" w:cs="Arial"/>
          <w:b/>
          <w:bCs/>
          <w:color w:val="262C66"/>
          <w:szCs w:val="20"/>
          <w:lang w:val="en-ID" w:eastAsia="en-ID"/>
        </w:rPr>
        <w:lastRenderedPageBreak/>
        <w:t>CROSS-CUTTING AREAS</w:t>
      </w:r>
      <w:bookmarkEnd w:id="761"/>
    </w:p>
    <w:p w14:paraId="24FCBBD5" w14:textId="43F7273D" w:rsidR="00B30B11" w:rsidRPr="0053072D" w:rsidRDefault="00B30B11" w:rsidP="00B30B11">
      <w:pPr>
        <w:keepNext/>
        <w:keepLines/>
        <w:spacing w:after="120" w:line="240" w:lineRule="auto"/>
        <w:outlineLvl w:val="1"/>
        <w:rPr>
          <w:rFonts w:eastAsia="Times New Roman" w:cs="Arial"/>
          <w:b/>
          <w:bCs/>
          <w:color w:val="000000"/>
          <w:szCs w:val="20"/>
          <w:lang w:val="en-ID" w:eastAsia="en-ID"/>
        </w:rPr>
      </w:pPr>
      <w:bookmarkStart w:id="762" w:name="_Toc173318946"/>
      <w:r w:rsidRPr="0053072D">
        <w:rPr>
          <w:rFonts w:eastAsia="Times New Roman" w:cs="Arial"/>
          <w:noProof/>
          <w:color w:val="262C66"/>
          <w:szCs w:val="20"/>
          <w:lang w:val="en-ID" w:eastAsia="en-ID"/>
          <w14:ligatures w14:val="standardContextual"/>
        </w:rPr>
        <w:drawing>
          <wp:anchor distT="0" distB="0" distL="114300" distR="114300" simplePos="0" relativeHeight="251658284" behindDoc="0" locked="0" layoutInCell="1" allowOverlap="1" wp14:anchorId="2612874F" wp14:editId="2FDD9B2C">
            <wp:simplePos x="0" y="0"/>
            <wp:positionH relativeFrom="column">
              <wp:posOffset>35560</wp:posOffset>
            </wp:positionH>
            <wp:positionV relativeFrom="paragraph">
              <wp:posOffset>131586</wp:posOffset>
            </wp:positionV>
            <wp:extent cx="396000" cy="396000"/>
            <wp:effectExtent l="0" t="0" r="0" b="0"/>
            <wp:wrapNone/>
            <wp:docPr id="865654649" name="Graphic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964328" name="Graphic 15">
                      <a:extLst>
                        <a:ext uri="{C183D7F6-B498-43B3-948B-1728B52AA6E4}">
                          <adec:decorative xmlns:adec="http://schemas.microsoft.com/office/drawing/2017/decorative" val="1"/>
                        </a:ext>
                      </a:extLst>
                    </pic:cNvPr>
                    <pic:cNvPicPr/>
                  </pic:nvPicPr>
                  <pic:blipFill>
                    <a:blip r:embed="rId169" cstate="print">
                      <a:extLst>
                        <a:ext uri="{28A0092B-C50C-407E-A947-70E740481C1C}">
                          <a14:useLocalDpi xmlns:a14="http://schemas.microsoft.com/office/drawing/2010/main" val="0"/>
                        </a:ext>
                        <a:ext uri="{96DAC541-7B7A-43D3-8B79-37D633B846F1}">
                          <asvg:svgBlip xmlns:asvg="http://schemas.microsoft.com/office/drawing/2016/SVG/main" r:embed="rId170"/>
                        </a:ext>
                      </a:extLst>
                    </a:blip>
                    <a:stretch>
                      <a:fillRect/>
                    </a:stretch>
                  </pic:blipFill>
                  <pic:spPr>
                    <a:xfrm>
                      <a:off x="0" y="0"/>
                      <a:ext cx="396000" cy="396000"/>
                    </a:xfrm>
                    <a:prstGeom prst="rect">
                      <a:avLst/>
                    </a:prstGeom>
                  </pic:spPr>
                </pic:pic>
              </a:graphicData>
            </a:graphic>
            <wp14:sizeRelH relativeFrom="page">
              <wp14:pctWidth>0</wp14:pctWidth>
            </wp14:sizeRelH>
            <wp14:sizeRelV relativeFrom="page">
              <wp14:pctHeight>0</wp14:pctHeight>
            </wp14:sizeRelV>
          </wp:anchor>
        </w:drawing>
      </w:r>
      <w:bookmarkEnd w:id="762"/>
    </w:p>
    <w:p w14:paraId="0EBEA1DD" w14:textId="762E6EE3" w:rsidR="00B30B11" w:rsidRPr="0053072D" w:rsidRDefault="00321DBB" w:rsidP="00B30B11">
      <w:pPr>
        <w:keepNext/>
        <w:keepLines/>
        <w:spacing w:after="360" w:line="240" w:lineRule="auto"/>
        <w:ind w:left="851"/>
        <w:outlineLvl w:val="1"/>
        <w:rPr>
          <w:rFonts w:eastAsia="Times New Roman" w:cs="Arial"/>
          <w:b/>
          <w:bCs/>
          <w:color w:val="262C66"/>
          <w:szCs w:val="20"/>
          <w:lang w:val="en-ID" w:eastAsia="en-ID"/>
        </w:rPr>
      </w:pPr>
      <w:bookmarkStart w:id="763" w:name="_Toc173318947"/>
      <w:r>
        <w:rPr>
          <w:rFonts w:eastAsia="Times New Roman" w:cs="Arial"/>
          <w:b/>
          <w:bCs/>
          <w:color w:val="262C66"/>
          <w:szCs w:val="20"/>
          <w:lang w:val="en-ID" w:eastAsia="en-ID"/>
        </w:rPr>
        <w:t>Progress</w:t>
      </w:r>
      <w:r w:rsidR="00B30B11" w:rsidRPr="0053072D">
        <w:rPr>
          <w:rFonts w:eastAsia="Times New Roman" w:cs="Arial"/>
          <w:b/>
          <w:bCs/>
          <w:color w:val="262C66"/>
          <w:szCs w:val="20"/>
          <w:lang w:val="en-ID" w:eastAsia="en-ID"/>
        </w:rPr>
        <w:t>: Gender Equality, Disability and Social Inclusion (GEDSI)</w:t>
      </w:r>
      <w:bookmarkEnd w:id="763"/>
      <w:r w:rsidR="002D6DCE">
        <w:rPr>
          <w:rFonts w:eastAsia="Times New Roman" w:cs="Arial"/>
          <w:b/>
          <w:bCs/>
          <w:color w:val="262C66"/>
          <w:szCs w:val="20"/>
          <w:lang w:val="en-ID" w:eastAsia="en-ID"/>
        </w:rPr>
        <w:br/>
      </w:r>
    </w:p>
    <w:tbl>
      <w:tblPr>
        <w:tblStyle w:val="TableGrid1"/>
        <w:tblpPr w:leftFromText="181" w:rightFromText="181" w:vertAnchor="text" w:tblpY="1"/>
        <w:tblOverlap w:val="never"/>
        <w:tblW w:w="0" w:type="auto"/>
        <w:tblBorders>
          <w:top w:val="none" w:sz="0" w:space="0" w:color="auto"/>
          <w:left w:val="none" w:sz="0" w:space="0" w:color="auto"/>
          <w:bottom w:val="single" w:sz="4" w:space="0" w:color="000000"/>
          <w:right w:val="none" w:sz="0" w:space="0" w:color="auto"/>
          <w:insideH w:val="single" w:sz="4" w:space="0" w:color="000000"/>
          <w:insideV w:val="none" w:sz="0" w:space="0" w:color="auto"/>
        </w:tblBorders>
        <w:tblCellMar>
          <w:top w:w="170" w:type="dxa"/>
          <w:bottom w:w="113" w:type="dxa"/>
          <w:right w:w="170" w:type="dxa"/>
        </w:tblCellMar>
        <w:tblLook w:val="06A0" w:firstRow="1" w:lastRow="0" w:firstColumn="1" w:lastColumn="0" w:noHBand="1" w:noVBand="1"/>
      </w:tblPr>
      <w:tblGrid>
        <w:gridCol w:w="1988"/>
        <w:gridCol w:w="2581"/>
        <w:gridCol w:w="3738"/>
        <w:gridCol w:w="2847"/>
        <w:gridCol w:w="3273"/>
      </w:tblGrid>
      <w:tr w:rsidR="00B30B11" w:rsidRPr="0053072D" w14:paraId="051C3BF4" w14:textId="77777777" w:rsidTr="5583D54B">
        <w:tc>
          <w:tcPr>
            <w:tcW w:w="2002" w:type="dxa"/>
            <w:tcBorders>
              <w:top w:val="nil"/>
              <w:right w:val="single" w:sz="4" w:space="0" w:color="FFFFFF" w:themeColor="background2"/>
            </w:tcBorders>
            <w:shd w:val="clear" w:color="auto" w:fill="262C66"/>
          </w:tcPr>
          <w:p w14:paraId="425459B3" w14:textId="19EDC421" w:rsidR="00B30B11" w:rsidRPr="0053072D" w:rsidRDefault="00B30B11" w:rsidP="002D6DCE">
            <w:pPr>
              <w:keepNext/>
              <w:keepLines/>
              <w:spacing w:before="60" w:after="60"/>
              <w:ind w:left="11"/>
              <w:jc w:val="center"/>
              <w:outlineLvl w:val="1"/>
              <w:rPr>
                <w:rFonts w:eastAsia="Times New Roman" w:cs="Arial"/>
                <w:b/>
                <w:bCs/>
                <w:color w:val="FFFFFF"/>
                <w:sz w:val="20"/>
                <w:szCs w:val="20"/>
                <w:lang w:val="en-ID" w:eastAsia="en-ID"/>
              </w:rPr>
            </w:pPr>
            <w:bookmarkStart w:id="764" w:name="_Toc173318948"/>
            <w:r w:rsidRPr="0053072D">
              <w:rPr>
                <w:rFonts w:eastAsia="Times New Roman" w:cs="Arial"/>
                <w:b/>
                <w:bCs/>
                <w:color w:val="FFFFFF"/>
                <w:sz w:val="20"/>
                <w:szCs w:val="20"/>
                <w:lang w:val="en-ID" w:eastAsia="en-ID"/>
              </w:rPr>
              <w:t>Exit strategies</w:t>
            </w:r>
            <w:bookmarkEnd w:id="764"/>
          </w:p>
        </w:tc>
        <w:tc>
          <w:tcPr>
            <w:tcW w:w="2613" w:type="dxa"/>
            <w:tcBorders>
              <w:top w:val="nil"/>
              <w:left w:val="single" w:sz="4" w:space="0" w:color="FFFFFF" w:themeColor="background2"/>
              <w:right w:val="single" w:sz="4" w:space="0" w:color="FFFFFF" w:themeColor="background2"/>
            </w:tcBorders>
            <w:shd w:val="clear" w:color="auto" w:fill="262C66"/>
          </w:tcPr>
          <w:p w14:paraId="39020DA1" w14:textId="6EA9CF81" w:rsidR="00B30B11" w:rsidRPr="0053072D" w:rsidRDefault="00B30B11" w:rsidP="002D6DCE">
            <w:pPr>
              <w:keepNext/>
              <w:keepLines/>
              <w:spacing w:before="60" w:after="60"/>
              <w:ind w:left="11"/>
              <w:jc w:val="center"/>
              <w:outlineLvl w:val="1"/>
              <w:rPr>
                <w:rFonts w:eastAsia="Times New Roman" w:cs="Arial"/>
                <w:b/>
                <w:bCs/>
                <w:color w:val="FFFFFF"/>
                <w:sz w:val="20"/>
                <w:szCs w:val="20"/>
                <w:lang w:val="en-ID" w:eastAsia="en-ID"/>
              </w:rPr>
            </w:pPr>
            <w:bookmarkStart w:id="765" w:name="_Toc173318949"/>
            <w:r w:rsidRPr="0053072D">
              <w:rPr>
                <w:rFonts w:eastAsia="Times New Roman" w:cs="Arial"/>
                <w:b/>
                <w:bCs/>
                <w:color w:val="FFFFFF"/>
                <w:sz w:val="20"/>
                <w:szCs w:val="20"/>
                <w:lang w:val="en-ID" w:eastAsia="en-ID"/>
              </w:rPr>
              <w:t>Focus areas</w:t>
            </w:r>
            <w:bookmarkEnd w:id="765"/>
          </w:p>
        </w:tc>
        <w:tc>
          <w:tcPr>
            <w:tcW w:w="3787" w:type="dxa"/>
            <w:tcBorders>
              <w:top w:val="nil"/>
              <w:left w:val="single" w:sz="4" w:space="0" w:color="FFFFFF" w:themeColor="background2"/>
              <w:right w:val="single" w:sz="4" w:space="0" w:color="FFFFFF" w:themeColor="background2"/>
            </w:tcBorders>
            <w:shd w:val="clear" w:color="auto" w:fill="262C66"/>
          </w:tcPr>
          <w:p w14:paraId="1ED1BF05" w14:textId="718DCFEC" w:rsidR="00B30B11" w:rsidRPr="0053072D" w:rsidRDefault="00B30B11" w:rsidP="002D6DCE">
            <w:pPr>
              <w:keepNext/>
              <w:keepLines/>
              <w:spacing w:before="60" w:after="60"/>
              <w:ind w:left="11"/>
              <w:jc w:val="center"/>
              <w:outlineLvl w:val="1"/>
              <w:rPr>
                <w:rFonts w:eastAsia="Times New Roman" w:cs="Arial"/>
                <w:b/>
                <w:bCs/>
                <w:color w:val="FFFFFF"/>
                <w:sz w:val="20"/>
                <w:szCs w:val="20"/>
                <w:lang w:val="en-ID" w:eastAsia="en-ID"/>
              </w:rPr>
            </w:pPr>
            <w:bookmarkStart w:id="766" w:name="_Toc173318950"/>
            <w:r w:rsidRPr="0053072D">
              <w:rPr>
                <w:rFonts w:eastAsia="Times New Roman" w:cs="Arial"/>
                <w:b/>
                <w:bCs/>
                <w:color w:val="FFFFFF"/>
                <w:sz w:val="20"/>
                <w:szCs w:val="20"/>
                <w:lang w:val="en-ID" w:eastAsia="en-ID"/>
              </w:rPr>
              <w:t>Planned initiatives</w:t>
            </w:r>
            <w:bookmarkEnd w:id="766"/>
          </w:p>
        </w:tc>
        <w:tc>
          <w:tcPr>
            <w:tcW w:w="2866" w:type="dxa"/>
            <w:tcBorders>
              <w:top w:val="nil"/>
              <w:left w:val="single" w:sz="4" w:space="0" w:color="FFFFFF" w:themeColor="background2"/>
              <w:right w:val="single" w:sz="4" w:space="0" w:color="FFFFFF" w:themeColor="background2"/>
            </w:tcBorders>
            <w:shd w:val="clear" w:color="auto" w:fill="262C66"/>
          </w:tcPr>
          <w:p w14:paraId="6F99DB03" w14:textId="58B55B36" w:rsidR="00B30B11" w:rsidRPr="0053072D" w:rsidRDefault="00B30B11" w:rsidP="002D6DCE">
            <w:pPr>
              <w:keepNext/>
              <w:keepLines/>
              <w:spacing w:before="60" w:after="60"/>
              <w:ind w:left="11"/>
              <w:jc w:val="center"/>
              <w:outlineLvl w:val="1"/>
              <w:rPr>
                <w:rFonts w:eastAsia="Times New Roman" w:cs="Arial"/>
                <w:b/>
                <w:bCs/>
                <w:color w:val="FFFFFF"/>
                <w:sz w:val="20"/>
                <w:szCs w:val="20"/>
                <w:lang w:val="en-ID" w:eastAsia="en-ID"/>
              </w:rPr>
            </w:pPr>
            <w:bookmarkStart w:id="767" w:name="_Toc173318951"/>
            <w:r w:rsidRPr="0053072D">
              <w:rPr>
                <w:rFonts w:eastAsia="Times New Roman" w:cs="Arial"/>
                <w:b/>
                <w:bCs/>
                <w:color w:val="FFFFFF"/>
                <w:sz w:val="20"/>
                <w:szCs w:val="20"/>
                <w:lang w:val="en-ID" w:eastAsia="en-ID"/>
              </w:rPr>
              <w:t>Expected outputs</w:t>
            </w:r>
            <w:bookmarkEnd w:id="767"/>
          </w:p>
        </w:tc>
        <w:tc>
          <w:tcPr>
            <w:tcW w:w="3302" w:type="dxa"/>
            <w:tcBorders>
              <w:top w:val="nil"/>
              <w:left w:val="single" w:sz="4" w:space="0" w:color="FFFFFF" w:themeColor="background2"/>
            </w:tcBorders>
            <w:shd w:val="clear" w:color="auto" w:fill="262C66"/>
          </w:tcPr>
          <w:p w14:paraId="7C73E4C4" w14:textId="14E624FA" w:rsidR="00B30B11" w:rsidRPr="0053072D" w:rsidRDefault="00B30B11" w:rsidP="002D6DCE">
            <w:pPr>
              <w:keepNext/>
              <w:keepLines/>
              <w:spacing w:before="60" w:after="60"/>
              <w:ind w:left="11"/>
              <w:jc w:val="center"/>
              <w:outlineLvl w:val="1"/>
              <w:rPr>
                <w:rFonts w:eastAsia="Times New Roman" w:cs="Arial"/>
                <w:b/>
                <w:bCs/>
                <w:color w:val="FFFFFF"/>
                <w:sz w:val="20"/>
                <w:szCs w:val="20"/>
                <w:lang w:val="en-ID" w:eastAsia="en-ID"/>
              </w:rPr>
            </w:pPr>
            <w:bookmarkStart w:id="768" w:name="_Toc173318952"/>
            <w:r w:rsidRPr="0053072D">
              <w:rPr>
                <w:rFonts w:eastAsia="Times New Roman" w:cs="Arial"/>
                <w:b/>
                <w:bCs/>
                <w:color w:val="FFFFFF"/>
                <w:sz w:val="20"/>
                <w:szCs w:val="20"/>
                <w:lang w:val="en-ID" w:eastAsia="en-ID"/>
              </w:rPr>
              <w:t>Progress update</w:t>
            </w:r>
            <w:bookmarkEnd w:id="768"/>
          </w:p>
        </w:tc>
      </w:tr>
      <w:tr w:rsidR="00B30B11" w:rsidRPr="0053072D" w14:paraId="3D301E45" w14:textId="77777777" w:rsidTr="5583D54B">
        <w:tc>
          <w:tcPr>
            <w:tcW w:w="2002" w:type="dxa"/>
            <w:vMerge w:val="restart"/>
          </w:tcPr>
          <w:p w14:paraId="27349FC9" w14:textId="44CF3C1C"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769" w:name="_Toc173318953"/>
            <w:r w:rsidRPr="0053072D">
              <w:rPr>
                <w:rFonts w:eastAsia="Times New Roman" w:cs="Aptos"/>
                <w:color w:val="000000"/>
                <w:sz w:val="20"/>
                <w:szCs w:val="20"/>
                <w:lang w:val="en-ID" w:eastAsia="en-ID"/>
              </w:rPr>
              <w:t>Strategies towards ensuring greater sustainability</w:t>
            </w:r>
            <w:bookmarkEnd w:id="769"/>
          </w:p>
        </w:tc>
        <w:tc>
          <w:tcPr>
            <w:tcW w:w="2613" w:type="dxa"/>
            <w:vMerge w:val="restart"/>
          </w:tcPr>
          <w:p w14:paraId="28E2B8F0" w14:textId="329B05BB"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770" w:name="_Toc173318954"/>
            <w:r w:rsidRPr="0053072D">
              <w:rPr>
                <w:rFonts w:eastAsia="Times New Roman" w:cs="Aptos"/>
                <w:color w:val="000000"/>
                <w:sz w:val="20"/>
                <w:szCs w:val="20"/>
                <w:lang w:val="en-ID" w:eastAsia="en-ID"/>
              </w:rPr>
              <w:t>Strategic disability inclusion to establish good practice examples and learnings on disability-inclusive business models</w:t>
            </w:r>
            <w:bookmarkEnd w:id="770"/>
          </w:p>
        </w:tc>
        <w:tc>
          <w:tcPr>
            <w:tcW w:w="3787" w:type="dxa"/>
          </w:tcPr>
          <w:p w14:paraId="1CDD9DA4" w14:textId="504DDE74"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771" w:name="_Toc173318955"/>
            <w:r w:rsidRPr="0053072D">
              <w:rPr>
                <w:rFonts w:eastAsia="Times New Roman" w:cs="Aptos"/>
                <w:color w:val="000000"/>
                <w:sz w:val="20"/>
                <w:szCs w:val="20"/>
                <w:lang w:val="en-ID" w:eastAsia="en-ID"/>
              </w:rPr>
              <w:t>Support the private sector in adopting inclusive business practices to include farmers with disabilities in their field marketing and educational activities.</w:t>
            </w:r>
            <w:bookmarkEnd w:id="771"/>
          </w:p>
        </w:tc>
        <w:tc>
          <w:tcPr>
            <w:tcW w:w="2866" w:type="dxa"/>
          </w:tcPr>
          <w:p w14:paraId="7CF556DE" w14:textId="77777777" w:rsidR="00B30B11" w:rsidRPr="0053072D" w:rsidRDefault="00B30B11" w:rsidP="002D6DCE">
            <w:pPr>
              <w:keepNext/>
              <w:keepLines/>
              <w:spacing w:after="80"/>
              <w:ind w:left="105"/>
              <w:outlineLvl w:val="1"/>
              <w:rPr>
                <w:rFonts w:eastAsia="Times New Roman" w:cs="Arial"/>
                <w:color w:val="000000"/>
                <w:sz w:val="20"/>
                <w:szCs w:val="20"/>
                <w:lang w:val="en-ID" w:eastAsia="en-ID"/>
              </w:rPr>
            </w:pPr>
            <w:bookmarkStart w:id="772" w:name="_Toc173318956"/>
            <w:r w:rsidRPr="0053072D">
              <w:rPr>
                <w:rFonts w:eastAsia="Times New Roman" w:cs="Arial"/>
                <w:color w:val="000000"/>
                <w:sz w:val="20"/>
                <w:szCs w:val="20"/>
                <w:lang w:val="en-ID" w:eastAsia="en-ID"/>
              </w:rPr>
              <w:t>Farmers with disabilities are participating in several partners' activities (for example, socialisation events and market engagement)</w:t>
            </w:r>
            <w:bookmarkEnd w:id="772"/>
            <w:r w:rsidRPr="0053072D">
              <w:rPr>
                <w:rFonts w:eastAsia="Times New Roman" w:cs="Arial"/>
                <w:color w:val="000000"/>
                <w:sz w:val="20"/>
                <w:szCs w:val="20"/>
                <w:lang w:val="en-ID" w:eastAsia="en-ID"/>
              </w:rPr>
              <w:t xml:space="preserve"> </w:t>
            </w:r>
          </w:p>
        </w:tc>
        <w:tc>
          <w:tcPr>
            <w:tcW w:w="3302" w:type="dxa"/>
          </w:tcPr>
          <w:p w14:paraId="6B128EFD" w14:textId="27B5B00D" w:rsidR="00B30B11" w:rsidRPr="0053072D" w:rsidRDefault="00B30B11" w:rsidP="00EE453C">
            <w:pPr>
              <w:keepNext/>
              <w:keepLines/>
              <w:spacing w:after="120"/>
              <w:ind w:left="11"/>
              <w:outlineLvl w:val="1"/>
              <w:rPr>
                <w:rFonts w:eastAsia="Times New Roman" w:cs="Arial"/>
                <w:color w:val="0E2841"/>
                <w:sz w:val="20"/>
                <w:szCs w:val="20"/>
                <w:lang w:val="en-ID" w:eastAsia="en-ID"/>
              </w:rPr>
            </w:pPr>
            <w:bookmarkStart w:id="773" w:name="_Toc173318957"/>
            <w:r w:rsidRPr="0053072D">
              <w:rPr>
                <w:rFonts w:eastAsia="Times New Roman" w:cs="Arial"/>
                <w:color w:val="0E2841"/>
                <w:sz w:val="20"/>
                <w:szCs w:val="20"/>
                <w:lang w:val="en-ID" w:eastAsia="en-ID"/>
              </w:rPr>
              <w:t>Cattle farmers with disabilities continued to participate in socialisation events conducted by cattle feed producers - KJUB Puspetasari and Nufeed. Two farmers with disabilities who participated in demo plots and the socialisation events became feed sales agents for Nufeed. In the maize sector, CV Tani Sehati Jaya, a seed nursery in NTT, conducted a trial on seed sortation involving people with disabilities through a partnership with a special school of students with disabilities.</w:t>
            </w:r>
            <w:bookmarkEnd w:id="773"/>
          </w:p>
          <w:p w14:paraId="420461FE" w14:textId="77777777" w:rsidR="00B30B11" w:rsidRPr="0053072D" w:rsidRDefault="00B30B11" w:rsidP="00EE453C">
            <w:pPr>
              <w:keepNext/>
              <w:keepLines/>
              <w:spacing w:after="120" w:line="276" w:lineRule="auto"/>
              <w:ind w:left="11"/>
              <w:outlineLvl w:val="1"/>
              <w:rPr>
                <w:rFonts w:eastAsia="Times New Roman" w:cs="Arial"/>
                <w:color w:val="0E2841"/>
                <w:sz w:val="20"/>
                <w:szCs w:val="20"/>
                <w:lang w:val="en-ID" w:eastAsia="en-ID"/>
              </w:rPr>
            </w:pPr>
            <w:bookmarkStart w:id="774" w:name="_Toc173318958"/>
            <w:r w:rsidRPr="0053072D">
              <w:rPr>
                <w:rFonts w:eastAsia="Times New Roman" w:cs="Arial"/>
                <w:color w:val="0E2841"/>
                <w:sz w:val="20"/>
                <w:szCs w:val="20"/>
                <w:lang w:val="en-ID" w:eastAsia="en-ID"/>
              </w:rPr>
              <w:t xml:space="preserve">At the disability inclusion workshop in Jakarta, PRISMA’s private sector partners shared their experience on participation and accessibility improvement with a broader audience, including agribusiness, organisations of persons with disabilities (OPDs), and development programs. A market brief, “Inclusive strategy for </w:t>
            </w:r>
            <w:r w:rsidRPr="0053072D">
              <w:rPr>
                <w:rFonts w:eastAsia="Times New Roman" w:cs="Arial"/>
                <w:color w:val="0E2841"/>
                <w:sz w:val="20"/>
                <w:szCs w:val="20"/>
                <w:lang w:val="en-ID" w:eastAsia="en-ID"/>
              </w:rPr>
              <w:lastRenderedPageBreak/>
              <w:t xml:space="preserve">agribusinesses to involve farmers with disabilities”, was also </w:t>
            </w:r>
            <w:bookmarkStart w:id="775" w:name="_Int_NayiizVZ"/>
            <w:r w:rsidRPr="0053072D">
              <w:rPr>
                <w:rFonts w:eastAsia="Times New Roman" w:cs="Arial"/>
                <w:color w:val="0E2841"/>
                <w:sz w:val="20"/>
                <w:szCs w:val="20"/>
                <w:lang w:val="en-ID" w:eastAsia="en-ID"/>
              </w:rPr>
              <w:t>disseminated</w:t>
            </w:r>
            <w:bookmarkEnd w:id="775"/>
            <w:r w:rsidRPr="0053072D">
              <w:rPr>
                <w:rFonts w:eastAsia="Times New Roman" w:cs="Arial"/>
                <w:color w:val="0E2841"/>
                <w:sz w:val="20"/>
                <w:szCs w:val="20"/>
                <w:lang w:val="en-ID" w:eastAsia="en-ID"/>
              </w:rPr>
              <w:t xml:space="preserve"> at the event.</w:t>
            </w:r>
            <w:bookmarkEnd w:id="774"/>
            <w:r w:rsidRPr="0053072D">
              <w:rPr>
                <w:rFonts w:eastAsia="Times New Roman" w:cs="Arial"/>
                <w:color w:val="0E2841"/>
                <w:sz w:val="20"/>
                <w:szCs w:val="20"/>
                <w:lang w:val="en-ID" w:eastAsia="en-ID"/>
              </w:rPr>
              <w:t xml:space="preserve">  </w:t>
            </w:r>
          </w:p>
        </w:tc>
      </w:tr>
      <w:tr w:rsidR="00B30B11" w:rsidRPr="0053072D" w14:paraId="12A105C4" w14:textId="77777777" w:rsidTr="5583D54B">
        <w:tc>
          <w:tcPr>
            <w:tcW w:w="2002" w:type="dxa"/>
            <w:vMerge/>
          </w:tcPr>
          <w:p w14:paraId="7A062477" w14:textId="77777777" w:rsidR="00B30B11" w:rsidRPr="0053072D" w:rsidRDefault="00B30B11" w:rsidP="00EE453C">
            <w:pPr>
              <w:keepNext/>
              <w:keepLines/>
              <w:spacing w:after="120"/>
              <w:outlineLvl w:val="1"/>
              <w:rPr>
                <w:rFonts w:eastAsia="Times New Roman" w:cs="Arial"/>
                <w:color w:val="000000"/>
                <w:sz w:val="20"/>
                <w:szCs w:val="20"/>
                <w:lang w:val="en-ID" w:eastAsia="en-ID"/>
              </w:rPr>
            </w:pPr>
          </w:p>
        </w:tc>
        <w:tc>
          <w:tcPr>
            <w:tcW w:w="2613" w:type="dxa"/>
            <w:vMerge/>
          </w:tcPr>
          <w:p w14:paraId="58B1DC8B"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3787" w:type="dxa"/>
          </w:tcPr>
          <w:p w14:paraId="3A66AF51" w14:textId="6513B2B5"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776" w:name="_Toc173318959"/>
            <w:r w:rsidRPr="0053072D">
              <w:rPr>
                <w:rFonts w:eastAsia="Times New Roman" w:cs="Aptos"/>
                <w:color w:val="000000"/>
                <w:sz w:val="20"/>
                <w:szCs w:val="20"/>
                <w:lang w:val="en-ID" w:eastAsia="en-ID"/>
              </w:rPr>
              <w:t>Support the private sector in adopting universal design (UD) principles to improve accessibility for farmers with disabilities.</w:t>
            </w:r>
            <w:bookmarkEnd w:id="776"/>
          </w:p>
        </w:tc>
        <w:tc>
          <w:tcPr>
            <w:tcW w:w="2866" w:type="dxa"/>
          </w:tcPr>
          <w:p w14:paraId="106082B5" w14:textId="73D38B24" w:rsidR="00B30B11" w:rsidRPr="0053072D" w:rsidRDefault="00B30B11" w:rsidP="002D6DCE">
            <w:pPr>
              <w:keepNext/>
              <w:keepLines/>
              <w:spacing w:after="80"/>
              <w:ind w:left="105"/>
              <w:outlineLvl w:val="1"/>
              <w:rPr>
                <w:rFonts w:eastAsia="Times New Roman" w:cs="Arial"/>
                <w:color w:val="000000"/>
                <w:sz w:val="20"/>
                <w:szCs w:val="20"/>
                <w:lang w:val="en-ID" w:eastAsia="en-ID"/>
              </w:rPr>
            </w:pPr>
            <w:bookmarkStart w:id="777" w:name="_Toc173318960"/>
            <w:r w:rsidRPr="0053072D">
              <w:rPr>
                <w:rFonts w:eastAsia="Times New Roman" w:cs="Arial"/>
                <w:color w:val="000000"/>
                <w:sz w:val="20"/>
                <w:szCs w:val="20"/>
                <w:lang w:val="en-ID" w:eastAsia="en-ID"/>
              </w:rPr>
              <w:t>Improved accessibility to private sector partners' information and promotional materials</w:t>
            </w:r>
            <w:bookmarkEnd w:id="777"/>
          </w:p>
        </w:tc>
        <w:tc>
          <w:tcPr>
            <w:tcW w:w="3302" w:type="dxa"/>
          </w:tcPr>
          <w:p w14:paraId="618309C8" w14:textId="77777777" w:rsidR="00B30B11" w:rsidRPr="0053072D" w:rsidRDefault="00B30B11" w:rsidP="00EE453C">
            <w:pPr>
              <w:keepNext/>
              <w:keepLines/>
              <w:spacing w:after="120" w:line="276" w:lineRule="auto"/>
              <w:ind w:left="11"/>
              <w:outlineLvl w:val="1"/>
              <w:rPr>
                <w:rFonts w:cs="Arial"/>
                <w:color w:val="000000"/>
                <w:sz w:val="20"/>
                <w:szCs w:val="20"/>
                <w:lang w:val="en-ID" w:eastAsia="en-ID"/>
              </w:rPr>
            </w:pPr>
            <w:bookmarkStart w:id="778" w:name="_Toc173318961"/>
            <w:r w:rsidRPr="0053072D">
              <w:rPr>
                <w:rFonts w:eastAsia="Times New Roman" w:cs="Arial"/>
                <w:color w:val="000000"/>
                <w:sz w:val="20"/>
                <w:szCs w:val="20"/>
                <w:lang w:val="en-ID" w:eastAsia="en-ID"/>
              </w:rPr>
              <w:t xml:space="preserve">PRISMA supported 3 partners in developing inclusive promotional tools using UD principles. The improvements included: (1) </w:t>
            </w:r>
            <w:r w:rsidRPr="0053072D">
              <w:rPr>
                <w:rFonts w:cs="Arial"/>
                <w:color w:val="000000"/>
                <w:sz w:val="20"/>
                <w:szCs w:val="20"/>
                <w:lang w:val="en-ID" w:eastAsia="en-ID"/>
              </w:rPr>
              <w:t xml:space="preserve">an accessible promotional video with subtitles, appropriately sized with contrasting graphics for MSMB, </w:t>
            </w:r>
            <w:r w:rsidRPr="0053072D">
              <w:rPr>
                <w:rFonts w:eastAsia="Times New Roman" w:cs="Arial"/>
                <w:color w:val="000000"/>
                <w:sz w:val="20"/>
                <w:szCs w:val="20"/>
                <w:lang w:val="en-ID" w:eastAsia="en-ID"/>
              </w:rPr>
              <w:t xml:space="preserve">an agricultural startup company, </w:t>
            </w:r>
            <w:r w:rsidRPr="0053072D">
              <w:rPr>
                <w:rFonts w:cs="Arial"/>
                <w:color w:val="000000"/>
                <w:sz w:val="20"/>
                <w:szCs w:val="20"/>
                <w:lang w:val="en-ID" w:eastAsia="en-ID"/>
              </w:rPr>
              <w:t xml:space="preserve">and YBTS, </w:t>
            </w:r>
            <w:r w:rsidRPr="0053072D">
              <w:rPr>
                <w:rFonts w:eastAsia="Times New Roman" w:cs="Arial"/>
                <w:color w:val="000000"/>
                <w:sz w:val="20"/>
                <w:szCs w:val="20"/>
                <w:lang w:val="en-ID" w:eastAsia="en-ID"/>
              </w:rPr>
              <w:t>a foundation under PT East West Seed Indonesia;</w:t>
            </w:r>
            <w:r w:rsidRPr="0053072D">
              <w:rPr>
                <w:rFonts w:cs="Arial"/>
                <w:color w:val="000000"/>
                <w:sz w:val="20"/>
                <w:szCs w:val="20"/>
                <w:lang w:val="en-ID" w:eastAsia="en-ID"/>
              </w:rPr>
              <w:t xml:space="preserve"> (2) sign language interpretation on the YBTS video; (3) accessible printed promotional tools with better readability for Etong, a crop protection company.</w:t>
            </w:r>
            <w:bookmarkEnd w:id="778"/>
            <w:r w:rsidRPr="0053072D">
              <w:rPr>
                <w:rFonts w:cs="Arial"/>
                <w:color w:val="000000"/>
                <w:sz w:val="20"/>
                <w:szCs w:val="20"/>
                <w:lang w:val="en-ID" w:eastAsia="en-ID"/>
              </w:rPr>
              <w:t xml:space="preserve"> </w:t>
            </w:r>
          </w:p>
          <w:p w14:paraId="7B1B280D" w14:textId="77777777" w:rsidR="00B30B11" w:rsidRPr="0053072D" w:rsidRDefault="00B30B11" w:rsidP="00EE453C">
            <w:pPr>
              <w:keepNext/>
              <w:keepLines/>
              <w:spacing w:after="120" w:line="276" w:lineRule="auto"/>
              <w:ind w:left="11"/>
              <w:outlineLvl w:val="1"/>
              <w:rPr>
                <w:rFonts w:cs="Arial"/>
                <w:color w:val="000000"/>
                <w:sz w:val="20"/>
                <w:szCs w:val="20"/>
                <w:lang w:val="en-ID" w:eastAsia="en-ID"/>
              </w:rPr>
            </w:pPr>
          </w:p>
          <w:p w14:paraId="5BDC783A" w14:textId="77777777" w:rsidR="00B30B11" w:rsidRPr="0053072D" w:rsidRDefault="00B30B11" w:rsidP="00EE453C">
            <w:pPr>
              <w:keepNext/>
              <w:keepLines/>
              <w:spacing w:after="120" w:line="276" w:lineRule="auto"/>
              <w:ind w:left="11"/>
              <w:outlineLvl w:val="1"/>
              <w:rPr>
                <w:rFonts w:eastAsia="Times New Roman" w:cs="Arial"/>
                <w:color w:val="0E2841"/>
                <w:sz w:val="20"/>
                <w:szCs w:val="20"/>
                <w:lang w:val="en-ID" w:eastAsia="en-ID"/>
              </w:rPr>
            </w:pPr>
            <w:bookmarkStart w:id="779" w:name="_Toc173318962"/>
            <w:r w:rsidRPr="0053072D">
              <w:rPr>
                <w:rFonts w:eastAsia="Times New Roman" w:cs="Arial"/>
                <w:color w:val="0E2841"/>
                <w:sz w:val="20"/>
                <w:szCs w:val="20"/>
                <w:lang w:val="en-ID" w:eastAsia="en-ID"/>
              </w:rPr>
              <w:t>PRISMA also shared the Accessibility Guidelines for agriculture with the private sector during the disability inclusion workshop.</w:t>
            </w:r>
            <w:bookmarkEnd w:id="779"/>
            <w:r w:rsidRPr="0053072D">
              <w:rPr>
                <w:rFonts w:eastAsia="Times New Roman" w:cs="Arial"/>
                <w:color w:val="0E2841"/>
                <w:sz w:val="20"/>
                <w:szCs w:val="20"/>
                <w:lang w:val="en-ID" w:eastAsia="en-ID"/>
              </w:rPr>
              <w:t xml:space="preserve"> </w:t>
            </w:r>
          </w:p>
          <w:p w14:paraId="33FD2C80"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r>
      <w:tr w:rsidR="00B30B11" w:rsidRPr="0053072D" w14:paraId="7D803542" w14:textId="77777777" w:rsidTr="5583D54B">
        <w:tc>
          <w:tcPr>
            <w:tcW w:w="2002" w:type="dxa"/>
            <w:vMerge w:val="restart"/>
          </w:tcPr>
          <w:p w14:paraId="4666ECD2" w14:textId="100F052B"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780" w:name="_Toc173318963"/>
            <w:r w:rsidRPr="0053072D">
              <w:rPr>
                <w:rFonts w:eastAsia="Times New Roman" w:cs="Aptos"/>
                <w:color w:val="000000"/>
                <w:sz w:val="20"/>
                <w:szCs w:val="20"/>
                <w:lang w:val="en-ID" w:eastAsia="en-ID"/>
              </w:rPr>
              <w:lastRenderedPageBreak/>
              <w:t>Knowledge harvesting and dissemination</w:t>
            </w:r>
            <w:bookmarkEnd w:id="780"/>
          </w:p>
        </w:tc>
        <w:tc>
          <w:tcPr>
            <w:tcW w:w="2613" w:type="dxa"/>
            <w:vMerge w:val="restart"/>
          </w:tcPr>
          <w:p w14:paraId="75980C1A" w14:textId="2BCC86FF" w:rsidR="00B30B11" w:rsidRPr="0053072D" w:rsidRDefault="00B30B11" w:rsidP="00EE453C">
            <w:pPr>
              <w:keepNext/>
              <w:keepLines/>
              <w:spacing w:after="120"/>
              <w:ind w:left="11"/>
              <w:outlineLvl w:val="1"/>
              <w:rPr>
                <w:rFonts w:eastAsia="Times New Roman" w:cs="Aptos"/>
                <w:bCs/>
                <w:color w:val="000000"/>
                <w:sz w:val="20"/>
                <w:szCs w:val="20"/>
                <w:lang w:val="en-ID" w:eastAsia="en-ID"/>
              </w:rPr>
            </w:pPr>
            <w:bookmarkStart w:id="781" w:name="_Toc173318964"/>
            <w:r w:rsidRPr="0053072D">
              <w:rPr>
                <w:rFonts w:eastAsia="Times New Roman" w:cs="Aptos"/>
                <w:bCs/>
                <w:color w:val="000000"/>
                <w:sz w:val="20"/>
                <w:szCs w:val="20"/>
                <w:lang w:val="en-ID" w:eastAsia="en-ID"/>
              </w:rPr>
              <w:t>Women's economic empowerment (WEE)</w:t>
            </w:r>
            <w:bookmarkEnd w:id="781"/>
          </w:p>
          <w:p w14:paraId="65153D26"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782" w:name="_Toc173318965"/>
            <w:r w:rsidRPr="0053072D">
              <w:rPr>
                <w:rFonts w:eastAsia="Times New Roman" w:cs="Aptos"/>
                <w:color w:val="000000"/>
                <w:sz w:val="20"/>
                <w:szCs w:val="20"/>
                <w:lang w:val="en-ID" w:eastAsia="en-ID"/>
              </w:rPr>
              <w:t>Harvesting knowledge and sharing it with the private and development sectors on women’s inclusion and empowerment</w:t>
            </w:r>
            <w:bookmarkEnd w:id="782"/>
            <w:r w:rsidRPr="0053072D">
              <w:rPr>
                <w:rFonts w:eastAsia="Times New Roman" w:cs="Aptos"/>
                <w:color w:val="000000"/>
                <w:sz w:val="20"/>
                <w:szCs w:val="20"/>
                <w:lang w:val="en-ID" w:eastAsia="en-ID"/>
              </w:rPr>
              <w:t xml:space="preserve">  </w:t>
            </w:r>
          </w:p>
        </w:tc>
        <w:tc>
          <w:tcPr>
            <w:tcW w:w="3787" w:type="dxa"/>
          </w:tcPr>
          <w:p w14:paraId="7AD7D6CF" w14:textId="5FBA820F" w:rsidR="00B30B11" w:rsidRPr="0053072D" w:rsidRDefault="00B30B11" w:rsidP="00EE453C">
            <w:pPr>
              <w:keepNext/>
              <w:keepLines/>
              <w:spacing w:after="240" w:line="276" w:lineRule="auto"/>
              <w:ind w:left="11"/>
              <w:outlineLvl w:val="1"/>
              <w:rPr>
                <w:rFonts w:eastAsia="Times New Roman" w:cs="Aptos"/>
                <w:color w:val="000000"/>
                <w:sz w:val="20"/>
                <w:szCs w:val="20"/>
                <w:lang w:val="en-ID" w:eastAsia="en-ID"/>
              </w:rPr>
            </w:pPr>
            <w:bookmarkStart w:id="783" w:name="_Toc173318966"/>
            <w:r w:rsidRPr="0053072D">
              <w:rPr>
                <w:rFonts w:eastAsia="Times New Roman" w:cs="Aptos"/>
                <w:color w:val="000000"/>
                <w:sz w:val="20"/>
                <w:szCs w:val="20"/>
                <w:lang w:val="en-ID" w:eastAsia="en-ID"/>
              </w:rPr>
              <w:t>Develop learning materials - case studies, guidelines, and learning, which include:</w:t>
            </w:r>
            <w:bookmarkEnd w:id="783"/>
          </w:p>
          <w:p w14:paraId="4558B4A4" w14:textId="77777777" w:rsidR="00B30B11" w:rsidRPr="0053072D" w:rsidRDefault="00B30B11" w:rsidP="00B30B11">
            <w:pPr>
              <w:keepNext/>
              <w:keepLines/>
              <w:numPr>
                <w:ilvl w:val="0"/>
                <w:numId w:val="28"/>
              </w:numPr>
              <w:spacing w:after="240" w:line="276" w:lineRule="auto"/>
              <w:contextualSpacing/>
              <w:outlineLvl w:val="1"/>
              <w:rPr>
                <w:rFonts w:eastAsia="Times New Roman" w:cs="Aptos"/>
                <w:color w:val="000000"/>
                <w:sz w:val="20"/>
                <w:szCs w:val="20"/>
                <w:lang w:val="en-ID" w:eastAsia="en-ID"/>
              </w:rPr>
            </w:pPr>
            <w:bookmarkStart w:id="784" w:name="_Toc173318967"/>
            <w:r w:rsidRPr="0053072D">
              <w:rPr>
                <w:rFonts w:eastAsia="Times New Roman" w:cs="Aptos"/>
                <w:color w:val="000000"/>
                <w:sz w:val="20"/>
                <w:szCs w:val="20"/>
                <w:lang w:val="en-ID" w:eastAsia="en-ID"/>
              </w:rPr>
              <w:t>Creating business opportunities through women sales agents</w:t>
            </w:r>
            <w:bookmarkEnd w:id="784"/>
            <w:r w:rsidRPr="0053072D">
              <w:rPr>
                <w:rFonts w:eastAsia="Times New Roman" w:cs="Aptos"/>
                <w:color w:val="000000"/>
                <w:sz w:val="20"/>
                <w:szCs w:val="20"/>
                <w:lang w:val="en-ID" w:eastAsia="en-ID"/>
              </w:rPr>
              <w:t xml:space="preserve"> </w:t>
            </w:r>
          </w:p>
          <w:p w14:paraId="7716D1B7" w14:textId="3F0F6C62" w:rsidR="00B30B11" w:rsidRPr="0053072D" w:rsidRDefault="00B30B11" w:rsidP="00B30B11">
            <w:pPr>
              <w:keepNext/>
              <w:keepLines/>
              <w:numPr>
                <w:ilvl w:val="0"/>
                <w:numId w:val="28"/>
              </w:numPr>
              <w:spacing w:after="240" w:line="276" w:lineRule="auto"/>
              <w:ind w:left="373"/>
              <w:contextualSpacing/>
              <w:outlineLvl w:val="1"/>
              <w:rPr>
                <w:rFonts w:eastAsia="Times New Roman" w:cs="Aptos"/>
                <w:color w:val="000000"/>
                <w:sz w:val="20"/>
                <w:szCs w:val="20"/>
                <w:lang w:val="en-ID" w:eastAsia="en-ID"/>
              </w:rPr>
            </w:pPr>
            <w:bookmarkStart w:id="785" w:name="_Toc173318968"/>
            <w:r w:rsidRPr="0053072D">
              <w:rPr>
                <w:rFonts w:eastAsia="Times New Roman" w:cs="Aptos"/>
                <w:color w:val="000000"/>
                <w:sz w:val="20"/>
                <w:szCs w:val="20"/>
                <w:lang w:val="en-ID" w:eastAsia="en-ID"/>
              </w:rPr>
              <w:t>Measuring WEE in private sector development programs</w:t>
            </w:r>
            <w:bookmarkEnd w:id="785"/>
          </w:p>
          <w:p w14:paraId="41784707" w14:textId="78335482" w:rsidR="00B30B11" w:rsidRPr="0053072D" w:rsidRDefault="00B30B11" w:rsidP="00B30B11">
            <w:pPr>
              <w:keepNext/>
              <w:keepLines/>
              <w:numPr>
                <w:ilvl w:val="0"/>
                <w:numId w:val="28"/>
              </w:numPr>
              <w:spacing w:after="240" w:line="276" w:lineRule="auto"/>
              <w:ind w:left="373"/>
              <w:contextualSpacing/>
              <w:outlineLvl w:val="1"/>
              <w:rPr>
                <w:rFonts w:eastAsia="Times New Roman" w:cs="Aptos"/>
                <w:color w:val="000000"/>
                <w:sz w:val="20"/>
                <w:szCs w:val="20"/>
                <w:lang w:val="en-ID" w:eastAsia="en-ID"/>
              </w:rPr>
            </w:pPr>
            <w:bookmarkStart w:id="786" w:name="_Toc173318969"/>
            <w:r w:rsidRPr="0053072D">
              <w:rPr>
                <w:rFonts w:eastAsia="Times New Roman" w:cs="Aptos"/>
                <w:color w:val="000000"/>
                <w:sz w:val="20"/>
                <w:szCs w:val="20"/>
                <w:lang w:val="en-ID" w:eastAsia="en-ID"/>
              </w:rPr>
              <w:t>Guidelines for the private sector on women-inclusive business strategies</w:t>
            </w:r>
            <w:bookmarkEnd w:id="786"/>
          </w:p>
          <w:p w14:paraId="3E49A099" w14:textId="687F512E" w:rsidR="00B30B11" w:rsidRPr="0053072D" w:rsidRDefault="00B30B11" w:rsidP="00B30B11">
            <w:pPr>
              <w:keepNext/>
              <w:keepLines/>
              <w:numPr>
                <w:ilvl w:val="0"/>
                <w:numId w:val="28"/>
              </w:numPr>
              <w:spacing w:after="240" w:line="276" w:lineRule="auto"/>
              <w:ind w:left="373"/>
              <w:contextualSpacing/>
              <w:outlineLvl w:val="1"/>
              <w:rPr>
                <w:rFonts w:eastAsia="Times New Roman" w:cs="Aptos"/>
                <w:color w:val="000000"/>
                <w:sz w:val="20"/>
                <w:szCs w:val="20"/>
                <w:lang w:val="en-ID" w:eastAsia="en-ID"/>
              </w:rPr>
            </w:pPr>
            <w:bookmarkStart w:id="787" w:name="_Toc173318970"/>
            <w:r w:rsidRPr="0053072D">
              <w:rPr>
                <w:rFonts w:eastAsia="Times New Roman" w:cs="Aptos"/>
                <w:color w:val="000000"/>
                <w:sz w:val="20"/>
                <w:szCs w:val="20"/>
                <w:lang w:val="en-ID" w:eastAsia="en-ID"/>
              </w:rPr>
              <w:t>Practitioner's guidelines for the development sector on women-inclusive business strategies</w:t>
            </w:r>
            <w:bookmarkEnd w:id="787"/>
          </w:p>
          <w:p w14:paraId="29A2EB3E" w14:textId="77777777" w:rsidR="00B30B11" w:rsidRPr="0053072D" w:rsidRDefault="00B30B11" w:rsidP="00B30B11">
            <w:pPr>
              <w:keepNext/>
              <w:keepLines/>
              <w:numPr>
                <w:ilvl w:val="0"/>
                <w:numId w:val="28"/>
              </w:numPr>
              <w:spacing w:after="240" w:line="276" w:lineRule="auto"/>
              <w:ind w:left="373"/>
              <w:contextualSpacing/>
              <w:outlineLvl w:val="1"/>
              <w:rPr>
                <w:rFonts w:eastAsia="Times New Roman" w:cs="Arial"/>
                <w:color w:val="000000"/>
                <w:sz w:val="20"/>
                <w:szCs w:val="20"/>
                <w:lang w:val="en-ID" w:eastAsia="en-ID"/>
              </w:rPr>
            </w:pPr>
            <w:bookmarkStart w:id="788" w:name="_Toc173318971"/>
            <w:r w:rsidRPr="0053072D">
              <w:rPr>
                <w:rFonts w:eastAsia="Times New Roman" w:cs="Aptos"/>
                <w:color w:val="000000"/>
                <w:sz w:val="20"/>
                <w:szCs w:val="20"/>
                <w:lang w:val="en-ID" w:eastAsia="en-ID"/>
              </w:rPr>
              <w:t>Learning on the agency dimension of WEE</w:t>
            </w:r>
            <w:bookmarkEnd w:id="788"/>
            <w:r w:rsidRPr="0053072D">
              <w:rPr>
                <w:rFonts w:eastAsia="Times New Roman" w:cs="Aptos"/>
                <w:color w:val="000000"/>
                <w:sz w:val="20"/>
                <w:szCs w:val="20"/>
                <w:lang w:val="en-ID" w:eastAsia="en-ID"/>
              </w:rPr>
              <w:t xml:space="preserve"> </w:t>
            </w:r>
          </w:p>
        </w:tc>
        <w:tc>
          <w:tcPr>
            <w:tcW w:w="2866" w:type="dxa"/>
          </w:tcPr>
          <w:p w14:paraId="6A27854F" w14:textId="77777777" w:rsidR="00B30B11" w:rsidRPr="0053072D" w:rsidRDefault="00B30B11" w:rsidP="002D6DCE">
            <w:pPr>
              <w:keepNext/>
              <w:keepLines/>
              <w:spacing w:after="80"/>
              <w:ind w:left="105"/>
              <w:outlineLvl w:val="1"/>
              <w:rPr>
                <w:rFonts w:eastAsia="Times New Roman" w:cs="Arial"/>
                <w:color w:val="000000"/>
                <w:sz w:val="20"/>
                <w:szCs w:val="20"/>
                <w:lang w:val="en-ID" w:eastAsia="en-ID"/>
              </w:rPr>
            </w:pPr>
            <w:bookmarkStart w:id="789" w:name="_Toc173318972"/>
            <w:r w:rsidRPr="0053072D">
              <w:rPr>
                <w:rFonts w:eastAsia="Times New Roman" w:cs="Arial"/>
                <w:color w:val="000000"/>
                <w:sz w:val="20"/>
                <w:szCs w:val="20"/>
                <w:lang w:val="en-ID" w:eastAsia="en-ID"/>
              </w:rPr>
              <w:t>WEE learning materials</w:t>
            </w:r>
            <w:bookmarkEnd w:id="789"/>
            <w:r w:rsidRPr="0053072D">
              <w:rPr>
                <w:rFonts w:eastAsia="Times New Roman" w:cs="Arial"/>
                <w:color w:val="000000"/>
                <w:sz w:val="20"/>
                <w:szCs w:val="20"/>
                <w:lang w:val="en-ID" w:eastAsia="en-ID"/>
              </w:rPr>
              <w:t xml:space="preserve"> </w:t>
            </w:r>
          </w:p>
        </w:tc>
        <w:tc>
          <w:tcPr>
            <w:tcW w:w="3302" w:type="dxa"/>
          </w:tcPr>
          <w:p w14:paraId="09321519" w14:textId="77777777" w:rsidR="00B30B11" w:rsidRPr="0053072D" w:rsidRDefault="00B30B11" w:rsidP="00B30B11">
            <w:pPr>
              <w:keepNext/>
              <w:keepLines/>
              <w:numPr>
                <w:ilvl w:val="0"/>
                <w:numId w:val="14"/>
              </w:numPr>
              <w:spacing w:after="80"/>
              <w:outlineLvl w:val="1"/>
              <w:rPr>
                <w:rFonts w:eastAsia="Times New Roman" w:cs="Arial"/>
                <w:color w:val="000000"/>
                <w:sz w:val="20"/>
                <w:szCs w:val="20"/>
                <w:lang w:val="en-ID" w:eastAsia="en-ID"/>
              </w:rPr>
            </w:pPr>
            <w:bookmarkStart w:id="790" w:name="_Toc173318973"/>
            <w:r w:rsidRPr="0053072D">
              <w:rPr>
                <w:rFonts w:eastAsia="Times New Roman" w:cs="Arial"/>
                <w:color w:val="000000"/>
                <w:sz w:val="20"/>
                <w:szCs w:val="20"/>
                <w:lang w:val="en-ID" w:eastAsia="en-ID"/>
              </w:rPr>
              <w:t>PRISMA is developing a market brief on opportunities for engaging women sales agents for crop protection companies.</w:t>
            </w:r>
            <w:bookmarkEnd w:id="790"/>
            <w:r w:rsidRPr="0053072D">
              <w:rPr>
                <w:rFonts w:eastAsia="Times New Roman" w:cs="Arial"/>
                <w:color w:val="000000"/>
                <w:sz w:val="20"/>
                <w:szCs w:val="20"/>
                <w:lang w:val="en-ID" w:eastAsia="en-ID"/>
              </w:rPr>
              <w:t xml:space="preserve"> </w:t>
            </w:r>
          </w:p>
          <w:p w14:paraId="61601B0D" w14:textId="77777777" w:rsidR="00B30B11" w:rsidRPr="0053072D" w:rsidRDefault="00B30B11" w:rsidP="00EE453C">
            <w:pPr>
              <w:keepNext/>
              <w:keepLines/>
              <w:spacing w:after="120"/>
              <w:ind w:left="254" w:hanging="254"/>
              <w:outlineLvl w:val="1"/>
              <w:rPr>
                <w:rFonts w:eastAsia="Times New Roman" w:cs="Arial"/>
                <w:color w:val="000000"/>
                <w:sz w:val="20"/>
                <w:szCs w:val="20"/>
                <w:lang w:val="en-ID" w:eastAsia="en-ID"/>
              </w:rPr>
            </w:pPr>
          </w:p>
          <w:p w14:paraId="3EFA99B0" w14:textId="2B886883" w:rsidR="00B30B11" w:rsidRPr="0053072D" w:rsidRDefault="00B30B11" w:rsidP="00B30B11">
            <w:pPr>
              <w:keepNext/>
              <w:keepLines/>
              <w:numPr>
                <w:ilvl w:val="0"/>
                <w:numId w:val="14"/>
              </w:numPr>
              <w:spacing w:after="120"/>
              <w:contextualSpacing/>
              <w:outlineLvl w:val="1"/>
              <w:rPr>
                <w:rFonts w:eastAsia="Times New Roman" w:cs="Arial"/>
                <w:sz w:val="20"/>
                <w:szCs w:val="20"/>
                <w:lang w:val="en-ID" w:eastAsia="en-ID"/>
              </w:rPr>
            </w:pPr>
            <w:bookmarkStart w:id="791" w:name="_Toc173318974"/>
            <w:r w:rsidRPr="0053072D">
              <w:rPr>
                <w:rFonts w:eastAsia="Times New Roman" w:cs="Arial"/>
                <w:color w:val="000000"/>
                <w:sz w:val="20"/>
                <w:szCs w:val="20"/>
                <w:lang w:val="en-ID" w:eastAsia="en-ID"/>
              </w:rPr>
              <w:t xml:space="preserve">PRISMA has commissioned Daya Makara, University of Indonesia, to conduct a study on Return on Investment (ROI) for women-inclusive businesses. The study is currently in the data collection stage and is </w:t>
            </w:r>
            <w:r w:rsidRPr="0053072D">
              <w:rPr>
                <w:rFonts w:eastAsia="Times New Roman" w:cs="Arial"/>
                <w:sz w:val="20"/>
                <w:szCs w:val="20"/>
                <w:lang w:val="en-ID" w:eastAsia="en-ID"/>
              </w:rPr>
              <w:t>expected to be completed by August.</w:t>
            </w:r>
            <w:bookmarkEnd w:id="791"/>
          </w:p>
          <w:p w14:paraId="2EE6D838" w14:textId="77777777" w:rsidR="00B30B11" w:rsidRPr="0053072D" w:rsidRDefault="00B30B11" w:rsidP="00EE453C">
            <w:pPr>
              <w:keepNext/>
              <w:keepLines/>
              <w:spacing w:after="120"/>
              <w:ind w:left="720"/>
              <w:contextualSpacing/>
              <w:outlineLvl w:val="1"/>
              <w:rPr>
                <w:rFonts w:eastAsia="Times New Roman" w:cs="Arial"/>
                <w:sz w:val="20"/>
                <w:szCs w:val="20"/>
                <w:lang w:val="en-ID" w:eastAsia="en-ID"/>
              </w:rPr>
            </w:pPr>
          </w:p>
          <w:p w14:paraId="6901A9AB" w14:textId="4B80FDD8" w:rsidR="00B30B11" w:rsidRPr="0053072D" w:rsidRDefault="00B30B11" w:rsidP="00B30B11">
            <w:pPr>
              <w:keepNext/>
              <w:keepLines/>
              <w:numPr>
                <w:ilvl w:val="0"/>
                <w:numId w:val="14"/>
              </w:numPr>
              <w:contextualSpacing/>
              <w:outlineLvl w:val="1"/>
              <w:rPr>
                <w:rFonts w:eastAsia="Times New Roman" w:cs="Arial"/>
                <w:color w:val="FF0000"/>
                <w:sz w:val="20"/>
                <w:szCs w:val="20"/>
                <w:lang w:val="en-ID" w:eastAsia="en-ID"/>
              </w:rPr>
            </w:pPr>
            <w:bookmarkStart w:id="792" w:name="_Toc173318975"/>
            <w:r w:rsidRPr="0053072D">
              <w:rPr>
                <w:rFonts w:eastAsia="Times New Roman" w:cs="Arial"/>
                <w:sz w:val="20"/>
                <w:szCs w:val="20"/>
                <w:lang w:val="en-ID" w:eastAsia="en-ID"/>
              </w:rPr>
              <w:t>PRISMA developed and disseminated the follo</w:t>
            </w:r>
            <w:r w:rsidRPr="0053072D">
              <w:rPr>
                <w:rFonts w:eastAsia="Times New Roman" w:cs="Arial"/>
                <w:color w:val="000000"/>
                <w:sz w:val="20"/>
                <w:szCs w:val="20"/>
                <w:lang w:val="en-ID" w:eastAsia="en-ID"/>
              </w:rPr>
              <w:t>wing documents: (a) a guideline on reaching more women farmers in promotional activities and for agribusinesses and field staff; (2) a revised version of a guideline on gender-based violence in agriculture  (3) a market brief on boosting mungbean seed sales through reaching more women; and (4)  learning on gender roles in kiosk management.</w:t>
            </w:r>
            <w:bookmarkEnd w:id="792"/>
          </w:p>
          <w:p w14:paraId="7FD6F057" w14:textId="77777777" w:rsidR="00B30B11" w:rsidRPr="0053072D" w:rsidRDefault="00B30B11" w:rsidP="00B30B11">
            <w:pPr>
              <w:keepNext/>
              <w:keepLines/>
              <w:numPr>
                <w:ilvl w:val="0"/>
                <w:numId w:val="14"/>
              </w:numPr>
              <w:contextualSpacing/>
              <w:outlineLvl w:val="1"/>
              <w:rPr>
                <w:rFonts w:eastAsia="Times New Roman" w:cs="Arial"/>
                <w:color w:val="000000"/>
                <w:sz w:val="20"/>
                <w:szCs w:val="20"/>
                <w:lang w:val="en-ID" w:eastAsia="en-ID"/>
              </w:rPr>
            </w:pPr>
            <w:bookmarkStart w:id="793" w:name="_Toc173318976"/>
            <w:r w:rsidRPr="0053072D">
              <w:rPr>
                <w:rFonts w:eastAsia="Times New Roman" w:cs="Arial"/>
                <w:color w:val="000000"/>
                <w:sz w:val="20"/>
                <w:szCs w:val="20"/>
                <w:lang w:val="en-ID" w:eastAsia="en-ID"/>
              </w:rPr>
              <w:lastRenderedPageBreak/>
              <w:t xml:space="preserve">PRISMA is currently </w:t>
            </w:r>
            <w:r>
              <w:rPr>
                <w:rFonts w:eastAsia="Times New Roman" w:cs="Arial"/>
                <w:color w:val="000000"/>
                <w:sz w:val="20"/>
                <w:szCs w:val="20"/>
                <w:lang w:val="en-ID" w:eastAsia="en-ID"/>
              </w:rPr>
              <w:t>developing the practitioners guidelines</w:t>
            </w:r>
            <w:r w:rsidRPr="0053072D">
              <w:rPr>
                <w:rFonts w:eastAsia="Times New Roman" w:cs="Arial"/>
                <w:color w:val="000000"/>
                <w:sz w:val="20"/>
                <w:szCs w:val="20"/>
                <w:lang w:val="en-ID" w:eastAsia="en-ID"/>
              </w:rPr>
              <w:t xml:space="preserve"> and will finalise the</w:t>
            </w:r>
            <w:r>
              <w:rPr>
                <w:rFonts w:eastAsia="Times New Roman" w:cs="Arial"/>
                <w:color w:val="000000"/>
                <w:sz w:val="20"/>
                <w:szCs w:val="20"/>
                <w:lang w:val="en-ID" w:eastAsia="en-ID"/>
              </w:rPr>
              <w:t>m</w:t>
            </w:r>
            <w:r w:rsidRPr="0053072D">
              <w:rPr>
                <w:rFonts w:eastAsia="Times New Roman" w:cs="Arial"/>
                <w:color w:val="000000"/>
                <w:sz w:val="20"/>
                <w:szCs w:val="20"/>
                <w:lang w:val="en-ID" w:eastAsia="en-ID"/>
              </w:rPr>
              <w:t xml:space="preserve"> by early August.</w:t>
            </w:r>
            <w:bookmarkEnd w:id="793"/>
            <w:r w:rsidRPr="0053072D">
              <w:rPr>
                <w:rFonts w:eastAsia="Times New Roman" w:cs="Arial"/>
                <w:color w:val="000000"/>
                <w:sz w:val="20"/>
                <w:szCs w:val="20"/>
                <w:lang w:val="en-ID" w:eastAsia="en-ID"/>
              </w:rPr>
              <w:t xml:space="preserve"> </w:t>
            </w:r>
          </w:p>
          <w:p w14:paraId="73CF3708" w14:textId="77777777" w:rsidR="00B30B11" w:rsidRPr="0053072D" w:rsidRDefault="00B30B11" w:rsidP="00EE453C">
            <w:pPr>
              <w:keepNext/>
              <w:keepLines/>
              <w:spacing w:after="120"/>
              <w:ind w:left="720"/>
              <w:contextualSpacing/>
              <w:outlineLvl w:val="1"/>
              <w:rPr>
                <w:rFonts w:eastAsia="Times New Roman" w:cs="Arial"/>
                <w:color w:val="000000"/>
                <w:sz w:val="20"/>
                <w:szCs w:val="20"/>
                <w:lang w:val="en-ID" w:eastAsia="en-ID"/>
              </w:rPr>
            </w:pPr>
          </w:p>
          <w:p w14:paraId="6F7F30CE" w14:textId="6AFDC7DE" w:rsidR="00B30B11" w:rsidRPr="0053072D" w:rsidRDefault="00B30B11" w:rsidP="00B30B11">
            <w:pPr>
              <w:keepNext/>
              <w:keepLines/>
              <w:numPr>
                <w:ilvl w:val="0"/>
                <w:numId w:val="14"/>
              </w:numPr>
              <w:spacing w:after="120"/>
              <w:contextualSpacing/>
              <w:outlineLvl w:val="1"/>
              <w:rPr>
                <w:rFonts w:eastAsia="Times New Roman" w:cs="Arial"/>
                <w:color w:val="000000"/>
                <w:sz w:val="20"/>
                <w:szCs w:val="20"/>
                <w:lang w:val="en-ID" w:eastAsia="en-ID"/>
              </w:rPr>
            </w:pPr>
            <w:bookmarkStart w:id="794" w:name="_Toc173318977"/>
            <w:r w:rsidRPr="0053072D">
              <w:rPr>
                <w:rFonts w:eastAsia="Times New Roman" w:cs="Arial"/>
                <w:color w:val="000000"/>
                <w:sz w:val="20"/>
                <w:szCs w:val="20"/>
                <w:lang w:val="en-ID" w:eastAsia="en-ID"/>
              </w:rPr>
              <w:t>Given the private sector’s low traction on agency, PRISMA will focus on developing other knowledge products that are more focused on the needs of the private sector.</w:t>
            </w:r>
            <w:bookmarkEnd w:id="794"/>
          </w:p>
        </w:tc>
      </w:tr>
      <w:tr w:rsidR="00B30B11" w:rsidRPr="0053072D" w14:paraId="163B3E24" w14:textId="77777777" w:rsidTr="5583D54B">
        <w:tc>
          <w:tcPr>
            <w:tcW w:w="2002" w:type="dxa"/>
            <w:vMerge/>
          </w:tcPr>
          <w:p w14:paraId="3A8830DE"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13" w:type="dxa"/>
            <w:vMerge/>
          </w:tcPr>
          <w:p w14:paraId="15C79349"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3787" w:type="dxa"/>
          </w:tcPr>
          <w:p w14:paraId="246A1ACF"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795" w:name="_Toc173318978"/>
            <w:r w:rsidRPr="0053072D">
              <w:rPr>
                <w:rFonts w:eastAsia="Times New Roman" w:cs="Aptos"/>
                <w:color w:val="000000"/>
                <w:sz w:val="20"/>
                <w:szCs w:val="20"/>
                <w:lang w:val="en-ID" w:eastAsia="en-ID"/>
              </w:rPr>
              <w:t>Disseminate learning products through webinars and workshops.</w:t>
            </w:r>
            <w:bookmarkEnd w:id="795"/>
            <w:r w:rsidRPr="0053072D">
              <w:rPr>
                <w:rFonts w:eastAsia="Times New Roman" w:cs="Aptos"/>
                <w:color w:val="000000"/>
                <w:sz w:val="20"/>
                <w:szCs w:val="20"/>
                <w:lang w:val="en-ID" w:eastAsia="en-ID"/>
              </w:rPr>
              <w:t xml:space="preserve"> </w:t>
            </w:r>
          </w:p>
        </w:tc>
        <w:tc>
          <w:tcPr>
            <w:tcW w:w="2866" w:type="dxa"/>
          </w:tcPr>
          <w:p w14:paraId="15932F06" w14:textId="76209BDC" w:rsidR="00B30B11" w:rsidRPr="0053072D" w:rsidRDefault="00B30B11" w:rsidP="002D6DCE">
            <w:pPr>
              <w:keepNext/>
              <w:keepLines/>
              <w:spacing w:after="80"/>
              <w:ind w:left="105"/>
              <w:outlineLvl w:val="1"/>
              <w:rPr>
                <w:rFonts w:eastAsia="Times New Roman" w:cs="Arial"/>
                <w:color w:val="000000"/>
                <w:sz w:val="20"/>
                <w:szCs w:val="20"/>
                <w:lang w:val="en-ID" w:eastAsia="en-ID"/>
              </w:rPr>
            </w:pPr>
            <w:bookmarkStart w:id="796" w:name="_Toc173318979"/>
            <w:r w:rsidRPr="0053072D">
              <w:rPr>
                <w:rFonts w:eastAsia="Times New Roman" w:cs="Arial"/>
                <w:color w:val="000000"/>
                <w:sz w:val="20"/>
                <w:szCs w:val="20"/>
                <w:lang w:val="en-ID" w:eastAsia="en-ID"/>
              </w:rPr>
              <w:t>Webinars/workshops on WEE attended by relevant stakeholders. The</w:t>
            </w:r>
            <w:r w:rsidRPr="0053072D">
              <w:rPr>
                <w:rFonts w:eastAsia="Times New Roman" w:cs="Arial"/>
                <w:color w:val="000000"/>
                <w:sz w:val="20"/>
                <w:szCs w:val="20"/>
                <w:lang w:val="en-ID" w:eastAsia="en-ID"/>
              </w:rPr>
              <w:br/>
              <w:t>WEE learning materials are shared with relevant stakeholders through different communication mediums.</w:t>
            </w:r>
            <w:bookmarkEnd w:id="796"/>
          </w:p>
        </w:tc>
        <w:tc>
          <w:tcPr>
            <w:tcW w:w="3302" w:type="dxa"/>
          </w:tcPr>
          <w:p w14:paraId="4A7FB905" w14:textId="77777777" w:rsidR="00B30B11" w:rsidRPr="0053072D" w:rsidRDefault="00B30B11" w:rsidP="00EE453C">
            <w:pPr>
              <w:keepNext/>
              <w:keepLines/>
              <w:spacing w:after="120" w:line="276" w:lineRule="auto"/>
              <w:ind w:left="11"/>
              <w:outlineLvl w:val="1"/>
              <w:rPr>
                <w:rFonts w:eastAsia="Times New Roman" w:cs="Arial"/>
                <w:color w:val="0E2841"/>
                <w:sz w:val="20"/>
                <w:szCs w:val="20"/>
                <w:lang w:val="en-ID" w:eastAsia="en-ID"/>
              </w:rPr>
            </w:pPr>
            <w:bookmarkStart w:id="797" w:name="_Toc173318980"/>
            <w:r w:rsidRPr="0053072D">
              <w:rPr>
                <w:rFonts w:eastAsia="Times New Roman" w:cs="Arial"/>
                <w:color w:val="000000"/>
                <w:sz w:val="20"/>
                <w:szCs w:val="20"/>
                <w:lang w:val="en-ID" w:eastAsia="en-ID"/>
              </w:rPr>
              <w:t>PRISMA, in collaboration with PISAgro, conducted a</w:t>
            </w:r>
            <w:r w:rsidRPr="0053072D">
              <w:rPr>
                <w:rFonts w:eastAsia="Times New Roman" w:cs="Arial"/>
                <w:color w:val="0E2841"/>
                <w:sz w:val="20"/>
                <w:szCs w:val="20"/>
                <w:lang w:val="en-ID" w:eastAsia="en-ID"/>
              </w:rPr>
              <w:t xml:space="preserve"> workshop on WEE in Jakarta to celebrate International Women’s Day. Eighty-seven participants from various agribusinesses attended the workshop, where keynote speakers and panellists shared their experiences on promoting and conducting women-inclusive businesses.</w:t>
            </w:r>
            <w:bookmarkEnd w:id="797"/>
            <w:r w:rsidRPr="0053072D">
              <w:rPr>
                <w:rFonts w:eastAsia="Times New Roman" w:cs="Arial"/>
                <w:color w:val="0E2841"/>
                <w:sz w:val="20"/>
                <w:szCs w:val="20"/>
                <w:lang w:val="en-ID" w:eastAsia="en-ID"/>
              </w:rPr>
              <w:t xml:space="preserve"> </w:t>
            </w:r>
          </w:p>
          <w:p w14:paraId="20E9C55E" w14:textId="71053E23" w:rsidR="00B30B11" w:rsidRPr="0053072D" w:rsidRDefault="00B30B11" w:rsidP="00EE453C">
            <w:pPr>
              <w:keepNext/>
              <w:keepLines/>
              <w:spacing w:after="120" w:line="276" w:lineRule="auto"/>
              <w:ind w:left="11"/>
              <w:outlineLvl w:val="1"/>
              <w:rPr>
                <w:rFonts w:eastAsia="Times New Roman" w:cs="Arial"/>
                <w:color w:val="0E2841"/>
                <w:sz w:val="20"/>
                <w:szCs w:val="20"/>
                <w:lang w:val="en-ID" w:eastAsia="en-ID"/>
              </w:rPr>
            </w:pPr>
            <w:bookmarkStart w:id="798" w:name="_Toc173318981"/>
            <w:r w:rsidRPr="0053072D">
              <w:rPr>
                <w:rFonts w:eastAsia="Times New Roman" w:cs="Arial"/>
                <w:color w:val="0E2841"/>
                <w:sz w:val="20"/>
                <w:szCs w:val="20"/>
                <w:lang w:val="en-ID" w:eastAsia="en-ID"/>
              </w:rPr>
              <w:t xml:space="preserve">Several WEE-related learning documents were shared at the workshop, including: (1) Guidebook for Marketing Teams, Agronomists, and Field Staff; (2) PRISMA Direct Sales Agent Research; (3) Reaching Women Farmers: Tips for Indonesian </w:t>
            </w:r>
            <w:r w:rsidRPr="0053072D">
              <w:rPr>
                <w:rFonts w:eastAsia="Times New Roman" w:cs="Arial"/>
                <w:color w:val="0E2841"/>
                <w:sz w:val="20"/>
                <w:szCs w:val="20"/>
                <w:lang w:val="en-ID" w:eastAsia="en-ID"/>
              </w:rPr>
              <w:lastRenderedPageBreak/>
              <w:t>Agribusinesses; and (4) Women Farmers Stories.</w:t>
            </w:r>
            <w:bookmarkEnd w:id="798"/>
          </w:p>
          <w:p w14:paraId="434564BD" w14:textId="77777777" w:rsidR="00B30B11" w:rsidRPr="0053072D" w:rsidRDefault="00B30B11" w:rsidP="00EE453C">
            <w:pPr>
              <w:keepNext/>
              <w:keepLines/>
              <w:spacing w:after="120" w:line="276" w:lineRule="auto"/>
              <w:ind w:left="11"/>
              <w:outlineLvl w:val="1"/>
              <w:rPr>
                <w:rFonts w:eastAsia="Times New Roman" w:cs="Arial"/>
                <w:color w:val="0E2841"/>
                <w:sz w:val="20"/>
                <w:szCs w:val="20"/>
                <w:lang w:val="en-ID" w:eastAsia="en-ID"/>
              </w:rPr>
            </w:pPr>
          </w:p>
          <w:p w14:paraId="58368C56" w14:textId="77777777" w:rsidR="00B30B11" w:rsidRPr="0053072D" w:rsidRDefault="00B30B11" w:rsidP="00EE453C">
            <w:pPr>
              <w:keepNext/>
              <w:keepLines/>
              <w:spacing w:after="120" w:line="276" w:lineRule="auto"/>
              <w:ind w:left="11"/>
              <w:outlineLvl w:val="1"/>
              <w:rPr>
                <w:rFonts w:eastAsia="Times New Roman" w:cs="Arial"/>
                <w:color w:val="000000"/>
                <w:sz w:val="20"/>
                <w:szCs w:val="20"/>
                <w:lang w:val="en-ID" w:eastAsia="en-ID"/>
              </w:rPr>
            </w:pPr>
            <w:bookmarkStart w:id="799" w:name="_Toc173318982"/>
            <w:r w:rsidRPr="0053072D">
              <w:rPr>
                <w:rFonts w:eastAsia="Times New Roman" w:cs="Arial"/>
                <w:color w:val="000000"/>
                <w:sz w:val="20"/>
                <w:szCs w:val="20"/>
                <w:lang w:val="en-ID" w:eastAsia="en-ID"/>
              </w:rPr>
              <w:t>PRISMA developed a market brief on how to increase mungbean seed sales by reaching more women farmers. The market brief was disseminated and presented during the mungbean discussion forum event organised by the mungbean sector team.</w:t>
            </w:r>
            <w:bookmarkEnd w:id="799"/>
            <w:r w:rsidRPr="0053072D">
              <w:rPr>
                <w:rFonts w:eastAsia="Times New Roman" w:cs="Arial"/>
                <w:color w:val="000000"/>
                <w:sz w:val="20"/>
                <w:szCs w:val="20"/>
                <w:lang w:val="en-ID" w:eastAsia="en-ID"/>
              </w:rPr>
              <w:t xml:space="preserve"> </w:t>
            </w:r>
          </w:p>
          <w:p w14:paraId="3FB2ABBD" w14:textId="77777777" w:rsidR="00B30B11" w:rsidRPr="0053072D" w:rsidRDefault="00B30B11" w:rsidP="00EE453C">
            <w:pPr>
              <w:keepNext/>
              <w:keepLines/>
              <w:spacing w:after="120" w:line="276" w:lineRule="auto"/>
              <w:ind w:left="11"/>
              <w:outlineLvl w:val="1"/>
              <w:rPr>
                <w:rFonts w:eastAsia="Times New Roman" w:cs="Arial"/>
                <w:color w:val="000000"/>
                <w:sz w:val="20"/>
                <w:szCs w:val="20"/>
                <w:highlight w:val="yellow"/>
                <w:lang w:val="en-ID" w:eastAsia="en-ID"/>
              </w:rPr>
            </w:pPr>
          </w:p>
          <w:p w14:paraId="44734C19"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00" w:name="_Toc173318983"/>
            <w:r w:rsidRPr="0053072D">
              <w:rPr>
                <w:rFonts w:eastAsia="Times New Roman" w:cs="Arial"/>
                <w:color w:val="000000"/>
                <w:sz w:val="20"/>
                <w:szCs w:val="20"/>
                <w:lang w:val="en-ID" w:eastAsia="en-ID"/>
              </w:rPr>
              <w:t>PRISMA also presented learning on mainstreaming GEDSI through the MSD approach in an MSD training for government and academia in Surabaya 2024.</w:t>
            </w:r>
            <w:bookmarkEnd w:id="800"/>
            <w:r w:rsidRPr="0053072D">
              <w:rPr>
                <w:rFonts w:eastAsia="Times New Roman" w:cs="Arial"/>
                <w:color w:val="000000"/>
                <w:sz w:val="20"/>
                <w:szCs w:val="20"/>
                <w:lang w:val="en-ID" w:eastAsia="en-ID"/>
              </w:rPr>
              <w:t xml:space="preserve">  </w:t>
            </w:r>
          </w:p>
        </w:tc>
      </w:tr>
      <w:tr w:rsidR="00B30B11" w:rsidRPr="0053072D" w14:paraId="44AB4E2D" w14:textId="77777777" w:rsidTr="5583D54B">
        <w:tc>
          <w:tcPr>
            <w:tcW w:w="2002" w:type="dxa"/>
            <w:vMerge/>
          </w:tcPr>
          <w:p w14:paraId="79CBA37F"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613" w:type="dxa"/>
            <w:vMerge w:val="restart"/>
          </w:tcPr>
          <w:p w14:paraId="144C36BA" w14:textId="68ED67DC" w:rsidR="00B30B11" w:rsidRPr="0053072D" w:rsidRDefault="00B30B11" w:rsidP="00EE453C">
            <w:pPr>
              <w:keepNext/>
              <w:keepLines/>
              <w:spacing w:after="120"/>
              <w:ind w:left="11"/>
              <w:outlineLvl w:val="1"/>
              <w:rPr>
                <w:rFonts w:eastAsia="Times New Roman" w:cs="Aptos"/>
                <w:b/>
                <w:color w:val="000000"/>
                <w:sz w:val="20"/>
                <w:szCs w:val="20"/>
                <w:lang w:val="en-ID" w:eastAsia="en-ID"/>
              </w:rPr>
            </w:pPr>
            <w:bookmarkStart w:id="801" w:name="_Toc173318984"/>
            <w:r w:rsidRPr="0053072D">
              <w:rPr>
                <w:rFonts w:eastAsia="Times New Roman" w:cs="Aptos"/>
                <w:b/>
                <w:color w:val="000000"/>
                <w:sz w:val="20"/>
                <w:szCs w:val="20"/>
                <w:lang w:val="en-ID" w:eastAsia="en-ID"/>
              </w:rPr>
              <w:t>Disability inclusion</w:t>
            </w:r>
            <w:bookmarkEnd w:id="801"/>
          </w:p>
          <w:p w14:paraId="4ADC2D26" w14:textId="660C223D"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02" w:name="_Toc173318985"/>
            <w:r w:rsidRPr="0053072D">
              <w:rPr>
                <w:rFonts w:eastAsia="Times New Roman" w:cs="Aptos"/>
                <w:color w:val="000000"/>
                <w:sz w:val="20"/>
                <w:szCs w:val="20"/>
                <w:lang w:val="en-ID" w:eastAsia="en-ID"/>
              </w:rPr>
              <w:t>Supporting a deepening understanding of disability inclusion in agriculture</w:t>
            </w:r>
            <w:bookmarkEnd w:id="802"/>
          </w:p>
        </w:tc>
        <w:tc>
          <w:tcPr>
            <w:tcW w:w="3787" w:type="dxa"/>
          </w:tcPr>
          <w:p w14:paraId="7BBCF1C1" w14:textId="16CD6AE2"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03" w:name="_Toc173318986"/>
            <w:r w:rsidRPr="0053072D">
              <w:rPr>
                <w:rFonts w:eastAsia="Times New Roman" w:cs="Aptos"/>
                <w:color w:val="000000"/>
                <w:sz w:val="20"/>
                <w:szCs w:val="20"/>
                <w:lang w:val="en-ID" w:eastAsia="en-ID"/>
              </w:rPr>
              <w:t>Conduct a disability study to deepen understanding of the challenges in agricultural practices.</w:t>
            </w:r>
            <w:bookmarkEnd w:id="803"/>
          </w:p>
        </w:tc>
        <w:tc>
          <w:tcPr>
            <w:tcW w:w="2866" w:type="dxa"/>
          </w:tcPr>
          <w:p w14:paraId="1A9368FC" w14:textId="709563B1" w:rsidR="00B30B11" w:rsidRPr="0053072D" w:rsidRDefault="00B30B11" w:rsidP="002D6DCE">
            <w:pPr>
              <w:keepNext/>
              <w:keepLines/>
              <w:spacing w:after="80"/>
              <w:ind w:left="105"/>
              <w:outlineLvl w:val="1"/>
              <w:rPr>
                <w:rFonts w:eastAsia="Times New Roman" w:cs="Arial"/>
                <w:color w:val="000000"/>
                <w:sz w:val="20"/>
                <w:szCs w:val="20"/>
                <w:lang w:val="en-ID" w:eastAsia="en-ID"/>
              </w:rPr>
            </w:pPr>
            <w:bookmarkStart w:id="804" w:name="_Toc173318987"/>
            <w:r w:rsidRPr="0053072D">
              <w:rPr>
                <w:rFonts w:eastAsia="Times New Roman" w:cs="Arial"/>
                <w:color w:val="000000"/>
                <w:sz w:val="20"/>
                <w:szCs w:val="20"/>
                <w:lang w:val="en-ID" w:eastAsia="en-ID"/>
              </w:rPr>
              <w:t>A study and report on the disability inclusion status quo and challenges in the agricultural context</w:t>
            </w:r>
            <w:bookmarkEnd w:id="804"/>
          </w:p>
        </w:tc>
        <w:tc>
          <w:tcPr>
            <w:tcW w:w="3302" w:type="dxa"/>
          </w:tcPr>
          <w:p w14:paraId="242F465E" w14:textId="00C92CD1"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05" w:name="_Toc173318988"/>
            <w:r w:rsidRPr="5583D54B">
              <w:rPr>
                <w:rFonts w:eastAsia="Times New Roman" w:cs="Arial"/>
                <w:color w:val="000000" w:themeColor="text2"/>
                <w:sz w:val="20"/>
                <w:szCs w:val="20"/>
                <w:lang w:val="en-ID" w:eastAsia="en-ID"/>
              </w:rPr>
              <w:t>PRISMA decided to cancel the study and focus on intensifying efforts to support interested partners in disability-inclusive business practices.</w:t>
            </w:r>
            <w:bookmarkEnd w:id="805"/>
          </w:p>
        </w:tc>
      </w:tr>
      <w:tr w:rsidR="00B30B11" w:rsidRPr="0053072D" w14:paraId="029EAC1E" w14:textId="77777777" w:rsidTr="5583D54B">
        <w:tc>
          <w:tcPr>
            <w:tcW w:w="2002" w:type="dxa"/>
            <w:vMerge/>
          </w:tcPr>
          <w:p w14:paraId="7AE2FFDE"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613" w:type="dxa"/>
            <w:vMerge/>
          </w:tcPr>
          <w:p w14:paraId="717EDA96"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3787" w:type="dxa"/>
          </w:tcPr>
          <w:p w14:paraId="2A949EE9" w14:textId="5DAB22BB"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806" w:name="_Toc173318989"/>
            <w:r w:rsidRPr="0053072D">
              <w:rPr>
                <w:rFonts w:eastAsia="Times New Roman" w:cs="Aptos"/>
                <w:color w:val="000000"/>
                <w:sz w:val="20"/>
                <w:szCs w:val="20"/>
                <w:lang w:val="en-ID" w:eastAsia="en-ID"/>
              </w:rPr>
              <w:t>Develop and share learnings, findings, and experiences regarding PRISMA's disability inclusion approach with the private and development sectors.</w:t>
            </w:r>
            <w:bookmarkEnd w:id="806"/>
          </w:p>
        </w:tc>
        <w:tc>
          <w:tcPr>
            <w:tcW w:w="2866" w:type="dxa"/>
          </w:tcPr>
          <w:p w14:paraId="22A11235" w14:textId="58B237DE" w:rsidR="00B30B11" w:rsidRPr="0053072D" w:rsidRDefault="00B30B11" w:rsidP="002D6DCE">
            <w:pPr>
              <w:keepNext/>
              <w:keepLines/>
              <w:spacing w:after="80"/>
              <w:ind w:left="105"/>
              <w:outlineLvl w:val="1"/>
              <w:rPr>
                <w:rFonts w:eastAsia="Times New Roman" w:cs="Aptos"/>
                <w:color w:val="000000"/>
                <w:sz w:val="20"/>
                <w:szCs w:val="20"/>
                <w:lang w:val="en-ID" w:eastAsia="en-ID"/>
              </w:rPr>
            </w:pPr>
            <w:bookmarkStart w:id="807" w:name="_Toc173318990"/>
            <w:r w:rsidRPr="0053072D">
              <w:rPr>
                <w:rFonts w:eastAsia="Times New Roman" w:cs="Arial"/>
                <w:color w:val="000000"/>
                <w:sz w:val="20"/>
                <w:szCs w:val="20"/>
                <w:lang w:val="en-ID" w:eastAsia="en-ID"/>
              </w:rPr>
              <w:t>Learning briefs are shared with the private and development sectors.</w:t>
            </w:r>
            <w:bookmarkEnd w:id="807"/>
          </w:p>
        </w:tc>
        <w:tc>
          <w:tcPr>
            <w:tcW w:w="3302" w:type="dxa"/>
          </w:tcPr>
          <w:p w14:paraId="1844529F" w14:textId="77777777" w:rsidR="00B30B11" w:rsidRPr="0053072D" w:rsidRDefault="00B30B11" w:rsidP="00EE453C">
            <w:pPr>
              <w:keepNext/>
              <w:keepLines/>
              <w:spacing w:after="120" w:line="276" w:lineRule="auto"/>
              <w:ind w:left="11"/>
              <w:outlineLvl w:val="1"/>
              <w:rPr>
                <w:rFonts w:eastAsia="Times New Roman" w:cs="Arial"/>
                <w:color w:val="000000"/>
                <w:sz w:val="20"/>
                <w:szCs w:val="20"/>
                <w:lang w:val="en-ID" w:eastAsia="en-ID"/>
              </w:rPr>
            </w:pPr>
            <w:bookmarkStart w:id="808" w:name="_Toc173318991"/>
            <w:r w:rsidRPr="0053072D">
              <w:rPr>
                <w:rFonts w:eastAsia="Times New Roman" w:cs="Arial"/>
                <w:color w:val="000000"/>
                <w:sz w:val="20"/>
                <w:szCs w:val="20"/>
                <w:lang w:val="en-ID" w:eastAsia="en-ID"/>
              </w:rPr>
              <w:t xml:space="preserve">PRISMA developed a market brief with recommendations for implementing inclusive business models in the cattle sector. PRISMA also conducted a one-day workshop on disability inclusion for the private sector. As </w:t>
            </w:r>
            <w:r w:rsidRPr="0053072D">
              <w:rPr>
                <w:rFonts w:eastAsia="Times New Roman" w:cs="Arial"/>
                <w:color w:val="000000"/>
                <w:sz w:val="20"/>
                <w:szCs w:val="20"/>
                <w:lang w:val="en-ID" w:eastAsia="en-ID"/>
              </w:rPr>
              <w:lastRenderedPageBreak/>
              <w:t>an outcome, several private sectors expressed their interest in learning more about the concept from PRISMA. PRISMA also developed a guideline for making events and information more accessible for people with disabilities, which was shared during the workshop.</w:t>
            </w:r>
            <w:bookmarkEnd w:id="808"/>
            <w:r w:rsidRPr="0053072D">
              <w:rPr>
                <w:rFonts w:eastAsia="Times New Roman" w:cs="Arial"/>
                <w:color w:val="000000"/>
                <w:sz w:val="20"/>
                <w:szCs w:val="20"/>
                <w:lang w:val="en-ID" w:eastAsia="en-ID"/>
              </w:rPr>
              <w:t xml:space="preserve"> </w:t>
            </w:r>
          </w:p>
          <w:p w14:paraId="10226FA9" w14:textId="77777777" w:rsidR="00B30B11" w:rsidRPr="0053072D" w:rsidRDefault="00B30B11" w:rsidP="00EE453C">
            <w:pPr>
              <w:keepNext/>
              <w:keepLines/>
              <w:spacing w:after="120" w:line="276" w:lineRule="auto"/>
              <w:ind w:left="11"/>
              <w:outlineLvl w:val="1"/>
              <w:rPr>
                <w:rFonts w:eastAsia="Times New Roman" w:cs="Arial"/>
                <w:color w:val="000000"/>
                <w:sz w:val="20"/>
                <w:szCs w:val="20"/>
                <w:lang w:val="en-ID" w:eastAsia="en-ID"/>
              </w:rPr>
            </w:pPr>
          </w:p>
          <w:p w14:paraId="14226E54" w14:textId="77777777" w:rsidR="00B30B11" w:rsidRPr="0053072D" w:rsidRDefault="00B30B11" w:rsidP="00EE453C">
            <w:pPr>
              <w:keepNext/>
              <w:keepLines/>
              <w:spacing w:after="120" w:line="276" w:lineRule="auto"/>
              <w:ind w:left="11"/>
              <w:outlineLvl w:val="1"/>
              <w:rPr>
                <w:rFonts w:eastAsia="Times New Roman" w:cs="Arial"/>
                <w:color w:val="000000"/>
                <w:sz w:val="20"/>
                <w:szCs w:val="20"/>
                <w:lang w:val="en-ID" w:eastAsia="en-ID"/>
              </w:rPr>
            </w:pPr>
            <w:bookmarkStart w:id="809" w:name="_Toc173318992"/>
            <w:r w:rsidRPr="0053072D">
              <w:rPr>
                <w:rFonts w:eastAsia="Times New Roman" w:cs="Arial"/>
                <w:color w:val="000000"/>
                <w:sz w:val="20"/>
                <w:szCs w:val="20"/>
                <w:lang w:val="en-ID" w:eastAsia="en-ID"/>
              </w:rPr>
              <w:t xml:space="preserve">PRISMA participated as a facilitator, sharing its experience, in an online disability inclusion workshop organised by the Market Development Facility (a </w:t>
            </w:r>
            <w:r w:rsidRPr="0053072D">
              <w:rPr>
                <w:rFonts w:eastAsia="Times New Roman"/>
                <w:color w:val="000000"/>
                <w:sz w:val="20"/>
                <w:szCs w:val="20"/>
                <w:lang w:val="en-ID" w:eastAsia="en-ID"/>
              </w:rPr>
              <w:t>multi-country program of DFAT</w:t>
            </w:r>
            <w:r w:rsidRPr="0053072D">
              <w:rPr>
                <w:rFonts w:eastAsia="Times New Roman" w:cs="Arial"/>
                <w:color w:val="000000"/>
                <w:sz w:val="20"/>
                <w:szCs w:val="20"/>
                <w:lang w:val="en-ID" w:eastAsia="en-ID"/>
              </w:rPr>
              <w:t>) for its staff.</w:t>
            </w:r>
            <w:bookmarkEnd w:id="809"/>
            <w:r w:rsidRPr="0053072D">
              <w:rPr>
                <w:rFonts w:eastAsia="Times New Roman" w:cs="Arial"/>
                <w:color w:val="000000"/>
                <w:sz w:val="20"/>
                <w:szCs w:val="20"/>
                <w:lang w:val="en-ID" w:eastAsia="en-ID"/>
              </w:rPr>
              <w:t xml:space="preserve"> </w:t>
            </w:r>
          </w:p>
          <w:p w14:paraId="07EF4E62"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r>
      <w:tr w:rsidR="00B30B11" w:rsidRPr="0053072D" w14:paraId="035CF2A3" w14:textId="77777777" w:rsidTr="5583D54B">
        <w:tc>
          <w:tcPr>
            <w:tcW w:w="2002" w:type="dxa"/>
            <w:vMerge/>
          </w:tcPr>
          <w:p w14:paraId="1C3DBC50"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613" w:type="dxa"/>
          </w:tcPr>
          <w:p w14:paraId="076E1280" w14:textId="45126708" w:rsidR="00B30B11" w:rsidRPr="0053072D" w:rsidRDefault="00B30B11" w:rsidP="00EE453C">
            <w:pPr>
              <w:keepNext/>
              <w:keepLines/>
              <w:spacing w:after="120"/>
              <w:ind w:left="11"/>
              <w:outlineLvl w:val="1"/>
              <w:rPr>
                <w:rFonts w:eastAsia="Times New Roman" w:cs="Aptos"/>
                <w:b/>
                <w:color w:val="000000"/>
                <w:sz w:val="20"/>
                <w:szCs w:val="20"/>
                <w:lang w:val="en-ID" w:eastAsia="en-ID"/>
              </w:rPr>
            </w:pPr>
            <w:bookmarkStart w:id="810" w:name="_Toc173318993"/>
            <w:r w:rsidRPr="0053072D">
              <w:rPr>
                <w:rFonts w:eastAsia="Times New Roman" w:cs="Aptos"/>
                <w:b/>
                <w:color w:val="000000"/>
                <w:sz w:val="20"/>
                <w:szCs w:val="20"/>
                <w:lang w:val="en-ID" w:eastAsia="en-ID"/>
              </w:rPr>
              <w:t>Youth inclusion</w:t>
            </w:r>
            <w:bookmarkEnd w:id="810"/>
          </w:p>
          <w:p w14:paraId="24C85CEB" w14:textId="667B6F9E"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11" w:name="_Toc173318994"/>
            <w:r w:rsidRPr="0053072D">
              <w:rPr>
                <w:rFonts w:eastAsia="Times New Roman" w:cs="Aptos"/>
                <w:color w:val="000000"/>
                <w:sz w:val="20"/>
                <w:szCs w:val="20"/>
                <w:lang w:val="en-ID" w:eastAsia="en-ID"/>
              </w:rPr>
              <w:t>Regeneration of young farmers</w:t>
            </w:r>
            <w:bookmarkEnd w:id="811"/>
          </w:p>
        </w:tc>
        <w:tc>
          <w:tcPr>
            <w:tcW w:w="3787" w:type="dxa"/>
          </w:tcPr>
          <w:p w14:paraId="35A1617D" w14:textId="4EA5AF48"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812" w:name="_Toc173318995"/>
            <w:r w:rsidRPr="0053072D">
              <w:rPr>
                <w:rFonts w:eastAsia="Times New Roman" w:cs="Aptos"/>
                <w:color w:val="000000"/>
                <w:sz w:val="20"/>
                <w:szCs w:val="20"/>
                <w:lang w:val="en-ID" w:eastAsia="en-ID"/>
              </w:rPr>
              <w:t>A study on the opportunities and challenges of engaging more young farmers</w:t>
            </w:r>
            <w:bookmarkEnd w:id="812"/>
          </w:p>
        </w:tc>
        <w:tc>
          <w:tcPr>
            <w:tcW w:w="2866" w:type="dxa"/>
          </w:tcPr>
          <w:p w14:paraId="0B25C225" w14:textId="5F2CEF44" w:rsidR="00B30B11" w:rsidRPr="0053072D" w:rsidRDefault="00B30B11" w:rsidP="002D6DCE">
            <w:pPr>
              <w:keepNext/>
              <w:keepLines/>
              <w:spacing w:after="80"/>
              <w:ind w:left="105"/>
              <w:outlineLvl w:val="1"/>
              <w:rPr>
                <w:rFonts w:eastAsia="Times New Roman" w:cs="Aptos"/>
                <w:color w:val="000000"/>
                <w:sz w:val="20"/>
                <w:szCs w:val="20"/>
                <w:lang w:val="en-ID" w:eastAsia="en-ID"/>
              </w:rPr>
            </w:pPr>
            <w:bookmarkStart w:id="813" w:name="_Toc173318996"/>
            <w:r w:rsidRPr="0053072D">
              <w:rPr>
                <w:rFonts w:eastAsia="Times New Roman" w:cs="Arial"/>
                <w:color w:val="000000"/>
                <w:sz w:val="20"/>
                <w:szCs w:val="20"/>
                <w:lang w:val="en-ID" w:eastAsia="en-ID"/>
              </w:rPr>
              <w:t>Study findings are disseminated to targeted stakeholders.</w:t>
            </w:r>
            <w:bookmarkEnd w:id="813"/>
          </w:p>
        </w:tc>
        <w:tc>
          <w:tcPr>
            <w:tcW w:w="3302" w:type="dxa"/>
          </w:tcPr>
          <w:p w14:paraId="4295AEBA" w14:textId="16F7A43B"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14" w:name="_Toc173318997"/>
            <w:r w:rsidRPr="0053072D">
              <w:rPr>
                <w:rFonts w:eastAsia="Times New Roman" w:cs="Aptos"/>
                <w:color w:val="000000"/>
                <w:sz w:val="20"/>
                <w:szCs w:val="20"/>
                <w:lang w:val="en-ID" w:eastAsia="en-ID"/>
              </w:rPr>
              <w:t>PRISMA commissioned the Center for Population and Policy Studies of Gadjah Mada University (CPPS UGM) to conduct a study on youth and regeneration in agriculture. The study aims to comprehensively understand the factors influencing farmers’ regeneration and youth involvement, with a policy brief as its main output.</w:t>
            </w:r>
            <w:bookmarkEnd w:id="814"/>
          </w:p>
        </w:tc>
      </w:tr>
      <w:tr w:rsidR="00B30B11" w:rsidRPr="0053072D" w14:paraId="6F9343B6" w14:textId="77777777" w:rsidTr="5583D54B">
        <w:tc>
          <w:tcPr>
            <w:tcW w:w="2002" w:type="dxa"/>
            <w:vMerge/>
          </w:tcPr>
          <w:p w14:paraId="1FD4FB42"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613" w:type="dxa"/>
          </w:tcPr>
          <w:p w14:paraId="48B7D49D" w14:textId="2690CCE2" w:rsidR="00B30B11" w:rsidRPr="0053072D" w:rsidRDefault="00B30B11" w:rsidP="00EE453C">
            <w:pPr>
              <w:keepNext/>
              <w:keepLines/>
              <w:spacing w:after="120"/>
              <w:ind w:left="11"/>
              <w:outlineLvl w:val="1"/>
              <w:rPr>
                <w:rFonts w:eastAsia="Times New Roman" w:cs="Aptos"/>
                <w:b/>
                <w:color w:val="000000"/>
                <w:sz w:val="20"/>
                <w:szCs w:val="20"/>
                <w:lang w:val="en-ID" w:eastAsia="en-ID"/>
              </w:rPr>
            </w:pPr>
            <w:bookmarkStart w:id="815" w:name="_Toc173318998"/>
            <w:r w:rsidRPr="0053072D">
              <w:rPr>
                <w:rFonts w:eastAsia="Times New Roman" w:cs="Aptos"/>
                <w:b/>
                <w:color w:val="000000"/>
                <w:sz w:val="20"/>
                <w:szCs w:val="20"/>
                <w:lang w:val="en-ID" w:eastAsia="en-ID"/>
              </w:rPr>
              <w:t>Youth inclusion</w:t>
            </w:r>
            <w:bookmarkEnd w:id="815"/>
          </w:p>
          <w:p w14:paraId="4F64695F"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16" w:name="_Toc173318999"/>
            <w:r w:rsidRPr="0053072D">
              <w:rPr>
                <w:rFonts w:eastAsia="Times New Roman" w:cs="Aptos"/>
                <w:color w:val="000000"/>
                <w:sz w:val="20"/>
                <w:szCs w:val="20"/>
                <w:lang w:val="en-ID" w:eastAsia="en-ID"/>
              </w:rPr>
              <w:t>Providing insights and learnings to the private and development sectors to trigger more youth initiatives</w:t>
            </w:r>
            <w:bookmarkEnd w:id="816"/>
            <w:r w:rsidRPr="0053072D">
              <w:rPr>
                <w:rFonts w:eastAsia="Times New Roman" w:cs="Aptos"/>
                <w:color w:val="000000"/>
                <w:sz w:val="20"/>
                <w:szCs w:val="20"/>
                <w:lang w:val="en-ID" w:eastAsia="en-ID"/>
              </w:rPr>
              <w:t xml:space="preserve"> </w:t>
            </w:r>
          </w:p>
        </w:tc>
        <w:tc>
          <w:tcPr>
            <w:tcW w:w="3787" w:type="dxa"/>
          </w:tcPr>
          <w:p w14:paraId="5A2B2F49"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817" w:name="_Toc173319000"/>
            <w:r w:rsidRPr="0053072D">
              <w:rPr>
                <w:rFonts w:eastAsia="Times New Roman" w:cs="Aptos"/>
                <w:color w:val="000000"/>
                <w:sz w:val="20"/>
                <w:szCs w:val="20"/>
                <w:lang w:val="en-ID" w:eastAsia="en-ID"/>
              </w:rPr>
              <w:t>Conduct sharing sessions to gather insights and learnings from development programs, agri-companies, the MoA, and other stakeholders on the potential of youth in agriculture.</w:t>
            </w:r>
            <w:bookmarkEnd w:id="817"/>
            <w:r w:rsidRPr="0053072D">
              <w:rPr>
                <w:rFonts w:eastAsia="Times New Roman" w:cs="Aptos"/>
                <w:color w:val="000000"/>
                <w:sz w:val="20"/>
                <w:szCs w:val="20"/>
                <w:lang w:val="en-ID" w:eastAsia="en-ID"/>
              </w:rPr>
              <w:t xml:space="preserve"> </w:t>
            </w:r>
          </w:p>
        </w:tc>
        <w:tc>
          <w:tcPr>
            <w:tcW w:w="2866" w:type="dxa"/>
          </w:tcPr>
          <w:p w14:paraId="45C1F230" w14:textId="46335907" w:rsidR="00B30B11" w:rsidRPr="0053072D" w:rsidRDefault="00B30B11" w:rsidP="002D6DCE">
            <w:pPr>
              <w:keepNext/>
              <w:keepLines/>
              <w:spacing w:after="80"/>
              <w:ind w:left="105"/>
              <w:outlineLvl w:val="1"/>
              <w:rPr>
                <w:rFonts w:eastAsia="Times New Roman" w:cs="Aptos"/>
                <w:color w:val="000000"/>
                <w:sz w:val="20"/>
                <w:szCs w:val="20"/>
                <w:lang w:val="en-ID" w:eastAsia="en-ID"/>
              </w:rPr>
            </w:pPr>
            <w:bookmarkStart w:id="818" w:name="_Toc173319001"/>
            <w:r w:rsidRPr="0053072D">
              <w:rPr>
                <w:rFonts w:eastAsia="Times New Roman" w:cs="Arial"/>
                <w:color w:val="000000"/>
                <w:sz w:val="20"/>
                <w:szCs w:val="20"/>
                <w:lang w:val="en-ID" w:eastAsia="en-ID"/>
              </w:rPr>
              <w:t>Sharing sessions on youth with relevant stakeholders</w:t>
            </w:r>
            <w:bookmarkEnd w:id="818"/>
          </w:p>
        </w:tc>
        <w:tc>
          <w:tcPr>
            <w:tcW w:w="3302" w:type="dxa"/>
          </w:tcPr>
          <w:p w14:paraId="3C750024" w14:textId="69B5156A"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19" w:name="_Toc173319002"/>
            <w:r w:rsidRPr="0053072D">
              <w:rPr>
                <w:rFonts w:eastAsia="Times New Roman" w:cs="Arial"/>
                <w:color w:val="000000"/>
                <w:sz w:val="20"/>
                <w:szCs w:val="20"/>
                <w:lang w:val="en-ID" w:eastAsia="en-ID"/>
              </w:rPr>
              <w:t>The plan was moved to the next semester as the study will be finalised in early August.</w:t>
            </w:r>
            <w:bookmarkEnd w:id="819"/>
          </w:p>
        </w:tc>
      </w:tr>
      <w:tr w:rsidR="00B30B11" w:rsidRPr="0053072D" w14:paraId="654773F1" w14:textId="77777777" w:rsidTr="5583D54B">
        <w:tc>
          <w:tcPr>
            <w:tcW w:w="2002" w:type="dxa"/>
            <w:vMerge/>
          </w:tcPr>
          <w:p w14:paraId="7F9986C3"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613" w:type="dxa"/>
          </w:tcPr>
          <w:p w14:paraId="3FD3EB8A" w14:textId="7F4439B5" w:rsidR="00B30B11" w:rsidRPr="0053072D" w:rsidRDefault="00B30B11" w:rsidP="00EE453C">
            <w:pPr>
              <w:keepNext/>
              <w:keepLines/>
              <w:spacing w:after="120"/>
              <w:ind w:left="11"/>
              <w:outlineLvl w:val="1"/>
              <w:rPr>
                <w:rFonts w:eastAsia="Times New Roman" w:cs="Aptos"/>
                <w:b/>
                <w:color w:val="000000"/>
                <w:sz w:val="20"/>
                <w:szCs w:val="20"/>
                <w:lang w:val="en-ID" w:eastAsia="en-ID"/>
              </w:rPr>
            </w:pPr>
            <w:bookmarkStart w:id="820" w:name="_Toc173319003"/>
            <w:r w:rsidRPr="0053072D">
              <w:rPr>
                <w:rFonts w:eastAsia="Times New Roman" w:cs="Aptos"/>
                <w:b/>
                <w:color w:val="000000"/>
                <w:sz w:val="20"/>
                <w:szCs w:val="20"/>
                <w:lang w:val="en-ID" w:eastAsia="en-ID"/>
              </w:rPr>
              <w:t>Youth inclusion</w:t>
            </w:r>
            <w:bookmarkEnd w:id="820"/>
          </w:p>
          <w:p w14:paraId="3FFFDAFC" w14:textId="20BB6518" w:rsidR="00B30B11" w:rsidRPr="0053072D" w:rsidRDefault="00B30B11" w:rsidP="00EE453C">
            <w:pPr>
              <w:keepNext/>
              <w:keepLines/>
              <w:spacing w:after="120"/>
              <w:ind w:left="11"/>
              <w:outlineLvl w:val="1"/>
              <w:rPr>
                <w:rFonts w:eastAsia="Times New Roman" w:cs="Aptos"/>
                <w:b/>
                <w:color w:val="000000"/>
                <w:sz w:val="20"/>
                <w:szCs w:val="20"/>
                <w:lang w:val="en-ID" w:eastAsia="en-ID"/>
              </w:rPr>
            </w:pPr>
            <w:bookmarkStart w:id="821" w:name="_Toc173319004"/>
            <w:r w:rsidRPr="0053072D">
              <w:rPr>
                <w:rFonts w:eastAsia="Times New Roman" w:cs="Aptos"/>
                <w:color w:val="000000"/>
                <w:sz w:val="20"/>
                <w:szCs w:val="20"/>
                <w:lang w:val="en-ID" w:eastAsia="en-ID"/>
              </w:rPr>
              <w:t>Shaping youth readiness in agricultural markets</w:t>
            </w:r>
            <w:bookmarkEnd w:id="821"/>
          </w:p>
        </w:tc>
        <w:tc>
          <w:tcPr>
            <w:tcW w:w="3787" w:type="dxa"/>
          </w:tcPr>
          <w:p w14:paraId="5580C4D2"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822" w:name="_Toc173319005"/>
            <w:r w:rsidRPr="0053072D">
              <w:rPr>
                <w:rFonts w:eastAsia="Times New Roman" w:cs="Aptos"/>
                <w:color w:val="000000"/>
                <w:sz w:val="20"/>
                <w:szCs w:val="20"/>
                <w:lang w:val="en-ID" w:eastAsia="en-ID"/>
              </w:rPr>
              <w:t>Assess potential business incubator models to identify and develop more youth entrepreneurs in agribusiness.</w:t>
            </w:r>
            <w:bookmarkEnd w:id="822"/>
            <w:r w:rsidRPr="0053072D">
              <w:rPr>
                <w:rFonts w:eastAsia="Times New Roman" w:cs="Aptos"/>
                <w:color w:val="000000"/>
                <w:sz w:val="20"/>
                <w:szCs w:val="20"/>
                <w:lang w:val="en-ID" w:eastAsia="en-ID"/>
              </w:rPr>
              <w:t xml:space="preserve"> </w:t>
            </w:r>
          </w:p>
        </w:tc>
        <w:tc>
          <w:tcPr>
            <w:tcW w:w="2866" w:type="dxa"/>
          </w:tcPr>
          <w:p w14:paraId="480B8CDF" w14:textId="0BF53A5D" w:rsidR="00B30B11" w:rsidRPr="0053072D" w:rsidRDefault="00B30B11" w:rsidP="002D6DCE">
            <w:pPr>
              <w:keepNext/>
              <w:keepLines/>
              <w:spacing w:after="80"/>
              <w:ind w:left="105"/>
              <w:outlineLvl w:val="1"/>
              <w:rPr>
                <w:rFonts w:eastAsia="Times New Roman" w:cs="Aptos"/>
                <w:color w:val="000000"/>
                <w:sz w:val="20"/>
                <w:szCs w:val="20"/>
                <w:lang w:val="en-ID" w:eastAsia="en-ID"/>
              </w:rPr>
            </w:pPr>
            <w:bookmarkStart w:id="823" w:name="_Toc173319006"/>
            <w:r w:rsidRPr="0053072D">
              <w:rPr>
                <w:rFonts w:eastAsia="Times New Roman" w:cs="Arial"/>
                <w:color w:val="000000"/>
                <w:sz w:val="20"/>
                <w:szCs w:val="20"/>
                <w:lang w:val="en-ID" w:eastAsia="en-ID"/>
              </w:rPr>
              <w:t>The assessment findings are shared with relevant stakeholders.</w:t>
            </w:r>
            <w:bookmarkEnd w:id="823"/>
          </w:p>
        </w:tc>
        <w:tc>
          <w:tcPr>
            <w:tcW w:w="3302" w:type="dxa"/>
          </w:tcPr>
          <w:p w14:paraId="7E282604"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24" w:name="_Toc173319007"/>
            <w:r w:rsidRPr="0053072D">
              <w:rPr>
                <w:rFonts w:eastAsia="Times New Roman" w:cs="Arial"/>
                <w:color w:val="000000"/>
                <w:sz w:val="20"/>
                <w:szCs w:val="20"/>
                <w:lang w:val="en-ID" w:eastAsia="en-ID"/>
              </w:rPr>
              <w:t>Dairy feed partner, Cipta Ternak Sehat Indonesia (CTSI), presented a business incubator model to the students of Nusantara PGRI University. This followed a successful application of a similar model at Nahdlatul Wathan University in NTB. However, no assessment had been undertaken prior to the sharing event.</w:t>
            </w:r>
            <w:bookmarkEnd w:id="824"/>
            <w:r w:rsidRPr="0053072D">
              <w:rPr>
                <w:rFonts w:eastAsia="Times New Roman" w:cs="Arial"/>
                <w:color w:val="000000"/>
                <w:sz w:val="20"/>
                <w:szCs w:val="20"/>
                <w:lang w:val="en-ID" w:eastAsia="en-ID"/>
              </w:rPr>
              <w:t xml:space="preserve">  </w:t>
            </w:r>
          </w:p>
        </w:tc>
      </w:tr>
      <w:tr w:rsidR="00B30B11" w:rsidRPr="0053072D" w14:paraId="65CA66A4" w14:textId="77777777" w:rsidTr="5583D54B">
        <w:tc>
          <w:tcPr>
            <w:tcW w:w="2002" w:type="dxa"/>
            <w:vMerge/>
          </w:tcPr>
          <w:p w14:paraId="0137D493"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613" w:type="dxa"/>
          </w:tcPr>
          <w:p w14:paraId="55E2ADB8" w14:textId="63B58D97" w:rsidR="00B30B11" w:rsidRPr="0053072D" w:rsidRDefault="00B30B11" w:rsidP="00EE453C">
            <w:pPr>
              <w:keepNext/>
              <w:keepLines/>
              <w:spacing w:after="120"/>
              <w:ind w:left="11"/>
              <w:outlineLvl w:val="1"/>
              <w:rPr>
                <w:rFonts w:eastAsia="Times New Roman" w:cs="Aptos"/>
                <w:b/>
                <w:color w:val="000000"/>
                <w:sz w:val="20"/>
                <w:szCs w:val="20"/>
                <w:lang w:val="en-ID" w:eastAsia="en-ID"/>
              </w:rPr>
            </w:pPr>
            <w:bookmarkStart w:id="825" w:name="_Toc173319008"/>
            <w:r w:rsidRPr="0053072D">
              <w:rPr>
                <w:rFonts w:eastAsia="Times New Roman" w:cs="Aptos"/>
                <w:b/>
                <w:color w:val="000000"/>
                <w:sz w:val="20"/>
                <w:szCs w:val="20"/>
                <w:lang w:val="en-ID" w:eastAsia="en-ID"/>
              </w:rPr>
              <w:t>Indigenous inclusion</w:t>
            </w:r>
            <w:bookmarkEnd w:id="825"/>
          </w:p>
          <w:p w14:paraId="742F4D06" w14:textId="77777777" w:rsidR="00B30B11" w:rsidRPr="0053072D" w:rsidRDefault="00B30B11" w:rsidP="00EE453C">
            <w:pPr>
              <w:keepNext/>
              <w:keepLines/>
              <w:spacing w:after="120"/>
              <w:ind w:left="11"/>
              <w:outlineLvl w:val="1"/>
              <w:rPr>
                <w:rFonts w:eastAsia="Times New Roman" w:cs="Aptos"/>
                <w:b/>
                <w:color w:val="000000"/>
                <w:sz w:val="20"/>
                <w:szCs w:val="20"/>
                <w:lang w:val="en-ID" w:eastAsia="en-ID"/>
              </w:rPr>
            </w:pPr>
            <w:bookmarkStart w:id="826" w:name="_Toc173319009"/>
            <w:r w:rsidRPr="0053072D">
              <w:rPr>
                <w:rFonts w:eastAsia="Times New Roman" w:cs="Aptos"/>
                <w:color w:val="000000"/>
                <w:sz w:val="20"/>
                <w:szCs w:val="20"/>
                <w:lang w:val="en-ID" w:eastAsia="en-ID"/>
              </w:rPr>
              <w:t>Enhancing the private and development sectors’ knowledge and capacity in indigenous inclusion</w:t>
            </w:r>
            <w:bookmarkEnd w:id="826"/>
            <w:r w:rsidRPr="0053072D">
              <w:rPr>
                <w:rFonts w:eastAsia="Times New Roman" w:cs="Aptos"/>
                <w:color w:val="000000"/>
                <w:sz w:val="20"/>
                <w:szCs w:val="20"/>
                <w:lang w:val="en-ID" w:eastAsia="en-ID"/>
              </w:rPr>
              <w:t xml:space="preserve"> </w:t>
            </w:r>
          </w:p>
        </w:tc>
        <w:tc>
          <w:tcPr>
            <w:tcW w:w="3787" w:type="dxa"/>
          </w:tcPr>
          <w:p w14:paraId="55AADB09" w14:textId="5329BD46"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827" w:name="_Toc173319010"/>
            <w:r w:rsidRPr="0053072D">
              <w:rPr>
                <w:rFonts w:eastAsia="Times New Roman" w:cs="Aptos"/>
                <w:color w:val="000000"/>
                <w:sz w:val="20"/>
                <w:szCs w:val="20"/>
                <w:lang w:val="en-ID" w:eastAsia="en-ID"/>
              </w:rPr>
              <w:t>Develop a learning brief on applying indigenous inclusive business models.</w:t>
            </w:r>
            <w:bookmarkEnd w:id="827"/>
          </w:p>
        </w:tc>
        <w:tc>
          <w:tcPr>
            <w:tcW w:w="2866" w:type="dxa"/>
          </w:tcPr>
          <w:p w14:paraId="16A1CBDA" w14:textId="7A66718B" w:rsidR="00B30B11" w:rsidRPr="0053072D" w:rsidRDefault="00B30B11" w:rsidP="002D6DCE">
            <w:pPr>
              <w:keepNext/>
              <w:keepLines/>
              <w:spacing w:after="80"/>
              <w:ind w:left="105"/>
              <w:outlineLvl w:val="1"/>
              <w:rPr>
                <w:rFonts w:eastAsia="Times New Roman" w:cs="Aptos"/>
                <w:color w:val="000000"/>
                <w:sz w:val="20"/>
                <w:szCs w:val="20"/>
                <w:lang w:val="en-ID" w:eastAsia="en-ID"/>
              </w:rPr>
            </w:pPr>
            <w:bookmarkStart w:id="828" w:name="_Toc173319011"/>
            <w:r w:rsidRPr="0053072D">
              <w:rPr>
                <w:rFonts w:eastAsia="Times New Roman" w:cs="Arial"/>
                <w:color w:val="000000"/>
                <w:sz w:val="20"/>
                <w:szCs w:val="20"/>
                <w:lang w:val="en-ID" w:eastAsia="en-ID"/>
              </w:rPr>
              <w:t>The indigenous inclusion learning brief is shared with the private and development sectors.</w:t>
            </w:r>
            <w:bookmarkEnd w:id="828"/>
          </w:p>
        </w:tc>
        <w:tc>
          <w:tcPr>
            <w:tcW w:w="3302" w:type="dxa"/>
          </w:tcPr>
          <w:p w14:paraId="58162D08" w14:textId="7EB733A1"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29" w:name="_Toc173319012"/>
            <w:r w:rsidRPr="0053072D">
              <w:rPr>
                <w:rFonts w:eastAsia="Times New Roman" w:cs="Arial"/>
                <w:color w:val="000000"/>
                <w:sz w:val="20"/>
                <w:szCs w:val="20"/>
                <w:lang w:val="en-ID" w:eastAsia="en-ID"/>
              </w:rPr>
              <w:t>A brief detailing the lessons learned from working with the indigenous people of Tanah Papua was developed. The brief is scheduled to be shared publicly on World Indigenous Day in August.</w:t>
            </w:r>
            <w:bookmarkEnd w:id="829"/>
          </w:p>
        </w:tc>
      </w:tr>
    </w:tbl>
    <w:p w14:paraId="20D0A082" w14:textId="77777777" w:rsidR="00B30B11" w:rsidRPr="0053072D" w:rsidRDefault="00B30B11" w:rsidP="00B30B11">
      <w:pPr>
        <w:keepNext/>
        <w:keepLines/>
        <w:spacing w:after="120" w:line="240" w:lineRule="auto"/>
        <w:ind w:left="11"/>
        <w:outlineLvl w:val="1"/>
        <w:rPr>
          <w:rFonts w:eastAsia="Times New Roman" w:cs="Arial"/>
          <w:color w:val="000000"/>
          <w:szCs w:val="20"/>
          <w:lang w:val="en-ID" w:eastAsia="en-ID"/>
        </w:rPr>
      </w:pPr>
    </w:p>
    <w:p w14:paraId="7EAA6986" w14:textId="77777777" w:rsidR="00B30B11" w:rsidRPr="0053072D" w:rsidRDefault="00B30B11" w:rsidP="00B30B11">
      <w:pPr>
        <w:keepNext/>
        <w:keepLines/>
        <w:spacing w:after="120" w:line="240" w:lineRule="auto"/>
        <w:ind w:left="11"/>
        <w:outlineLvl w:val="1"/>
        <w:rPr>
          <w:rFonts w:eastAsia="Times New Roman" w:cs="Arial"/>
          <w:color w:val="000000"/>
          <w:szCs w:val="20"/>
          <w:lang w:val="en-ID" w:eastAsia="en-ID"/>
        </w:rPr>
      </w:pPr>
      <w:r w:rsidRPr="0053072D">
        <w:rPr>
          <w:rFonts w:eastAsia="Times New Roman" w:cs="Arial"/>
          <w:color w:val="000000"/>
          <w:szCs w:val="20"/>
          <w:lang w:val="en-ID" w:eastAsia="en-ID"/>
        </w:rPr>
        <w:br w:type="page"/>
      </w:r>
    </w:p>
    <w:p w14:paraId="6A9F32C3" w14:textId="75FEA40C" w:rsidR="00B30B11" w:rsidRPr="0053072D" w:rsidRDefault="00B30B11" w:rsidP="00B30B11">
      <w:pPr>
        <w:keepNext/>
        <w:keepLines/>
        <w:spacing w:after="360" w:line="240" w:lineRule="auto"/>
        <w:ind w:left="851"/>
        <w:outlineLvl w:val="1"/>
        <w:rPr>
          <w:rFonts w:eastAsia="Times New Roman" w:cs="Arial"/>
          <w:b/>
          <w:bCs/>
          <w:color w:val="262C66"/>
          <w:szCs w:val="20"/>
          <w:lang w:val="en-ID" w:eastAsia="en-ID"/>
        </w:rPr>
      </w:pPr>
      <w:bookmarkStart w:id="830" w:name="_Toc173319013"/>
      <w:r w:rsidRPr="0053072D">
        <w:rPr>
          <w:rFonts w:eastAsia="Times New Roman" w:cs="Arial"/>
          <w:b/>
          <w:bCs/>
          <w:noProof/>
          <w:color w:val="131632"/>
          <w:szCs w:val="20"/>
          <w:lang w:val="en-ID" w:eastAsia="en-ID"/>
          <w14:ligatures w14:val="standardContextual"/>
        </w:rPr>
        <w:lastRenderedPageBreak/>
        <w:drawing>
          <wp:anchor distT="0" distB="0" distL="114300" distR="114300" simplePos="0" relativeHeight="251658285" behindDoc="0" locked="0" layoutInCell="1" allowOverlap="1" wp14:anchorId="6396A6AC" wp14:editId="2584FD76">
            <wp:simplePos x="0" y="0"/>
            <wp:positionH relativeFrom="column">
              <wp:posOffset>1905</wp:posOffset>
            </wp:positionH>
            <wp:positionV relativeFrom="paragraph">
              <wp:posOffset>-118745</wp:posOffset>
            </wp:positionV>
            <wp:extent cx="396000" cy="396000"/>
            <wp:effectExtent l="0" t="0" r="0" b="0"/>
            <wp:wrapNone/>
            <wp:docPr id="556440640" name="Graphic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111321" name="Graphic 16">
                      <a:extLst>
                        <a:ext uri="{C183D7F6-B498-43B3-948B-1728B52AA6E4}">
                          <adec:decorative xmlns:adec="http://schemas.microsoft.com/office/drawing/2017/decorative" val="1"/>
                        </a:ext>
                      </a:extLst>
                    </pic:cNvPr>
                    <pic:cNvPicPr/>
                  </pic:nvPicPr>
                  <pic:blipFill>
                    <a:blip r:embed="rId171" cstate="print">
                      <a:extLst>
                        <a:ext uri="{28A0092B-C50C-407E-A947-70E740481C1C}">
                          <a14:useLocalDpi xmlns:a14="http://schemas.microsoft.com/office/drawing/2010/main" val="0"/>
                        </a:ext>
                        <a:ext uri="{96DAC541-7B7A-43D3-8B79-37D633B846F1}">
                          <asvg:svgBlip xmlns:asvg="http://schemas.microsoft.com/office/drawing/2016/SVG/main" r:embed="rId172"/>
                        </a:ext>
                      </a:extLst>
                    </a:blip>
                    <a:stretch>
                      <a:fillRect/>
                    </a:stretch>
                  </pic:blipFill>
                  <pic:spPr>
                    <a:xfrm>
                      <a:off x="0" y="0"/>
                      <a:ext cx="396000" cy="396000"/>
                    </a:xfrm>
                    <a:prstGeom prst="rect">
                      <a:avLst/>
                    </a:prstGeom>
                  </pic:spPr>
                </pic:pic>
              </a:graphicData>
            </a:graphic>
            <wp14:sizeRelH relativeFrom="page">
              <wp14:pctWidth>0</wp14:pctWidth>
            </wp14:sizeRelH>
            <wp14:sizeRelV relativeFrom="page">
              <wp14:pctHeight>0</wp14:pctHeight>
            </wp14:sizeRelV>
          </wp:anchor>
        </w:drawing>
      </w:r>
      <w:r w:rsidR="00321DBB">
        <w:rPr>
          <w:rFonts w:eastAsia="Times New Roman" w:cs="Arial"/>
          <w:b/>
          <w:bCs/>
          <w:color w:val="262C66"/>
          <w:szCs w:val="20"/>
          <w:lang w:val="en-ID" w:eastAsia="en-ID"/>
        </w:rPr>
        <w:t>Progress</w:t>
      </w:r>
      <w:r w:rsidRPr="0053072D">
        <w:rPr>
          <w:rFonts w:eastAsia="Times New Roman" w:cs="Arial"/>
          <w:b/>
          <w:bCs/>
          <w:color w:val="262C66"/>
          <w:szCs w:val="20"/>
          <w:lang w:val="en-ID" w:eastAsia="en-ID"/>
        </w:rPr>
        <w:t>: Policy Engagement (PE)</w:t>
      </w:r>
      <w:bookmarkEnd w:id="830"/>
      <w:r w:rsidRPr="0053072D">
        <w:rPr>
          <w:rFonts w:eastAsia="Times New Roman" w:cs="Arial"/>
          <w:noProof/>
          <w:color w:val="262C66"/>
          <w:szCs w:val="20"/>
          <w:lang w:val="en-ID" w:eastAsia="en-ID"/>
          <w14:ligatures w14:val="standardContextual"/>
        </w:rPr>
        <w:t xml:space="preserve"> </w:t>
      </w:r>
      <w:r w:rsidR="002D6DCE">
        <w:rPr>
          <w:rFonts w:eastAsia="Times New Roman" w:cs="Arial"/>
          <w:noProof/>
          <w:color w:val="262C66"/>
          <w:szCs w:val="20"/>
          <w:lang w:val="en-ID" w:eastAsia="en-ID"/>
          <w14:ligatures w14:val="standardContextual"/>
        </w:rPr>
        <w:br/>
      </w:r>
    </w:p>
    <w:tbl>
      <w:tblPr>
        <w:tblStyle w:val="TableGrid1"/>
        <w:tblpPr w:leftFromText="181" w:rightFromText="181" w:vertAnchor="text" w:tblpY="1"/>
        <w:tblOverlap w:val="never"/>
        <w:tblW w:w="0" w:type="auto"/>
        <w:tblBorders>
          <w:top w:val="none" w:sz="0" w:space="0" w:color="auto"/>
          <w:left w:val="none" w:sz="0" w:space="0" w:color="auto"/>
          <w:bottom w:val="single" w:sz="4" w:space="0" w:color="000000"/>
          <w:right w:val="none" w:sz="0" w:space="0" w:color="auto"/>
          <w:insideH w:val="single" w:sz="4" w:space="0" w:color="000000"/>
          <w:insideV w:val="none" w:sz="0" w:space="0" w:color="auto"/>
        </w:tblBorders>
        <w:tblCellMar>
          <w:top w:w="170" w:type="dxa"/>
          <w:bottom w:w="113" w:type="dxa"/>
          <w:right w:w="170" w:type="dxa"/>
        </w:tblCellMar>
        <w:tblLook w:val="06A0" w:firstRow="1" w:lastRow="0" w:firstColumn="1" w:lastColumn="0" w:noHBand="1" w:noVBand="1"/>
      </w:tblPr>
      <w:tblGrid>
        <w:gridCol w:w="1996"/>
        <w:gridCol w:w="2590"/>
        <w:gridCol w:w="3746"/>
        <w:gridCol w:w="2825"/>
        <w:gridCol w:w="3270"/>
      </w:tblGrid>
      <w:tr w:rsidR="00B30B11" w:rsidRPr="0053072D" w14:paraId="78B6A10B" w14:textId="77777777" w:rsidTr="00EE453C">
        <w:tc>
          <w:tcPr>
            <w:tcW w:w="2002" w:type="dxa"/>
            <w:tcBorders>
              <w:top w:val="nil"/>
              <w:right w:val="single" w:sz="4" w:space="0" w:color="FFFFFF" w:themeColor="background2"/>
            </w:tcBorders>
            <w:shd w:val="clear" w:color="auto" w:fill="262C66"/>
          </w:tcPr>
          <w:p w14:paraId="786B510E" w14:textId="4723C301" w:rsidR="00B30B11" w:rsidRPr="00450972" w:rsidRDefault="00B30B11" w:rsidP="002D6DCE">
            <w:pPr>
              <w:keepNext/>
              <w:keepLines/>
              <w:spacing w:before="60" w:after="60"/>
              <w:ind w:left="11"/>
              <w:jc w:val="center"/>
              <w:outlineLvl w:val="1"/>
              <w:rPr>
                <w:rFonts w:eastAsia="Times New Roman" w:cs="Arial"/>
                <w:b/>
                <w:bCs/>
                <w:sz w:val="20"/>
                <w:szCs w:val="20"/>
                <w:lang w:val="en-ID" w:eastAsia="en-ID"/>
              </w:rPr>
            </w:pPr>
            <w:bookmarkStart w:id="831" w:name="_Toc173319014"/>
            <w:r w:rsidRPr="00450972">
              <w:rPr>
                <w:rFonts w:eastAsia="Times New Roman" w:cs="Arial"/>
                <w:b/>
                <w:bCs/>
                <w:sz w:val="20"/>
                <w:szCs w:val="20"/>
                <w:lang w:val="en-ID" w:eastAsia="en-ID"/>
              </w:rPr>
              <w:t>Exit strategies</w:t>
            </w:r>
            <w:bookmarkEnd w:id="831"/>
          </w:p>
        </w:tc>
        <w:tc>
          <w:tcPr>
            <w:tcW w:w="2615" w:type="dxa"/>
            <w:tcBorders>
              <w:top w:val="nil"/>
              <w:left w:val="single" w:sz="4" w:space="0" w:color="FFFFFF" w:themeColor="background2"/>
              <w:right w:val="single" w:sz="4" w:space="0" w:color="FFFFFF" w:themeColor="background2"/>
            </w:tcBorders>
            <w:shd w:val="clear" w:color="auto" w:fill="262C66"/>
          </w:tcPr>
          <w:p w14:paraId="48118DB5" w14:textId="6A911E2A" w:rsidR="00B30B11" w:rsidRPr="0053072D" w:rsidRDefault="00B30B11" w:rsidP="002D6DCE">
            <w:pPr>
              <w:keepNext/>
              <w:keepLines/>
              <w:spacing w:before="60" w:after="60"/>
              <w:ind w:left="11"/>
              <w:jc w:val="center"/>
              <w:outlineLvl w:val="1"/>
              <w:rPr>
                <w:rFonts w:eastAsia="Times New Roman" w:cs="Arial"/>
                <w:b/>
                <w:bCs/>
                <w:color w:val="FFFFFF"/>
                <w:sz w:val="20"/>
                <w:szCs w:val="20"/>
                <w:lang w:val="en-ID" w:eastAsia="en-ID"/>
              </w:rPr>
            </w:pPr>
            <w:bookmarkStart w:id="832" w:name="_Toc173319015"/>
            <w:r w:rsidRPr="0053072D">
              <w:rPr>
                <w:rFonts w:eastAsia="Times New Roman" w:cs="Arial"/>
                <w:b/>
                <w:bCs/>
                <w:color w:val="FFFFFF"/>
                <w:sz w:val="20"/>
                <w:szCs w:val="20"/>
                <w:lang w:val="en-ID" w:eastAsia="en-ID"/>
              </w:rPr>
              <w:t>Focus areas</w:t>
            </w:r>
            <w:bookmarkEnd w:id="832"/>
          </w:p>
        </w:tc>
        <w:tc>
          <w:tcPr>
            <w:tcW w:w="3791" w:type="dxa"/>
            <w:tcBorders>
              <w:top w:val="nil"/>
              <w:left w:val="single" w:sz="4" w:space="0" w:color="FFFFFF" w:themeColor="background2"/>
              <w:right w:val="single" w:sz="4" w:space="0" w:color="FFFFFF" w:themeColor="background2"/>
            </w:tcBorders>
            <w:shd w:val="clear" w:color="auto" w:fill="262C66"/>
          </w:tcPr>
          <w:p w14:paraId="647629E6" w14:textId="301D1EDF" w:rsidR="00B30B11" w:rsidRPr="0053072D" w:rsidRDefault="00B30B11" w:rsidP="002D6DCE">
            <w:pPr>
              <w:keepNext/>
              <w:keepLines/>
              <w:spacing w:before="60" w:after="60"/>
              <w:ind w:left="11"/>
              <w:jc w:val="center"/>
              <w:outlineLvl w:val="1"/>
              <w:rPr>
                <w:rFonts w:eastAsia="Times New Roman" w:cs="Arial"/>
                <w:b/>
                <w:bCs/>
                <w:color w:val="FFFFFF"/>
                <w:sz w:val="20"/>
                <w:szCs w:val="20"/>
                <w:lang w:val="en-ID" w:eastAsia="en-ID"/>
              </w:rPr>
            </w:pPr>
            <w:bookmarkStart w:id="833" w:name="_Toc173319016"/>
            <w:r w:rsidRPr="0053072D">
              <w:rPr>
                <w:rFonts w:eastAsia="Times New Roman" w:cs="Arial"/>
                <w:b/>
                <w:bCs/>
                <w:color w:val="FFFFFF"/>
                <w:sz w:val="20"/>
                <w:szCs w:val="20"/>
                <w:lang w:val="en-ID" w:eastAsia="en-ID"/>
              </w:rPr>
              <w:t>Planned initiatives</w:t>
            </w:r>
            <w:bookmarkEnd w:id="833"/>
          </w:p>
        </w:tc>
        <w:tc>
          <w:tcPr>
            <w:tcW w:w="2858" w:type="dxa"/>
            <w:tcBorders>
              <w:top w:val="nil"/>
              <w:left w:val="single" w:sz="4" w:space="0" w:color="FFFFFF" w:themeColor="background2"/>
              <w:right w:val="single" w:sz="4" w:space="0" w:color="FFFFFF" w:themeColor="background2"/>
            </w:tcBorders>
            <w:shd w:val="clear" w:color="auto" w:fill="262C66"/>
          </w:tcPr>
          <w:p w14:paraId="243251E5" w14:textId="43A13FA8" w:rsidR="00B30B11" w:rsidRPr="0053072D" w:rsidRDefault="00B30B11" w:rsidP="002D6DCE">
            <w:pPr>
              <w:keepNext/>
              <w:keepLines/>
              <w:spacing w:before="60" w:after="60"/>
              <w:ind w:left="11"/>
              <w:jc w:val="center"/>
              <w:outlineLvl w:val="1"/>
              <w:rPr>
                <w:rFonts w:eastAsia="Times New Roman" w:cs="Arial"/>
                <w:b/>
                <w:bCs/>
                <w:color w:val="FFFFFF"/>
                <w:sz w:val="20"/>
                <w:szCs w:val="20"/>
                <w:lang w:val="en-ID" w:eastAsia="en-ID"/>
              </w:rPr>
            </w:pPr>
            <w:bookmarkStart w:id="834" w:name="_Toc173319017"/>
            <w:r w:rsidRPr="0053072D">
              <w:rPr>
                <w:rFonts w:eastAsia="Times New Roman" w:cs="Arial"/>
                <w:b/>
                <w:bCs/>
                <w:color w:val="FFFFFF"/>
                <w:sz w:val="20"/>
                <w:szCs w:val="20"/>
                <w:lang w:val="en-ID" w:eastAsia="en-ID"/>
              </w:rPr>
              <w:t>Expected outputs</w:t>
            </w:r>
            <w:bookmarkEnd w:id="834"/>
          </w:p>
        </w:tc>
        <w:tc>
          <w:tcPr>
            <w:tcW w:w="3304" w:type="dxa"/>
            <w:tcBorders>
              <w:top w:val="nil"/>
              <w:left w:val="single" w:sz="4" w:space="0" w:color="FFFFFF" w:themeColor="background2"/>
            </w:tcBorders>
            <w:shd w:val="clear" w:color="auto" w:fill="262C66"/>
          </w:tcPr>
          <w:p w14:paraId="397C82E7" w14:textId="2DC8D18A" w:rsidR="00B30B11" w:rsidRPr="0053072D" w:rsidRDefault="00B30B11" w:rsidP="002D6DCE">
            <w:pPr>
              <w:keepNext/>
              <w:keepLines/>
              <w:spacing w:before="60" w:after="60"/>
              <w:ind w:left="11"/>
              <w:jc w:val="center"/>
              <w:outlineLvl w:val="1"/>
              <w:rPr>
                <w:rFonts w:eastAsia="Times New Roman" w:cs="Arial"/>
                <w:b/>
                <w:bCs/>
                <w:color w:val="FFFFFF"/>
                <w:sz w:val="20"/>
                <w:szCs w:val="20"/>
                <w:lang w:val="en-ID" w:eastAsia="en-ID"/>
              </w:rPr>
            </w:pPr>
            <w:bookmarkStart w:id="835" w:name="_Toc173319018"/>
            <w:r w:rsidRPr="0053072D">
              <w:rPr>
                <w:rFonts w:eastAsia="Times New Roman" w:cs="Arial"/>
                <w:b/>
                <w:bCs/>
                <w:color w:val="FFFFFF"/>
                <w:sz w:val="20"/>
                <w:szCs w:val="20"/>
                <w:lang w:val="en-ID" w:eastAsia="en-ID"/>
              </w:rPr>
              <w:t>Progress update</w:t>
            </w:r>
            <w:bookmarkEnd w:id="835"/>
          </w:p>
        </w:tc>
      </w:tr>
      <w:tr w:rsidR="00B30B11" w:rsidRPr="0053072D" w14:paraId="0B86D2AD" w14:textId="77777777" w:rsidTr="00EE453C">
        <w:tc>
          <w:tcPr>
            <w:tcW w:w="2002" w:type="dxa"/>
          </w:tcPr>
          <w:p w14:paraId="114D2DFE" w14:textId="19D881BD"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36" w:name="_Toc173319019"/>
            <w:r w:rsidRPr="0053072D">
              <w:rPr>
                <w:rFonts w:eastAsia="Times New Roman" w:cs="Aptos"/>
                <w:color w:val="000000"/>
                <w:sz w:val="20"/>
                <w:szCs w:val="20"/>
                <w:lang w:val="en-ID" w:eastAsia="en-ID"/>
              </w:rPr>
              <w:t>Strategies towards ensuring greater sustainability</w:t>
            </w:r>
            <w:bookmarkEnd w:id="836"/>
          </w:p>
        </w:tc>
        <w:tc>
          <w:tcPr>
            <w:tcW w:w="2615" w:type="dxa"/>
          </w:tcPr>
          <w:p w14:paraId="58EA1AA6" w14:textId="6421CAC2"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37" w:name="_Toc173319020"/>
            <w:r w:rsidRPr="0053072D">
              <w:rPr>
                <w:rFonts w:eastAsia="Times New Roman" w:cs="Aptos"/>
                <w:color w:val="000000"/>
                <w:sz w:val="20"/>
                <w:szCs w:val="20"/>
                <w:lang w:val="en-ID" w:eastAsia="en-ID"/>
              </w:rPr>
              <w:t>Utilising the learnings and insights from the RPJMN workshops to continue supporting Bappenas</w:t>
            </w:r>
            <w:bookmarkEnd w:id="837"/>
          </w:p>
        </w:tc>
        <w:tc>
          <w:tcPr>
            <w:tcW w:w="3791" w:type="dxa"/>
          </w:tcPr>
          <w:p w14:paraId="280D470B" w14:textId="5DEA6518"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38" w:name="_Toc173319021"/>
            <w:r w:rsidRPr="0053072D">
              <w:rPr>
                <w:rFonts w:eastAsia="Times New Roman" w:cs="Aptos"/>
                <w:color w:val="000000"/>
                <w:sz w:val="20"/>
                <w:szCs w:val="20"/>
                <w:lang w:val="en-ID" w:eastAsia="en-ID"/>
              </w:rPr>
              <w:t xml:space="preserve">Comprehensive strategic policy evidence to support the green economy and food security in Indonesia: </w:t>
            </w:r>
            <w:r w:rsidRPr="0053072D">
              <w:rPr>
                <w:rFonts w:eastAsia="Times New Roman" w:cs="Aptos"/>
                <w:color w:val="000000"/>
                <w:sz w:val="20"/>
                <w:szCs w:val="20"/>
                <w:lang w:val="en-ID" w:eastAsia="en-ID"/>
              </w:rPr>
              <w:br/>
              <w:t>1. Data and benchmarking</w:t>
            </w:r>
            <w:r w:rsidRPr="0053072D">
              <w:rPr>
                <w:rFonts w:eastAsia="Times New Roman" w:cs="Aptos"/>
                <w:color w:val="000000"/>
                <w:sz w:val="20"/>
                <w:szCs w:val="20"/>
                <w:lang w:val="en-ID" w:eastAsia="en-ID"/>
              </w:rPr>
              <w:br/>
              <w:t>2. Improve the bridge and delivery system from innovation to end users</w:t>
            </w:r>
            <w:r w:rsidRPr="0053072D">
              <w:rPr>
                <w:rFonts w:eastAsia="Times New Roman" w:cs="Aptos"/>
                <w:color w:val="000000"/>
                <w:sz w:val="20"/>
                <w:szCs w:val="20"/>
                <w:lang w:val="en-ID" w:eastAsia="en-ID"/>
              </w:rPr>
              <w:br/>
              <w:t>3. Regeneration of youth farmers for food security</w:t>
            </w:r>
            <w:bookmarkEnd w:id="838"/>
          </w:p>
        </w:tc>
        <w:tc>
          <w:tcPr>
            <w:tcW w:w="2858" w:type="dxa"/>
          </w:tcPr>
          <w:p w14:paraId="206B4AB0" w14:textId="6BDFF8C6" w:rsidR="00B30B11" w:rsidRPr="0053072D" w:rsidRDefault="00B30B11" w:rsidP="002D6DCE">
            <w:pPr>
              <w:keepNext/>
              <w:keepLines/>
              <w:spacing w:after="80"/>
              <w:ind w:left="65"/>
              <w:outlineLvl w:val="1"/>
              <w:rPr>
                <w:rFonts w:eastAsia="Times New Roman" w:cs="Arial"/>
                <w:color w:val="000000"/>
                <w:sz w:val="20"/>
                <w:szCs w:val="20"/>
                <w:lang w:val="en-ID" w:eastAsia="en-ID"/>
              </w:rPr>
            </w:pPr>
            <w:bookmarkStart w:id="839" w:name="_Toc173319022"/>
            <w:r w:rsidRPr="0053072D">
              <w:rPr>
                <w:rFonts w:eastAsia="Times New Roman" w:cs="Arial"/>
                <w:color w:val="000000"/>
                <w:sz w:val="20"/>
                <w:szCs w:val="20"/>
                <w:lang w:val="en-ID" w:eastAsia="en-ID"/>
              </w:rPr>
              <w:t>The study is accepted and delivered to Bappenas.</w:t>
            </w:r>
            <w:bookmarkEnd w:id="839"/>
          </w:p>
        </w:tc>
        <w:tc>
          <w:tcPr>
            <w:tcW w:w="3304" w:type="dxa"/>
          </w:tcPr>
          <w:p w14:paraId="4F1D05AC" w14:textId="77777777" w:rsidR="00B30B11" w:rsidRPr="0053072D" w:rsidRDefault="00B30B11" w:rsidP="00EE453C">
            <w:pPr>
              <w:keepNext/>
              <w:keepLines/>
              <w:spacing w:after="120"/>
              <w:ind w:left="11"/>
              <w:outlineLvl w:val="1"/>
              <w:rPr>
                <w:rFonts w:eastAsia="Times New Roman" w:cs="Arial"/>
                <w:sz w:val="20"/>
                <w:szCs w:val="20"/>
                <w:lang w:val="en-ID" w:eastAsia="en-ID"/>
              </w:rPr>
            </w:pPr>
            <w:bookmarkStart w:id="840" w:name="_Toc173319023"/>
            <w:r w:rsidRPr="0053072D">
              <w:rPr>
                <w:rFonts w:eastAsia="Times New Roman" w:cs="Arial"/>
                <w:sz w:val="20"/>
                <w:szCs w:val="20"/>
                <w:lang w:val="en-ID" w:eastAsia="en-ID"/>
              </w:rPr>
              <w:t>Delivered: background study on agriculture modernisation and resilience in Indonesia.</w:t>
            </w:r>
            <w:bookmarkEnd w:id="840"/>
            <w:r w:rsidRPr="0053072D">
              <w:rPr>
                <w:rFonts w:eastAsia="Times New Roman" w:cs="Arial"/>
                <w:sz w:val="20"/>
                <w:szCs w:val="20"/>
                <w:lang w:val="en-ID" w:eastAsia="en-ID"/>
              </w:rPr>
              <w:t xml:space="preserve"> </w:t>
            </w:r>
          </w:p>
          <w:p w14:paraId="276F791E" w14:textId="0786EC1A" w:rsidR="00B30B11" w:rsidRPr="0053072D" w:rsidRDefault="00B30B11" w:rsidP="00EE453C">
            <w:pPr>
              <w:keepNext/>
              <w:keepLines/>
              <w:spacing w:after="120"/>
              <w:ind w:left="11"/>
              <w:outlineLvl w:val="1"/>
              <w:rPr>
                <w:rFonts w:eastAsia="Times New Roman" w:cs="Arial"/>
                <w:sz w:val="20"/>
                <w:szCs w:val="20"/>
                <w:lang w:val="en-ID" w:eastAsia="en-ID"/>
              </w:rPr>
            </w:pPr>
            <w:bookmarkStart w:id="841" w:name="_Toc173319024"/>
            <w:r w:rsidRPr="0053072D">
              <w:rPr>
                <w:rFonts w:eastAsia="Times New Roman" w:cs="Arial"/>
                <w:sz w:val="20"/>
                <w:szCs w:val="20"/>
                <w:lang w:val="en-ID" w:eastAsia="en-ID"/>
              </w:rPr>
              <w:t>Ongoing: Indicators on the modernisation of agriculture for the 2025-2029 RPJMN.</w:t>
            </w:r>
            <w:bookmarkEnd w:id="841"/>
          </w:p>
          <w:p w14:paraId="7A86415F" w14:textId="16E92563" w:rsidR="00B30B11" w:rsidRPr="0053072D" w:rsidRDefault="00B30B11" w:rsidP="00EE453C">
            <w:pPr>
              <w:keepNext/>
              <w:keepLines/>
              <w:spacing w:after="120"/>
              <w:ind w:left="11"/>
              <w:outlineLvl w:val="1"/>
              <w:rPr>
                <w:rFonts w:eastAsia="Times New Roman" w:cs="Arial"/>
                <w:color w:val="C00000"/>
                <w:sz w:val="20"/>
                <w:szCs w:val="20"/>
                <w:lang w:val="en-ID" w:eastAsia="en-ID"/>
              </w:rPr>
            </w:pPr>
            <w:bookmarkStart w:id="842" w:name="_Toc173319025"/>
            <w:r w:rsidRPr="0053072D">
              <w:rPr>
                <w:rFonts w:eastAsia="Times New Roman" w:cs="Arial"/>
                <w:sz w:val="20"/>
                <w:szCs w:val="20"/>
                <w:lang w:val="en-ID" w:eastAsia="en-ID"/>
              </w:rPr>
              <w:t>Ongoing: Comprehensive policy studies in key thematic areas (i.e. availability of quality food crop seeds, young farmer regeneration, agriculture digitalisation, and climate-smart agriculture).</w:t>
            </w:r>
            <w:bookmarkEnd w:id="842"/>
          </w:p>
        </w:tc>
      </w:tr>
      <w:tr w:rsidR="00B30B11" w:rsidRPr="0053072D" w14:paraId="024F1415" w14:textId="77777777" w:rsidTr="00EE453C">
        <w:tc>
          <w:tcPr>
            <w:tcW w:w="2002" w:type="dxa"/>
          </w:tcPr>
          <w:p w14:paraId="4E4CDF62" w14:textId="485AA384"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43" w:name="_Toc173319026"/>
            <w:r w:rsidRPr="0053072D">
              <w:rPr>
                <w:rFonts w:eastAsia="Times New Roman" w:cs="Aptos"/>
                <w:color w:val="000000"/>
                <w:sz w:val="20"/>
                <w:szCs w:val="20"/>
                <w:lang w:val="en-ID" w:eastAsia="en-ID"/>
              </w:rPr>
              <w:t>Policy initiatives (which may include support for Bappenas/MoA)</w:t>
            </w:r>
            <w:bookmarkEnd w:id="843"/>
          </w:p>
        </w:tc>
        <w:tc>
          <w:tcPr>
            <w:tcW w:w="2615" w:type="dxa"/>
          </w:tcPr>
          <w:p w14:paraId="762296B4" w14:textId="084E210D"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44" w:name="_Toc173319027"/>
            <w:r w:rsidRPr="0053072D">
              <w:rPr>
                <w:rFonts w:eastAsia="Times New Roman" w:cs="Aptos"/>
                <w:color w:val="000000"/>
                <w:sz w:val="20"/>
                <w:szCs w:val="20"/>
                <w:lang w:val="en-ID" w:eastAsia="en-ID"/>
              </w:rPr>
              <w:t>Strategic policy engagement at the national level</w:t>
            </w:r>
            <w:bookmarkEnd w:id="844"/>
          </w:p>
        </w:tc>
        <w:tc>
          <w:tcPr>
            <w:tcW w:w="3791" w:type="dxa"/>
          </w:tcPr>
          <w:p w14:paraId="27FC6B02"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45" w:name="_Toc173319028"/>
            <w:r w:rsidRPr="0053072D">
              <w:rPr>
                <w:rFonts w:eastAsia="Times New Roman" w:cs="Aptos"/>
                <w:color w:val="000000"/>
                <w:sz w:val="20"/>
                <w:szCs w:val="20"/>
                <w:lang w:val="en-ID" w:eastAsia="en-ID"/>
              </w:rPr>
              <w:t>Strategic policy engagement at the national level:</w:t>
            </w:r>
            <w:r w:rsidRPr="0053072D">
              <w:rPr>
                <w:rFonts w:eastAsia="Times New Roman" w:cs="Aptos"/>
                <w:color w:val="000000"/>
                <w:sz w:val="20"/>
                <w:szCs w:val="20"/>
                <w:lang w:val="en-ID" w:eastAsia="en-ID"/>
              </w:rPr>
              <w:br/>
              <w:t xml:space="preserve">1. National standard feed operational guidelines and Jersey cattle road map follow-up  </w:t>
            </w:r>
            <w:r w:rsidRPr="0053072D">
              <w:rPr>
                <w:rFonts w:eastAsia="Times New Roman" w:cs="Aptos"/>
                <w:color w:val="000000"/>
                <w:sz w:val="20"/>
                <w:szCs w:val="20"/>
                <w:lang w:val="en-ID" w:eastAsia="en-ID"/>
              </w:rPr>
              <w:br/>
              <w:t>2. A seed system</w:t>
            </w:r>
            <w:bookmarkEnd w:id="845"/>
            <w:r w:rsidRPr="0053072D">
              <w:rPr>
                <w:rFonts w:eastAsia="Times New Roman" w:cs="Aptos"/>
                <w:color w:val="000000"/>
                <w:sz w:val="20"/>
                <w:szCs w:val="20"/>
                <w:lang w:val="en-ID" w:eastAsia="en-ID"/>
              </w:rPr>
              <w:t xml:space="preserve"> </w:t>
            </w:r>
          </w:p>
        </w:tc>
        <w:tc>
          <w:tcPr>
            <w:tcW w:w="2858" w:type="dxa"/>
          </w:tcPr>
          <w:p w14:paraId="19A1E9B2" w14:textId="07FAAD51" w:rsidR="00B30B11" w:rsidRPr="0053072D" w:rsidRDefault="00B30B11" w:rsidP="002D6DCE">
            <w:pPr>
              <w:keepNext/>
              <w:keepLines/>
              <w:spacing w:after="80"/>
              <w:ind w:left="65"/>
              <w:outlineLvl w:val="1"/>
              <w:rPr>
                <w:rFonts w:eastAsia="Times New Roman" w:cs="Arial"/>
                <w:color w:val="000000"/>
                <w:sz w:val="20"/>
                <w:szCs w:val="20"/>
                <w:lang w:val="en-ID" w:eastAsia="en-ID"/>
              </w:rPr>
            </w:pPr>
            <w:bookmarkStart w:id="846" w:name="_Toc173319029"/>
            <w:r w:rsidRPr="0053072D">
              <w:rPr>
                <w:rFonts w:eastAsia="Times New Roman" w:cs="Arial"/>
                <w:color w:val="000000"/>
                <w:sz w:val="20"/>
                <w:szCs w:val="20"/>
                <w:lang w:val="en-ID" w:eastAsia="en-ID"/>
              </w:rPr>
              <w:t>Policy change in specific sectors (policy brief delivered)</w:t>
            </w:r>
            <w:bookmarkEnd w:id="846"/>
          </w:p>
        </w:tc>
        <w:tc>
          <w:tcPr>
            <w:tcW w:w="3304" w:type="dxa"/>
          </w:tcPr>
          <w:p w14:paraId="738F0D74"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47" w:name="_Toc173319030"/>
            <w:r w:rsidRPr="0053072D">
              <w:rPr>
                <w:rFonts w:eastAsia="Times New Roman" w:cs="Arial"/>
                <w:color w:val="000000"/>
                <w:sz w:val="20"/>
                <w:szCs w:val="20"/>
                <w:lang w:val="en-ID" w:eastAsia="en-ID"/>
              </w:rPr>
              <w:t>Delivered: National standard feed and operational guidelines and the Jersey cattle road map have been translated into Good Farming and Breeding Practices that will be incorporated into the national policy system as the Agricultural Minister  Draft Regulation (Rapermentan).</w:t>
            </w:r>
            <w:bookmarkEnd w:id="847"/>
            <w:r w:rsidRPr="0053072D">
              <w:rPr>
                <w:rFonts w:eastAsia="Times New Roman" w:cs="Arial"/>
                <w:color w:val="000000"/>
                <w:sz w:val="20"/>
                <w:szCs w:val="20"/>
                <w:lang w:val="en-ID" w:eastAsia="en-ID"/>
              </w:rPr>
              <w:t xml:space="preserve"> </w:t>
            </w:r>
          </w:p>
          <w:p w14:paraId="52041965"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48" w:name="_Toc173319031"/>
            <w:r w:rsidRPr="0053072D">
              <w:rPr>
                <w:rFonts w:eastAsia="Times New Roman" w:cs="Arial"/>
                <w:color w:val="000000"/>
                <w:sz w:val="20"/>
                <w:szCs w:val="20"/>
                <w:lang w:val="en-ID" w:eastAsia="en-ID"/>
              </w:rPr>
              <w:t>Ongoing: The seed system initiative has been incorporated into one of the policy studies.</w:t>
            </w:r>
            <w:bookmarkEnd w:id="848"/>
            <w:r w:rsidRPr="0053072D">
              <w:rPr>
                <w:rFonts w:eastAsia="Times New Roman" w:cs="Arial"/>
                <w:color w:val="000000"/>
                <w:sz w:val="20"/>
                <w:szCs w:val="20"/>
                <w:lang w:val="en-ID" w:eastAsia="en-ID"/>
              </w:rPr>
              <w:t xml:space="preserve"> </w:t>
            </w:r>
          </w:p>
        </w:tc>
      </w:tr>
      <w:tr w:rsidR="00B30B11" w:rsidRPr="0053072D" w14:paraId="67CFB319" w14:textId="77777777" w:rsidTr="00EE453C">
        <w:tc>
          <w:tcPr>
            <w:tcW w:w="2002" w:type="dxa"/>
          </w:tcPr>
          <w:p w14:paraId="2EC21BAF" w14:textId="3234CC4F"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49" w:name="_Toc173319032"/>
            <w:r w:rsidRPr="0053072D">
              <w:rPr>
                <w:rFonts w:eastAsia="Times New Roman" w:cs="Aptos"/>
                <w:color w:val="000000"/>
                <w:sz w:val="20"/>
                <w:szCs w:val="20"/>
                <w:lang w:val="en-ID" w:eastAsia="en-ID"/>
              </w:rPr>
              <w:lastRenderedPageBreak/>
              <w:t>Policy initiatives (which may include support for Bappenas/MoA)</w:t>
            </w:r>
            <w:bookmarkEnd w:id="849"/>
          </w:p>
        </w:tc>
        <w:tc>
          <w:tcPr>
            <w:tcW w:w="2615" w:type="dxa"/>
          </w:tcPr>
          <w:p w14:paraId="67ACC8F0" w14:textId="578C2780"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50" w:name="_Toc173319033"/>
            <w:r w:rsidRPr="0053072D">
              <w:rPr>
                <w:rFonts w:eastAsia="Times New Roman" w:cs="Aptos"/>
                <w:color w:val="000000"/>
                <w:sz w:val="20"/>
                <w:szCs w:val="20"/>
                <w:lang w:val="en-ID" w:eastAsia="en-ID"/>
              </w:rPr>
              <w:t>Close collaboration at the provincial and district levels</w:t>
            </w:r>
            <w:bookmarkEnd w:id="850"/>
          </w:p>
        </w:tc>
        <w:tc>
          <w:tcPr>
            <w:tcW w:w="3791" w:type="dxa"/>
          </w:tcPr>
          <w:p w14:paraId="6AA59127" w14:textId="0B5DCC41"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51" w:name="_Toc173319034"/>
            <w:r w:rsidRPr="0053072D">
              <w:rPr>
                <w:rFonts w:eastAsia="Times New Roman" w:cs="Aptos"/>
                <w:color w:val="000000"/>
                <w:sz w:val="20"/>
                <w:szCs w:val="20"/>
                <w:lang w:val="en-ID" w:eastAsia="en-ID"/>
              </w:rPr>
              <w:t>Close collaboration at the provincial and district levels:</w:t>
            </w:r>
            <w:r w:rsidRPr="0053072D">
              <w:rPr>
                <w:rFonts w:eastAsia="Times New Roman" w:cs="Aptos"/>
                <w:color w:val="000000"/>
                <w:sz w:val="20"/>
                <w:szCs w:val="20"/>
                <w:lang w:val="en-ID" w:eastAsia="en-ID"/>
              </w:rPr>
              <w:br/>
              <w:t xml:space="preserve">1. </w:t>
            </w:r>
            <w:r w:rsidRPr="0053072D">
              <w:rPr>
                <w:rFonts w:eastAsia="Times New Roman" w:cs="Aptos"/>
                <w:color w:val="000000"/>
                <w:sz w:val="20"/>
                <w:szCs w:val="20"/>
                <w:lang w:val="fr-FR" w:eastAsia="en-ID"/>
              </w:rPr>
              <w:t xml:space="preserve">Maize – Central Java and NTT, </w:t>
            </w:r>
            <w:r w:rsidRPr="0053072D">
              <w:rPr>
                <w:rFonts w:eastAsia="Times New Roman" w:cs="Aptos"/>
                <w:color w:val="000000"/>
                <w:sz w:val="20"/>
                <w:szCs w:val="20"/>
                <w:lang w:val="fr-FR" w:eastAsia="en-ID"/>
              </w:rPr>
              <w:br/>
              <w:t xml:space="preserve">2. Vegetables - Papua </w:t>
            </w:r>
            <w:r w:rsidRPr="0053072D">
              <w:rPr>
                <w:rFonts w:eastAsia="Times New Roman" w:cs="Aptos"/>
                <w:color w:val="000000"/>
                <w:sz w:val="20"/>
                <w:szCs w:val="20"/>
                <w:lang w:val="fr-FR" w:eastAsia="en-ID"/>
              </w:rPr>
              <w:br/>
              <w:t xml:space="preserve">3. </w:t>
            </w:r>
            <w:r w:rsidRPr="0053072D">
              <w:rPr>
                <w:rFonts w:eastAsia="Times New Roman" w:cs="Aptos"/>
                <w:color w:val="000000"/>
                <w:sz w:val="20"/>
                <w:szCs w:val="20"/>
                <w:lang w:val="en-ID" w:eastAsia="en-ID"/>
              </w:rPr>
              <w:t>Pigs - NTT</w:t>
            </w:r>
            <w:bookmarkEnd w:id="851"/>
          </w:p>
        </w:tc>
        <w:tc>
          <w:tcPr>
            <w:tcW w:w="2858" w:type="dxa"/>
          </w:tcPr>
          <w:p w14:paraId="6CBE6992" w14:textId="39CEA1FC" w:rsidR="00B30B11" w:rsidRPr="0053072D" w:rsidRDefault="00B30B11" w:rsidP="002D6DCE">
            <w:pPr>
              <w:keepNext/>
              <w:keepLines/>
              <w:spacing w:after="80"/>
              <w:ind w:left="65"/>
              <w:outlineLvl w:val="1"/>
              <w:rPr>
                <w:rFonts w:eastAsia="Times New Roman" w:cs="Arial"/>
                <w:color w:val="000000"/>
                <w:sz w:val="20"/>
                <w:szCs w:val="20"/>
                <w:lang w:val="en-ID" w:eastAsia="en-ID"/>
              </w:rPr>
            </w:pPr>
            <w:bookmarkStart w:id="852" w:name="_Toc173319035"/>
            <w:r w:rsidRPr="0053072D">
              <w:rPr>
                <w:rFonts w:eastAsia="Times New Roman" w:cs="Arial"/>
                <w:color w:val="000000"/>
                <w:sz w:val="20"/>
                <w:szCs w:val="20"/>
                <w:lang w:val="en-ID" w:eastAsia="en-ID"/>
              </w:rPr>
              <w:t>Policy change in specific sectors (policy brief delivered)</w:t>
            </w:r>
            <w:bookmarkEnd w:id="852"/>
          </w:p>
        </w:tc>
        <w:tc>
          <w:tcPr>
            <w:tcW w:w="3304" w:type="dxa"/>
          </w:tcPr>
          <w:p w14:paraId="5FE4EF29" w14:textId="451D277F"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53" w:name="_Toc173319036"/>
            <w:r w:rsidRPr="0053072D">
              <w:rPr>
                <w:rFonts w:eastAsia="Times New Roman" w:cs="Arial"/>
                <w:color w:val="000000"/>
                <w:sz w:val="20"/>
                <w:szCs w:val="20"/>
                <w:lang w:val="en-ID" w:eastAsia="en-ID"/>
              </w:rPr>
              <w:t>Delivered: This semester, PRISMA conducted a final workshop related to vegetable Papua and pig NTT.</w:t>
            </w:r>
            <w:bookmarkEnd w:id="853"/>
          </w:p>
          <w:p w14:paraId="6CB7F21A" w14:textId="77777777" w:rsidR="00B30B11" w:rsidRPr="0053072D" w:rsidRDefault="00B30B11" w:rsidP="00EE453C">
            <w:pPr>
              <w:keepNext/>
              <w:keepLines/>
              <w:spacing w:after="120"/>
              <w:ind w:left="11"/>
              <w:outlineLvl w:val="1"/>
              <w:rPr>
                <w:rFonts w:eastAsia="Times New Roman" w:cs="Arial"/>
                <w:color w:val="000000"/>
                <w:sz w:val="20"/>
                <w:szCs w:val="20"/>
                <w:lang w:eastAsia="en-ID"/>
              </w:rPr>
            </w:pPr>
            <w:bookmarkStart w:id="854" w:name="_Toc173319037"/>
            <w:r w:rsidRPr="0053072D">
              <w:rPr>
                <w:rFonts w:eastAsia="Times New Roman" w:cs="Arial"/>
                <w:color w:val="000000" w:themeColor="text2"/>
                <w:sz w:val="20"/>
                <w:szCs w:val="20"/>
                <w:lang w:val="en-ID" w:eastAsia="en-ID"/>
              </w:rPr>
              <w:t>Ongoing: The PRISMA team and consultants are finalising the Maize Central Java Road Map and study for maize, pig, and beef NTT. The reports are expected to be delivered by July 2024.</w:t>
            </w:r>
            <w:bookmarkEnd w:id="854"/>
            <w:r w:rsidRPr="0053072D">
              <w:rPr>
                <w:rFonts w:eastAsia="Times New Roman" w:cs="Arial"/>
                <w:color w:val="000000" w:themeColor="text2"/>
                <w:sz w:val="20"/>
                <w:szCs w:val="20"/>
                <w:lang w:val="en-ID" w:eastAsia="en-ID"/>
              </w:rPr>
              <w:t xml:space="preserve">  </w:t>
            </w:r>
          </w:p>
        </w:tc>
      </w:tr>
    </w:tbl>
    <w:p w14:paraId="2616B667" w14:textId="77777777" w:rsidR="00B30B11" w:rsidRPr="0053072D" w:rsidRDefault="00B30B11" w:rsidP="00B30B11">
      <w:pPr>
        <w:keepNext/>
        <w:keepLines/>
        <w:spacing w:after="120" w:line="240" w:lineRule="auto"/>
        <w:ind w:left="11"/>
        <w:outlineLvl w:val="1"/>
        <w:rPr>
          <w:rFonts w:eastAsia="Times New Roman" w:cs="Arial"/>
          <w:color w:val="000000"/>
          <w:szCs w:val="20"/>
          <w:lang w:val="en-ID" w:eastAsia="en-ID"/>
        </w:rPr>
      </w:pPr>
    </w:p>
    <w:p w14:paraId="50604B9C" w14:textId="77777777" w:rsidR="00B30B11" w:rsidRPr="0053072D" w:rsidRDefault="00B30B11" w:rsidP="00B30B11">
      <w:pPr>
        <w:keepNext/>
        <w:keepLines/>
        <w:spacing w:after="120" w:line="240" w:lineRule="auto"/>
        <w:ind w:left="11"/>
        <w:outlineLvl w:val="1"/>
        <w:rPr>
          <w:rFonts w:eastAsia="Times New Roman" w:cs="Arial"/>
          <w:color w:val="000000"/>
          <w:szCs w:val="20"/>
          <w:lang w:val="en-ID" w:eastAsia="en-ID"/>
        </w:rPr>
      </w:pPr>
      <w:r w:rsidRPr="0053072D">
        <w:rPr>
          <w:rFonts w:eastAsia="Times New Roman" w:cs="Arial"/>
          <w:color w:val="000000"/>
          <w:szCs w:val="20"/>
          <w:lang w:val="en-ID" w:eastAsia="en-ID"/>
        </w:rPr>
        <w:br w:type="page"/>
      </w:r>
    </w:p>
    <w:p w14:paraId="1941705F" w14:textId="0F46AFE3" w:rsidR="00B30B11" w:rsidRPr="0053072D" w:rsidRDefault="00B30B11" w:rsidP="00B30B11">
      <w:pPr>
        <w:keepNext/>
        <w:keepLines/>
        <w:spacing w:after="360" w:line="240" w:lineRule="auto"/>
        <w:ind w:left="851"/>
        <w:outlineLvl w:val="1"/>
        <w:rPr>
          <w:rFonts w:eastAsia="Times New Roman" w:cs="Arial"/>
          <w:b/>
          <w:bCs/>
          <w:color w:val="262C66"/>
          <w:szCs w:val="20"/>
          <w:lang w:val="en-ID" w:eastAsia="en-ID"/>
        </w:rPr>
      </w:pPr>
      <w:bookmarkStart w:id="855" w:name="_Toc173319038"/>
      <w:r w:rsidRPr="0053072D">
        <w:rPr>
          <w:rFonts w:eastAsia="Times New Roman" w:cs="Arial"/>
          <w:b/>
          <w:bCs/>
          <w:noProof/>
          <w:color w:val="262C66"/>
          <w:szCs w:val="20"/>
          <w:lang w:val="en-ID" w:eastAsia="en-ID"/>
          <w14:ligatures w14:val="standardContextual"/>
        </w:rPr>
        <w:lastRenderedPageBreak/>
        <w:drawing>
          <wp:anchor distT="0" distB="0" distL="114300" distR="114300" simplePos="0" relativeHeight="251658286" behindDoc="0" locked="0" layoutInCell="1" allowOverlap="1" wp14:anchorId="79FC5DB2" wp14:editId="61A380F4">
            <wp:simplePos x="0" y="0"/>
            <wp:positionH relativeFrom="column">
              <wp:posOffset>12700</wp:posOffset>
            </wp:positionH>
            <wp:positionV relativeFrom="paragraph">
              <wp:posOffset>-87630</wp:posOffset>
            </wp:positionV>
            <wp:extent cx="414000" cy="414000"/>
            <wp:effectExtent l="0" t="0" r="5715" b="5715"/>
            <wp:wrapNone/>
            <wp:docPr id="335323665" name="Graphic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591114" name="Graphic 17">
                      <a:extLst>
                        <a:ext uri="{C183D7F6-B498-43B3-948B-1728B52AA6E4}">
                          <adec:decorative xmlns:adec="http://schemas.microsoft.com/office/drawing/2017/decorative" val="1"/>
                        </a:ext>
                      </a:extLst>
                    </pic:cNvPr>
                    <pic:cNvPicPr/>
                  </pic:nvPicPr>
                  <pic:blipFill>
                    <a:blip r:embed="rId173" cstate="print">
                      <a:extLst>
                        <a:ext uri="{28A0092B-C50C-407E-A947-70E740481C1C}">
                          <a14:useLocalDpi xmlns:a14="http://schemas.microsoft.com/office/drawing/2010/main" val="0"/>
                        </a:ext>
                        <a:ext uri="{96DAC541-7B7A-43D3-8B79-37D633B846F1}">
                          <asvg:svgBlip xmlns:asvg="http://schemas.microsoft.com/office/drawing/2016/SVG/main" r:embed="rId174"/>
                        </a:ext>
                      </a:extLst>
                    </a:blip>
                    <a:stretch>
                      <a:fillRect/>
                    </a:stretch>
                  </pic:blipFill>
                  <pic:spPr>
                    <a:xfrm>
                      <a:off x="0" y="0"/>
                      <a:ext cx="414000" cy="414000"/>
                    </a:xfrm>
                    <a:prstGeom prst="rect">
                      <a:avLst/>
                    </a:prstGeom>
                  </pic:spPr>
                </pic:pic>
              </a:graphicData>
            </a:graphic>
            <wp14:sizeRelH relativeFrom="page">
              <wp14:pctWidth>0</wp14:pctWidth>
            </wp14:sizeRelH>
            <wp14:sizeRelV relativeFrom="page">
              <wp14:pctHeight>0</wp14:pctHeight>
            </wp14:sizeRelV>
          </wp:anchor>
        </w:drawing>
      </w:r>
      <w:r w:rsidR="00321DBB">
        <w:rPr>
          <w:rFonts w:eastAsia="Times New Roman" w:cs="Arial"/>
          <w:b/>
          <w:bCs/>
          <w:color w:val="262C66"/>
          <w:szCs w:val="20"/>
          <w:lang w:val="en-ID" w:eastAsia="en-ID"/>
        </w:rPr>
        <w:t>Progress</w:t>
      </w:r>
      <w:r w:rsidRPr="0053072D">
        <w:rPr>
          <w:rFonts w:eastAsia="Times New Roman" w:cs="Arial"/>
          <w:b/>
          <w:bCs/>
          <w:color w:val="262C66"/>
          <w:szCs w:val="20"/>
          <w:lang w:val="en-ID" w:eastAsia="en-ID"/>
        </w:rPr>
        <w:t>: Strategic Communications</w:t>
      </w:r>
      <w:bookmarkEnd w:id="855"/>
      <w:r w:rsidR="002D6DCE">
        <w:rPr>
          <w:rFonts w:eastAsia="Times New Roman" w:cs="Arial"/>
          <w:b/>
          <w:bCs/>
          <w:color w:val="262C66"/>
          <w:szCs w:val="20"/>
          <w:lang w:val="en-ID" w:eastAsia="en-ID"/>
        </w:rPr>
        <w:br/>
      </w:r>
    </w:p>
    <w:tbl>
      <w:tblPr>
        <w:tblStyle w:val="TableGrid1"/>
        <w:tblpPr w:leftFromText="181" w:rightFromText="181" w:vertAnchor="text" w:tblpY="1"/>
        <w:tblOverlap w:val="never"/>
        <w:tblW w:w="0" w:type="auto"/>
        <w:tblBorders>
          <w:top w:val="none" w:sz="0" w:space="0" w:color="auto"/>
          <w:left w:val="none" w:sz="0" w:space="0" w:color="auto"/>
          <w:bottom w:val="single" w:sz="4" w:space="0" w:color="000000"/>
          <w:right w:val="none" w:sz="0" w:space="0" w:color="auto"/>
          <w:insideH w:val="single" w:sz="4" w:space="0" w:color="000000"/>
          <w:insideV w:val="none" w:sz="0" w:space="0" w:color="auto"/>
        </w:tblBorders>
        <w:tblCellMar>
          <w:top w:w="170" w:type="dxa"/>
          <w:bottom w:w="113" w:type="dxa"/>
          <w:right w:w="170" w:type="dxa"/>
        </w:tblCellMar>
        <w:tblLook w:val="06A0" w:firstRow="1" w:lastRow="0" w:firstColumn="1" w:lastColumn="0" w:noHBand="1" w:noVBand="1"/>
      </w:tblPr>
      <w:tblGrid>
        <w:gridCol w:w="1996"/>
        <w:gridCol w:w="2585"/>
        <w:gridCol w:w="3739"/>
        <w:gridCol w:w="2312"/>
        <w:gridCol w:w="3795"/>
      </w:tblGrid>
      <w:tr w:rsidR="00B30B11" w:rsidRPr="0053072D" w14:paraId="366A1366" w14:textId="77777777" w:rsidTr="7E12724B">
        <w:tc>
          <w:tcPr>
            <w:tcW w:w="1996" w:type="dxa"/>
            <w:tcBorders>
              <w:top w:val="nil"/>
              <w:right w:val="single" w:sz="4" w:space="0" w:color="FFFFFF" w:themeColor="background2"/>
            </w:tcBorders>
            <w:shd w:val="clear" w:color="auto" w:fill="262C66"/>
          </w:tcPr>
          <w:p w14:paraId="7E80B809" w14:textId="5714E5EA" w:rsidR="00B30B11" w:rsidRPr="0053072D" w:rsidRDefault="00B30B11" w:rsidP="002D6DCE">
            <w:pPr>
              <w:keepNext/>
              <w:keepLines/>
              <w:spacing w:before="60" w:after="60"/>
              <w:ind w:left="11"/>
              <w:jc w:val="center"/>
              <w:outlineLvl w:val="1"/>
              <w:rPr>
                <w:rFonts w:eastAsia="Times New Roman" w:cs="Arial"/>
                <w:b/>
                <w:bCs/>
                <w:color w:val="FFFFFF"/>
                <w:sz w:val="20"/>
                <w:szCs w:val="20"/>
                <w:lang w:val="en-ID" w:eastAsia="en-ID"/>
              </w:rPr>
            </w:pPr>
            <w:bookmarkStart w:id="856" w:name="_Toc173319039"/>
            <w:r w:rsidRPr="0053072D">
              <w:rPr>
                <w:rFonts w:eastAsia="Times New Roman" w:cs="Arial"/>
                <w:b/>
                <w:bCs/>
                <w:color w:val="FFFFFF"/>
                <w:sz w:val="20"/>
                <w:szCs w:val="20"/>
                <w:lang w:val="en-ID" w:eastAsia="en-ID"/>
              </w:rPr>
              <w:t>Exit strategies</w:t>
            </w:r>
            <w:bookmarkEnd w:id="856"/>
          </w:p>
        </w:tc>
        <w:tc>
          <w:tcPr>
            <w:tcW w:w="2585" w:type="dxa"/>
            <w:tcBorders>
              <w:top w:val="nil"/>
              <w:left w:val="single" w:sz="4" w:space="0" w:color="FFFFFF" w:themeColor="background2"/>
              <w:right w:val="single" w:sz="4" w:space="0" w:color="FFFFFF" w:themeColor="background2"/>
            </w:tcBorders>
            <w:shd w:val="clear" w:color="auto" w:fill="262C66"/>
          </w:tcPr>
          <w:p w14:paraId="2B213512" w14:textId="603DC817" w:rsidR="00B30B11" w:rsidRPr="0053072D" w:rsidRDefault="00B30B11" w:rsidP="002D6DCE">
            <w:pPr>
              <w:keepNext/>
              <w:keepLines/>
              <w:spacing w:before="60" w:after="60"/>
              <w:ind w:left="11"/>
              <w:jc w:val="center"/>
              <w:outlineLvl w:val="1"/>
              <w:rPr>
                <w:rFonts w:eastAsia="Times New Roman" w:cs="Arial"/>
                <w:b/>
                <w:bCs/>
                <w:color w:val="FFFFFF"/>
                <w:sz w:val="20"/>
                <w:szCs w:val="20"/>
                <w:lang w:val="en-ID" w:eastAsia="en-ID"/>
              </w:rPr>
            </w:pPr>
            <w:bookmarkStart w:id="857" w:name="_Toc173319040"/>
            <w:r w:rsidRPr="0053072D">
              <w:rPr>
                <w:rFonts w:eastAsia="Times New Roman" w:cs="Arial"/>
                <w:b/>
                <w:bCs/>
                <w:color w:val="FFFFFF"/>
                <w:sz w:val="20"/>
                <w:szCs w:val="20"/>
                <w:lang w:val="en-ID" w:eastAsia="en-ID"/>
              </w:rPr>
              <w:t>Focus areas</w:t>
            </w:r>
            <w:bookmarkEnd w:id="857"/>
          </w:p>
        </w:tc>
        <w:tc>
          <w:tcPr>
            <w:tcW w:w="3739" w:type="dxa"/>
            <w:tcBorders>
              <w:top w:val="nil"/>
              <w:left w:val="single" w:sz="4" w:space="0" w:color="FFFFFF" w:themeColor="background2"/>
              <w:right w:val="single" w:sz="4" w:space="0" w:color="FFFFFF" w:themeColor="background2"/>
            </w:tcBorders>
            <w:shd w:val="clear" w:color="auto" w:fill="262C66"/>
          </w:tcPr>
          <w:p w14:paraId="33FDBA7F" w14:textId="282F4A6E" w:rsidR="00B30B11" w:rsidRPr="0053072D" w:rsidRDefault="00B30B11" w:rsidP="002D6DCE">
            <w:pPr>
              <w:keepNext/>
              <w:keepLines/>
              <w:spacing w:before="60" w:after="60"/>
              <w:ind w:left="11"/>
              <w:jc w:val="center"/>
              <w:outlineLvl w:val="1"/>
              <w:rPr>
                <w:rFonts w:eastAsia="Times New Roman" w:cs="Arial"/>
                <w:b/>
                <w:bCs/>
                <w:color w:val="FFFFFF"/>
                <w:sz w:val="20"/>
                <w:szCs w:val="20"/>
                <w:lang w:val="en-ID" w:eastAsia="en-ID"/>
              </w:rPr>
            </w:pPr>
            <w:bookmarkStart w:id="858" w:name="_Toc173319041"/>
            <w:r w:rsidRPr="0053072D">
              <w:rPr>
                <w:rFonts w:eastAsia="Times New Roman" w:cs="Arial"/>
                <w:b/>
                <w:bCs/>
                <w:color w:val="FFFFFF"/>
                <w:sz w:val="20"/>
                <w:szCs w:val="20"/>
                <w:lang w:val="en-ID" w:eastAsia="en-ID"/>
              </w:rPr>
              <w:t>Planned initiatives</w:t>
            </w:r>
            <w:bookmarkEnd w:id="858"/>
          </w:p>
        </w:tc>
        <w:tc>
          <w:tcPr>
            <w:tcW w:w="2312" w:type="dxa"/>
            <w:tcBorders>
              <w:top w:val="nil"/>
              <w:left w:val="single" w:sz="4" w:space="0" w:color="FFFFFF" w:themeColor="background2"/>
              <w:right w:val="single" w:sz="4" w:space="0" w:color="FFFFFF" w:themeColor="background2"/>
            </w:tcBorders>
            <w:shd w:val="clear" w:color="auto" w:fill="262C66"/>
          </w:tcPr>
          <w:p w14:paraId="27E87481" w14:textId="79C270A8" w:rsidR="00B30B11" w:rsidRPr="0053072D" w:rsidRDefault="00B30B11" w:rsidP="002D6DCE">
            <w:pPr>
              <w:keepNext/>
              <w:keepLines/>
              <w:spacing w:before="60" w:after="60"/>
              <w:ind w:left="11"/>
              <w:jc w:val="center"/>
              <w:outlineLvl w:val="1"/>
              <w:rPr>
                <w:rFonts w:eastAsia="Times New Roman" w:cs="Arial"/>
                <w:b/>
                <w:bCs/>
                <w:color w:val="FFFFFF"/>
                <w:sz w:val="20"/>
                <w:szCs w:val="20"/>
                <w:lang w:val="en-ID" w:eastAsia="en-ID"/>
              </w:rPr>
            </w:pPr>
            <w:bookmarkStart w:id="859" w:name="_Toc173319042"/>
            <w:r w:rsidRPr="0053072D">
              <w:rPr>
                <w:rFonts w:eastAsia="Times New Roman" w:cs="Arial"/>
                <w:b/>
                <w:bCs/>
                <w:color w:val="FFFFFF"/>
                <w:sz w:val="20"/>
                <w:szCs w:val="20"/>
                <w:lang w:val="en-ID" w:eastAsia="en-ID"/>
              </w:rPr>
              <w:t>Expected outputs</w:t>
            </w:r>
            <w:bookmarkEnd w:id="859"/>
          </w:p>
        </w:tc>
        <w:tc>
          <w:tcPr>
            <w:tcW w:w="3795" w:type="dxa"/>
            <w:tcBorders>
              <w:top w:val="nil"/>
              <w:left w:val="single" w:sz="4" w:space="0" w:color="FFFFFF" w:themeColor="background2"/>
            </w:tcBorders>
            <w:shd w:val="clear" w:color="auto" w:fill="262C66"/>
          </w:tcPr>
          <w:p w14:paraId="1BCA2E97" w14:textId="28D9F8FF" w:rsidR="00B30B11" w:rsidRPr="0053072D" w:rsidRDefault="00B30B11" w:rsidP="002D6DCE">
            <w:pPr>
              <w:keepNext/>
              <w:keepLines/>
              <w:spacing w:before="60" w:after="60"/>
              <w:ind w:left="11"/>
              <w:jc w:val="center"/>
              <w:outlineLvl w:val="1"/>
              <w:rPr>
                <w:rFonts w:eastAsia="Times New Roman" w:cs="Arial"/>
                <w:b/>
                <w:bCs/>
                <w:color w:val="FFFFFF"/>
                <w:sz w:val="20"/>
                <w:szCs w:val="20"/>
                <w:lang w:val="en-ID" w:eastAsia="en-ID"/>
              </w:rPr>
            </w:pPr>
            <w:bookmarkStart w:id="860" w:name="_Toc173319043"/>
            <w:r w:rsidRPr="0053072D">
              <w:rPr>
                <w:rFonts w:eastAsia="Times New Roman" w:cs="Arial"/>
                <w:b/>
                <w:bCs/>
                <w:color w:val="FFFFFF"/>
                <w:sz w:val="20"/>
                <w:szCs w:val="20"/>
                <w:lang w:val="en-ID" w:eastAsia="en-ID"/>
              </w:rPr>
              <w:t>Progress update</w:t>
            </w:r>
            <w:bookmarkEnd w:id="860"/>
          </w:p>
        </w:tc>
      </w:tr>
      <w:tr w:rsidR="00B30B11" w:rsidRPr="0053072D" w14:paraId="4BBBFD39" w14:textId="77777777" w:rsidTr="00EE453C">
        <w:tc>
          <w:tcPr>
            <w:tcW w:w="1996" w:type="dxa"/>
          </w:tcPr>
          <w:p w14:paraId="1E7700E8" w14:textId="6D03B3C6"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61" w:name="_Toc173319044"/>
            <w:r w:rsidRPr="0053072D">
              <w:rPr>
                <w:rFonts w:eastAsia="Times New Roman" w:cs="Aptos"/>
                <w:color w:val="000000"/>
                <w:sz w:val="20"/>
                <w:szCs w:val="20"/>
                <w:lang w:val="en-ID" w:eastAsia="en-ID"/>
              </w:rPr>
              <w:t>Strategies towards ensuring greater sustainability</w:t>
            </w:r>
            <w:bookmarkEnd w:id="861"/>
          </w:p>
        </w:tc>
        <w:tc>
          <w:tcPr>
            <w:tcW w:w="2585" w:type="dxa"/>
          </w:tcPr>
          <w:p w14:paraId="566A7762"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62" w:name="_Toc173319045"/>
            <w:r w:rsidRPr="0053072D">
              <w:rPr>
                <w:rFonts w:eastAsia="Times New Roman" w:cs="Aptos"/>
                <w:color w:val="000000"/>
                <w:sz w:val="20"/>
                <w:szCs w:val="20"/>
                <w:lang w:val="en-ID" w:eastAsia="en-ID"/>
              </w:rPr>
              <w:t>Supporting sectors’ exit strategies</w:t>
            </w:r>
            <w:bookmarkEnd w:id="862"/>
            <w:r w:rsidRPr="0053072D">
              <w:rPr>
                <w:rFonts w:eastAsia="Times New Roman" w:cs="Aptos"/>
                <w:color w:val="000000"/>
                <w:sz w:val="20"/>
                <w:szCs w:val="20"/>
                <w:lang w:val="en-ID" w:eastAsia="en-ID"/>
              </w:rPr>
              <w:t xml:space="preserve"> </w:t>
            </w:r>
          </w:p>
        </w:tc>
        <w:tc>
          <w:tcPr>
            <w:tcW w:w="3739" w:type="dxa"/>
          </w:tcPr>
          <w:p w14:paraId="4D72BFCB" w14:textId="5C52AC08"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63" w:name="_Toc173319046"/>
            <w:r w:rsidRPr="0053072D">
              <w:rPr>
                <w:rFonts w:eastAsia="Times New Roman" w:cs="Aptos"/>
                <w:color w:val="000000"/>
                <w:sz w:val="20"/>
                <w:szCs w:val="20"/>
                <w:lang w:val="en-ID" w:eastAsia="en-ID"/>
              </w:rPr>
              <w:t>Provide ongoing support to sector teams to develop learning briefs, media releases, and events.</w:t>
            </w:r>
            <w:bookmarkEnd w:id="863"/>
          </w:p>
        </w:tc>
        <w:tc>
          <w:tcPr>
            <w:tcW w:w="2312" w:type="dxa"/>
          </w:tcPr>
          <w:p w14:paraId="4634BCBE" w14:textId="66D1A1A5" w:rsidR="00B30B11" w:rsidRPr="0053072D" w:rsidRDefault="00B30B11" w:rsidP="002D6DCE">
            <w:pPr>
              <w:keepNext/>
              <w:keepLines/>
              <w:spacing w:after="80"/>
              <w:ind w:left="85"/>
              <w:outlineLvl w:val="1"/>
              <w:rPr>
                <w:rFonts w:eastAsia="Times New Roman" w:cs="Arial"/>
                <w:color w:val="000000"/>
                <w:sz w:val="20"/>
                <w:szCs w:val="20"/>
                <w:lang w:val="en-ID" w:eastAsia="en-ID"/>
              </w:rPr>
            </w:pPr>
            <w:bookmarkStart w:id="864" w:name="_Toc173319047"/>
            <w:r w:rsidRPr="0053072D">
              <w:rPr>
                <w:rFonts w:eastAsia="Times New Roman" w:cs="Arial"/>
                <w:color w:val="000000"/>
                <w:sz w:val="20"/>
                <w:szCs w:val="20"/>
                <w:lang w:val="en-ID" w:eastAsia="en-ID"/>
              </w:rPr>
              <w:t>Templates for briefs and media releases and support for sector activities and events</w:t>
            </w:r>
            <w:bookmarkEnd w:id="864"/>
          </w:p>
        </w:tc>
        <w:tc>
          <w:tcPr>
            <w:tcW w:w="3795" w:type="dxa"/>
          </w:tcPr>
          <w:p w14:paraId="7039915F" w14:textId="77777777" w:rsidR="00B30B11" w:rsidRDefault="00B30B11" w:rsidP="00EE453C">
            <w:pPr>
              <w:keepNext/>
              <w:keepLines/>
              <w:spacing w:after="120"/>
              <w:ind w:left="11"/>
              <w:outlineLvl w:val="1"/>
              <w:rPr>
                <w:rFonts w:eastAsia="Times New Roman" w:cs="Arial"/>
                <w:sz w:val="20"/>
                <w:szCs w:val="20"/>
                <w:lang w:val="en-ID" w:eastAsia="en-ID"/>
              </w:rPr>
            </w:pPr>
            <w:bookmarkStart w:id="865" w:name="_Toc173319048"/>
            <w:r>
              <w:rPr>
                <w:rFonts w:eastAsia="Times New Roman" w:cs="Arial"/>
                <w:sz w:val="20"/>
                <w:szCs w:val="20"/>
                <w:lang w:val="en-ID" w:eastAsia="en-ID"/>
              </w:rPr>
              <w:t>To support increased communications in PRISMA’s final year, PRISMA developed tools for teams to communicate key information for sustainability. PRISMA developed templates for market briefs, policy briefs, media releases and social media content. This enabled teams to share sector market resilience activities and insights more widely. This semester’s total reach, measured across event, media, social media and partner channels reach is 2.68m, a significant growth from 806,000 last semester indicating the impact of this approach.</w:t>
            </w:r>
            <w:bookmarkEnd w:id="865"/>
            <w:r>
              <w:rPr>
                <w:rFonts w:eastAsia="Times New Roman" w:cs="Arial"/>
                <w:sz w:val="20"/>
                <w:szCs w:val="20"/>
                <w:lang w:val="en-ID" w:eastAsia="en-ID"/>
              </w:rPr>
              <w:t xml:space="preserve"> </w:t>
            </w:r>
          </w:p>
          <w:p w14:paraId="6B8AED3C" w14:textId="21D204E3" w:rsidR="00B30B11" w:rsidRPr="0053072D" w:rsidRDefault="00B30B11" w:rsidP="00EE453C">
            <w:pPr>
              <w:keepNext/>
              <w:keepLines/>
              <w:spacing w:after="120"/>
              <w:ind w:left="11"/>
              <w:outlineLvl w:val="1"/>
              <w:rPr>
                <w:rFonts w:eastAsia="Times New Roman" w:cs="Arial"/>
                <w:color w:val="C00000"/>
                <w:sz w:val="20"/>
                <w:szCs w:val="20"/>
                <w:lang w:val="en-ID" w:eastAsia="en-ID"/>
              </w:rPr>
            </w:pPr>
            <w:bookmarkStart w:id="866" w:name="_Toc173319049"/>
            <w:r>
              <w:rPr>
                <w:rFonts w:eastAsia="Times New Roman" w:cs="Arial"/>
                <w:sz w:val="20"/>
                <w:szCs w:val="20"/>
                <w:lang w:val="en-ID" w:eastAsia="en-ID"/>
              </w:rPr>
              <w:t>The communications team also developed campaign materials for the Petani Maju campaign, including branding for banners, event invitations and publications and provided design, editing, media, and logistics support for events across all sectors this semester, aiming to engage a wider audience with creative and clear communications.</w:t>
            </w:r>
            <w:bookmarkEnd w:id="866"/>
          </w:p>
        </w:tc>
      </w:tr>
      <w:tr w:rsidR="00B30B11" w:rsidRPr="0053072D" w14:paraId="3B655505" w14:textId="77777777" w:rsidTr="00EE453C">
        <w:tc>
          <w:tcPr>
            <w:tcW w:w="1996" w:type="dxa"/>
            <w:vMerge w:val="restart"/>
          </w:tcPr>
          <w:p w14:paraId="05EE593D" w14:textId="2B994996"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67" w:name="_Toc173319050"/>
            <w:r w:rsidRPr="0053072D">
              <w:rPr>
                <w:rFonts w:eastAsia="Times New Roman" w:cs="Aptos"/>
                <w:color w:val="000000"/>
                <w:sz w:val="20"/>
                <w:szCs w:val="20"/>
                <w:lang w:val="en-ID" w:eastAsia="en-ID"/>
              </w:rPr>
              <w:t xml:space="preserve">Policy initiatives (which may include </w:t>
            </w:r>
            <w:r w:rsidRPr="0053072D">
              <w:rPr>
                <w:rFonts w:eastAsia="Times New Roman" w:cs="Aptos"/>
                <w:color w:val="000000"/>
                <w:sz w:val="20"/>
                <w:szCs w:val="20"/>
                <w:lang w:val="en-ID" w:eastAsia="en-ID"/>
              </w:rPr>
              <w:lastRenderedPageBreak/>
              <w:t>support for Bappenas/MoA)</w:t>
            </w:r>
            <w:bookmarkEnd w:id="867"/>
          </w:p>
        </w:tc>
        <w:tc>
          <w:tcPr>
            <w:tcW w:w="2585" w:type="dxa"/>
            <w:vMerge w:val="restart"/>
          </w:tcPr>
          <w:p w14:paraId="23E2315C" w14:textId="1C03CF2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68" w:name="_Toc173319051"/>
            <w:r w:rsidRPr="0053072D">
              <w:rPr>
                <w:rFonts w:eastAsia="Times New Roman" w:cs="Aptos"/>
                <w:color w:val="000000"/>
                <w:sz w:val="20"/>
                <w:szCs w:val="20"/>
                <w:lang w:val="en-ID" w:eastAsia="en-ID"/>
              </w:rPr>
              <w:lastRenderedPageBreak/>
              <w:t>Anchoring knowledge</w:t>
            </w:r>
            <w:bookmarkEnd w:id="868"/>
          </w:p>
        </w:tc>
        <w:tc>
          <w:tcPr>
            <w:tcW w:w="3739" w:type="dxa"/>
          </w:tcPr>
          <w:p w14:paraId="378C52BD" w14:textId="7523349E"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69" w:name="_Toc173319052"/>
            <w:r w:rsidRPr="0053072D">
              <w:rPr>
                <w:rFonts w:eastAsia="Times New Roman" w:cs="Aptos"/>
                <w:color w:val="000000"/>
                <w:sz w:val="20"/>
                <w:szCs w:val="20"/>
                <w:lang w:val="en-ID" w:eastAsia="en-ID"/>
              </w:rPr>
              <w:t xml:space="preserve">Support for the policy team's anchoring agenda and the Bappenas </w:t>
            </w:r>
            <w:r w:rsidRPr="0053072D">
              <w:rPr>
                <w:rFonts w:eastAsia="Times New Roman" w:cs="Aptos"/>
                <w:color w:val="000000"/>
                <w:sz w:val="20"/>
                <w:szCs w:val="20"/>
                <w:lang w:val="en-ID" w:eastAsia="en-ID"/>
              </w:rPr>
              <w:lastRenderedPageBreak/>
              <w:t>National Medium-Term Development Plan</w:t>
            </w:r>
            <w:bookmarkEnd w:id="869"/>
          </w:p>
        </w:tc>
        <w:tc>
          <w:tcPr>
            <w:tcW w:w="2312" w:type="dxa"/>
          </w:tcPr>
          <w:p w14:paraId="1D4EFEF8" w14:textId="7A551EFC" w:rsidR="00B30B11" w:rsidRPr="0053072D" w:rsidRDefault="00B30B11" w:rsidP="002D6DCE">
            <w:pPr>
              <w:keepNext/>
              <w:keepLines/>
              <w:spacing w:after="80"/>
              <w:ind w:left="85"/>
              <w:outlineLvl w:val="1"/>
              <w:rPr>
                <w:rFonts w:eastAsia="Times New Roman" w:cs="Arial"/>
                <w:color w:val="000000"/>
                <w:sz w:val="20"/>
                <w:szCs w:val="20"/>
                <w:lang w:val="en-ID" w:eastAsia="en-ID"/>
              </w:rPr>
            </w:pPr>
            <w:bookmarkStart w:id="870" w:name="_Toc173319053"/>
            <w:r w:rsidRPr="0053072D">
              <w:rPr>
                <w:rFonts w:eastAsia="Times New Roman" w:cs="Arial"/>
                <w:color w:val="000000"/>
                <w:sz w:val="20"/>
                <w:szCs w:val="20"/>
                <w:lang w:val="en-ID" w:eastAsia="en-ID"/>
              </w:rPr>
              <w:lastRenderedPageBreak/>
              <w:t>Media releases and final products</w:t>
            </w:r>
            <w:bookmarkEnd w:id="870"/>
          </w:p>
        </w:tc>
        <w:tc>
          <w:tcPr>
            <w:tcW w:w="3795" w:type="dxa"/>
          </w:tcPr>
          <w:p w14:paraId="7A982F8E"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71" w:name="_Toc173319054"/>
            <w:r w:rsidRPr="0053072D">
              <w:rPr>
                <w:rFonts w:eastAsia="Times New Roman" w:cs="Arial"/>
                <w:color w:val="000000"/>
                <w:sz w:val="20"/>
                <w:szCs w:val="20"/>
                <w:lang w:val="en-ID" w:eastAsia="en-ID"/>
              </w:rPr>
              <w:t xml:space="preserve">The policy team is developing 4 studies, which will be completed in Q3. Should Bappenas request wider dissemination of the studies (beyond </w:t>
            </w:r>
            <w:r w:rsidRPr="0053072D">
              <w:rPr>
                <w:rFonts w:eastAsia="Times New Roman" w:cs="Arial"/>
                <w:color w:val="000000"/>
                <w:sz w:val="20"/>
                <w:szCs w:val="20"/>
                <w:lang w:val="en-ID" w:eastAsia="en-ID"/>
              </w:rPr>
              <w:lastRenderedPageBreak/>
              <w:t>Bappenas), communications will support the dissemination.</w:t>
            </w:r>
            <w:bookmarkEnd w:id="871"/>
            <w:r w:rsidRPr="0053072D">
              <w:rPr>
                <w:rFonts w:eastAsia="Times New Roman" w:cs="Arial"/>
                <w:color w:val="000000"/>
                <w:sz w:val="20"/>
                <w:szCs w:val="20"/>
                <w:lang w:val="en-ID" w:eastAsia="en-ID"/>
              </w:rPr>
              <w:t xml:space="preserve"> </w:t>
            </w:r>
          </w:p>
        </w:tc>
      </w:tr>
      <w:tr w:rsidR="00B30B11" w:rsidRPr="0053072D" w14:paraId="00FDBFE5" w14:textId="77777777" w:rsidTr="00EE453C">
        <w:tc>
          <w:tcPr>
            <w:tcW w:w="1996" w:type="dxa"/>
            <w:vMerge/>
          </w:tcPr>
          <w:p w14:paraId="397B732A"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2585" w:type="dxa"/>
            <w:vMerge/>
          </w:tcPr>
          <w:p w14:paraId="4FFDDDA3"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p>
        </w:tc>
        <w:tc>
          <w:tcPr>
            <w:tcW w:w="3739" w:type="dxa"/>
          </w:tcPr>
          <w:p w14:paraId="592C85B6" w14:textId="4EC3CCA6"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72" w:name="_Toc173319055"/>
            <w:r w:rsidRPr="0053072D">
              <w:rPr>
                <w:rFonts w:eastAsia="Times New Roman" w:cs="Aptos"/>
                <w:color w:val="000000"/>
                <w:sz w:val="20"/>
                <w:szCs w:val="20"/>
                <w:lang w:val="en-ID" w:eastAsia="en-ID"/>
              </w:rPr>
              <w:t>National-level events to discuss and share knowledge about key program areas</w:t>
            </w:r>
            <w:bookmarkEnd w:id="872"/>
          </w:p>
        </w:tc>
        <w:tc>
          <w:tcPr>
            <w:tcW w:w="2312" w:type="dxa"/>
          </w:tcPr>
          <w:p w14:paraId="1C128C9B" w14:textId="74DADC26" w:rsidR="00B30B11" w:rsidRPr="0053072D" w:rsidRDefault="00B30B11" w:rsidP="002D6DCE">
            <w:pPr>
              <w:keepNext/>
              <w:keepLines/>
              <w:spacing w:after="80"/>
              <w:ind w:left="85"/>
              <w:outlineLvl w:val="1"/>
              <w:rPr>
                <w:rFonts w:eastAsia="Times New Roman" w:cs="Arial"/>
                <w:color w:val="000000"/>
                <w:sz w:val="20"/>
                <w:szCs w:val="20"/>
                <w:lang w:val="en-ID" w:eastAsia="en-ID"/>
              </w:rPr>
            </w:pPr>
            <w:bookmarkStart w:id="873" w:name="_Toc173319056"/>
            <w:r w:rsidRPr="0053072D">
              <w:rPr>
                <w:rFonts w:eastAsia="Times New Roman" w:cs="Arial"/>
                <w:color w:val="000000"/>
                <w:sz w:val="20"/>
                <w:szCs w:val="20"/>
                <w:lang w:val="en-ID" w:eastAsia="en-ID"/>
              </w:rPr>
              <w:t>1-2 events</w:t>
            </w:r>
            <w:bookmarkEnd w:id="873"/>
          </w:p>
        </w:tc>
        <w:tc>
          <w:tcPr>
            <w:tcW w:w="3795" w:type="dxa"/>
          </w:tcPr>
          <w:p w14:paraId="0EA8E8F5" w14:textId="1F3BBE5E"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74" w:name="_Toc173319057"/>
            <w:r w:rsidRPr="0053072D">
              <w:rPr>
                <w:rFonts w:eastAsia="Times New Roman" w:cs="Arial"/>
                <w:color w:val="000000"/>
                <w:sz w:val="20"/>
                <w:szCs w:val="20"/>
                <w:lang w:val="en-ID" w:eastAsia="en-ID"/>
              </w:rPr>
              <w:t xml:space="preserve">This semester, PRISMA held 3 national-level events sharing insights from its </w:t>
            </w:r>
            <w:r>
              <w:rPr>
                <w:rFonts w:eastAsia="Times New Roman" w:cs="Arial"/>
                <w:color w:val="000000"/>
                <w:sz w:val="20"/>
                <w:szCs w:val="20"/>
                <w:lang w:val="en-ID" w:eastAsia="en-ID"/>
              </w:rPr>
              <w:t>GEDSI and climate-smart agriculture cross-cutting areas</w:t>
            </w:r>
            <w:r w:rsidRPr="0053072D">
              <w:rPr>
                <w:rFonts w:eastAsia="Times New Roman" w:cs="Arial"/>
                <w:color w:val="000000"/>
                <w:sz w:val="20"/>
                <w:szCs w:val="20"/>
                <w:lang w:val="en-ID" w:eastAsia="en-ID"/>
              </w:rPr>
              <w:t>. The events garnered attention from business and government and were shared in the media and on social media. Details can be found in the Petani Maju update in the PRIP.</w:t>
            </w:r>
            <w:bookmarkEnd w:id="874"/>
          </w:p>
        </w:tc>
      </w:tr>
      <w:tr w:rsidR="00B30B11" w:rsidRPr="0053072D" w14:paraId="6D476918" w14:textId="77777777" w:rsidTr="00EE453C">
        <w:tc>
          <w:tcPr>
            <w:tcW w:w="1996" w:type="dxa"/>
            <w:vMerge w:val="restart"/>
          </w:tcPr>
          <w:p w14:paraId="21B77335" w14:textId="1775542F"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875" w:name="_Toc173319058"/>
            <w:r w:rsidRPr="0053072D">
              <w:rPr>
                <w:rFonts w:eastAsia="Times New Roman" w:cs="Aptos"/>
                <w:color w:val="000000"/>
                <w:sz w:val="20"/>
                <w:szCs w:val="20"/>
                <w:lang w:val="en-ID" w:eastAsia="en-ID"/>
              </w:rPr>
              <w:t>Knowledge harvesting and dissemination - PRISMA's "end-of-program package"</w:t>
            </w:r>
            <w:bookmarkEnd w:id="875"/>
          </w:p>
        </w:tc>
        <w:tc>
          <w:tcPr>
            <w:tcW w:w="2585" w:type="dxa"/>
          </w:tcPr>
          <w:p w14:paraId="15CB88E1" w14:textId="49715578"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876" w:name="_Toc173319059"/>
            <w:r w:rsidRPr="0053072D">
              <w:rPr>
                <w:rFonts w:eastAsia="Times New Roman" w:cs="Aptos"/>
                <w:color w:val="000000"/>
                <w:sz w:val="20"/>
                <w:szCs w:val="20"/>
                <w:lang w:val="en-ID" w:eastAsia="en-ID"/>
              </w:rPr>
              <w:t>Media</w:t>
            </w:r>
            <w:bookmarkEnd w:id="876"/>
          </w:p>
        </w:tc>
        <w:tc>
          <w:tcPr>
            <w:tcW w:w="3739" w:type="dxa"/>
          </w:tcPr>
          <w:p w14:paraId="3C4EEFCD" w14:textId="6D256687"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877" w:name="_Toc173319060"/>
            <w:r w:rsidRPr="0053072D">
              <w:rPr>
                <w:rFonts w:eastAsia="Times New Roman" w:cs="Aptos"/>
                <w:color w:val="000000"/>
                <w:sz w:val="20"/>
                <w:szCs w:val="20"/>
                <w:lang w:val="en-ID" w:eastAsia="en-ID"/>
              </w:rPr>
              <w:t>Ongoing public relations and media to disseminate PRISMA's end-of-program- package and learnings</w:t>
            </w:r>
            <w:bookmarkEnd w:id="877"/>
          </w:p>
        </w:tc>
        <w:tc>
          <w:tcPr>
            <w:tcW w:w="2312" w:type="dxa"/>
          </w:tcPr>
          <w:p w14:paraId="3B525551" w14:textId="77777777" w:rsidR="00B30B11" w:rsidRPr="0053072D" w:rsidRDefault="00B30B11" w:rsidP="002D6DCE">
            <w:pPr>
              <w:keepNext/>
              <w:keepLines/>
              <w:spacing w:after="80"/>
              <w:ind w:left="85"/>
              <w:outlineLvl w:val="1"/>
              <w:rPr>
                <w:rFonts w:eastAsia="Times New Roman" w:cs="Aptos"/>
                <w:color w:val="000000"/>
                <w:sz w:val="20"/>
                <w:szCs w:val="20"/>
                <w:lang w:val="en-ID" w:eastAsia="en-ID"/>
              </w:rPr>
            </w:pPr>
            <w:bookmarkStart w:id="878" w:name="_Toc173319061"/>
            <w:r w:rsidRPr="0053072D">
              <w:rPr>
                <w:rFonts w:eastAsia="Times New Roman" w:cs="Arial"/>
                <w:color w:val="000000"/>
                <w:sz w:val="20"/>
                <w:szCs w:val="20"/>
                <w:lang w:val="en-ID" w:eastAsia="en-ID"/>
              </w:rPr>
              <w:t>30+ news articles</w:t>
            </w:r>
            <w:bookmarkEnd w:id="878"/>
            <w:r w:rsidRPr="0053072D">
              <w:rPr>
                <w:rFonts w:eastAsia="Times New Roman" w:cs="Arial"/>
                <w:color w:val="000000"/>
                <w:sz w:val="20"/>
                <w:szCs w:val="20"/>
                <w:lang w:val="en-ID" w:eastAsia="en-ID"/>
              </w:rPr>
              <w:t xml:space="preserve"> </w:t>
            </w:r>
          </w:p>
        </w:tc>
        <w:tc>
          <w:tcPr>
            <w:tcW w:w="3795" w:type="dxa"/>
          </w:tcPr>
          <w:p w14:paraId="609FCB4E"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79" w:name="_Toc173319062"/>
            <w:r w:rsidRPr="0053072D">
              <w:rPr>
                <w:rFonts w:eastAsia="Times New Roman" w:cs="Arial"/>
                <w:color w:val="000000"/>
                <w:sz w:val="20"/>
                <w:szCs w:val="20"/>
                <w:lang w:val="en-ID" w:eastAsia="en-ID"/>
              </w:rPr>
              <w:t xml:space="preserve">PRISMA achieved </w:t>
            </w:r>
            <w:r>
              <w:rPr>
                <w:rFonts w:eastAsia="Times New Roman" w:cs="Arial"/>
                <w:color w:val="000000"/>
                <w:sz w:val="20"/>
                <w:szCs w:val="20"/>
                <w:lang w:val="en-ID" w:eastAsia="en-ID"/>
              </w:rPr>
              <w:t>129</w:t>
            </w:r>
            <w:r w:rsidRPr="0053072D">
              <w:rPr>
                <w:rFonts w:eastAsia="Times New Roman" w:cs="Arial"/>
                <w:color w:val="000000"/>
                <w:sz w:val="20"/>
                <w:szCs w:val="20"/>
                <w:lang w:val="en-ID" w:eastAsia="en-ID"/>
              </w:rPr>
              <w:t xml:space="preserve"> media mentions this semester</w:t>
            </w:r>
            <w:r>
              <w:rPr>
                <w:rFonts w:eastAsia="Times New Roman" w:cs="Arial"/>
                <w:color w:val="000000"/>
                <w:sz w:val="20"/>
                <w:szCs w:val="20"/>
                <w:lang w:val="en-ID" w:eastAsia="en-ID"/>
              </w:rPr>
              <w:t>, reaching an estimated 319,662 people with market resilience messages. Last semester PRISMA had 37 media mentions, demonstrating the impact the scale-up in communications had this semester.</w:t>
            </w:r>
            <w:bookmarkEnd w:id="879"/>
            <w:r>
              <w:rPr>
                <w:rFonts w:eastAsia="Times New Roman" w:cs="Arial"/>
                <w:color w:val="000000"/>
                <w:sz w:val="20"/>
                <w:szCs w:val="20"/>
                <w:lang w:val="en-ID" w:eastAsia="en-ID"/>
              </w:rPr>
              <w:t xml:space="preserve">  </w:t>
            </w:r>
          </w:p>
        </w:tc>
      </w:tr>
      <w:tr w:rsidR="00B30B11" w:rsidRPr="0053072D" w14:paraId="74267F70" w14:textId="77777777" w:rsidTr="00EE453C">
        <w:tc>
          <w:tcPr>
            <w:tcW w:w="1996" w:type="dxa"/>
            <w:vMerge/>
          </w:tcPr>
          <w:p w14:paraId="67979DED"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585" w:type="dxa"/>
          </w:tcPr>
          <w:p w14:paraId="3E926FA1" w14:textId="34EFAB2E"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880" w:name="_Toc173319063"/>
            <w:r w:rsidRPr="0053072D">
              <w:rPr>
                <w:rFonts w:eastAsia="Times New Roman" w:cs="Aptos"/>
                <w:color w:val="000000"/>
                <w:sz w:val="20"/>
                <w:szCs w:val="20"/>
                <w:lang w:val="en-ID" w:eastAsia="en-ID"/>
              </w:rPr>
              <w:t>Developing an end-of-program package</w:t>
            </w:r>
            <w:bookmarkEnd w:id="880"/>
          </w:p>
        </w:tc>
        <w:tc>
          <w:tcPr>
            <w:tcW w:w="3739" w:type="dxa"/>
          </w:tcPr>
          <w:p w14:paraId="12D147DC" w14:textId="00F4808B"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881" w:name="_Toc173319064"/>
            <w:r w:rsidRPr="0053072D">
              <w:rPr>
                <w:rFonts w:eastAsia="Times New Roman" w:cs="Aptos"/>
                <w:color w:val="000000"/>
                <w:sz w:val="20"/>
                <w:szCs w:val="20"/>
                <w:lang w:val="en-ID" w:eastAsia="en-ID"/>
              </w:rPr>
              <w:t>Develop learning and knowledge series, briefs and interviews with partners.</w:t>
            </w:r>
            <w:bookmarkEnd w:id="881"/>
          </w:p>
        </w:tc>
        <w:tc>
          <w:tcPr>
            <w:tcW w:w="2312" w:type="dxa"/>
          </w:tcPr>
          <w:p w14:paraId="01BE8AA2" w14:textId="5BDBB21A" w:rsidR="00B30B11" w:rsidRPr="0053072D" w:rsidRDefault="00B30B11" w:rsidP="002D6DCE">
            <w:pPr>
              <w:keepNext/>
              <w:keepLines/>
              <w:spacing w:after="80"/>
              <w:ind w:left="85"/>
              <w:outlineLvl w:val="1"/>
              <w:rPr>
                <w:rFonts w:eastAsia="Times New Roman" w:cs="Aptos"/>
                <w:color w:val="000000"/>
                <w:sz w:val="20"/>
                <w:szCs w:val="20"/>
                <w:lang w:val="en-ID" w:eastAsia="en-ID"/>
              </w:rPr>
            </w:pPr>
            <w:bookmarkStart w:id="882" w:name="_Toc173319065"/>
            <w:r w:rsidRPr="0053072D">
              <w:rPr>
                <w:rFonts w:eastAsia="Times New Roman" w:cs="Arial"/>
                <w:color w:val="000000"/>
                <w:sz w:val="20"/>
                <w:szCs w:val="20"/>
                <w:lang w:val="en-ID" w:eastAsia="en-ID"/>
              </w:rPr>
              <w:t>An end-of-program package</w:t>
            </w:r>
            <w:bookmarkEnd w:id="882"/>
          </w:p>
        </w:tc>
        <w:tc>
          <w:tcPr>
            <w:tcW w:w="3795" w:type="dxa"/>
          </w:tcPr>
          <w:p w14:paraId="05D915D0"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83" w:name="_Toc173319066"/>
            <w:r w:rsidRPr="0053072D">
              <w:rPr>
                <w:rFonts w:eastAsia="Times New Roman" w:cs="Arial"/>
                <w:color w:val="000000"/>
                <w:sz w:val="20"/>
                <w:szCs w:val="20"/>
                <w:lang w:val="en-ID" w:eastAsia="en-ID"/>
              </w:rPr>
              <w:t>PRISMA’s end-of-program package is in development (</w:t>
            </w:r>
            <w:r>
              <w:rPr>
                <w:rFonts w:eastAsia="Times New Roman" w:cs="Arial"/>
                <w:color w:val="000000"/>
                <w:sz w:val="20"/>
                <w:szCs w:val="20"/>
                <w:lang w:val="en-ID" w:eastAsia="en-ID"/>
              </w:rPr>
              <w:t>7</w:t>
            </w:r>
            <w:r w:rsidRPr="0053072D">
              <w:rPr>
                <w:rFonts w:eastAsia="Times New Roman" w:cs="Arial"/>
                <w:color w:val="000000"/>
                <w:sz w:val="20"/>
                <w:szCs w:val="20"/>
                <w:lang w:val="en-ID" w:eastAsia="en-ID"/>
              </w:rPr>
              <w:t>0% complete) and will be completed in Q3.</w:t>
            </w:r>
            <w:bookmarkEnd w:id="883"/>
            <w:r w:rsidRPr="0053072D">
              <w:rPr>
                <w:rFonts w:eastAsia="Times New Roman" w:cs="Arial"/>
                <w:color w:val="000000"/>
                <w:sz w:val="20"/>
                <w:szCs w:val="20"/>
                <w:lang w:val="en-ID" w:eastAsia="en-ID"/>
              </w:rPr>
              <w:t xml:space="preserve"> </w:t>
            </w:r>
          </w:p>
        </w:tc>
      </w:tr>
      <w:tr w:rsidR="00B30B11" w:rsidRPr="0053072D" w14:paraId="7DE3A281" w14:textId="77777777" w:rsidTr="00EE453C">
        <w:tc>
          <w:tcPr>
            <w:tcW w:w="1996" w:type="dxa"/>
            <w:vMerge w:val="restart"/>
          </w:tcPr>
          <w:p w14:paraId="03F3E956" w14:textId="41991479"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884" w:name="_Toc173319067"/>
            <w:r w:rsidRPr="0053072D">
              <w:rPr>
                <w:rFonts w:eastAsia="Times New Roman" w:cs="Aptos"/>
                <w:color w:val="000000"/>
                <w:sz w:val="20"/>
                <w:szCs w:val="20"/>
                <w:lang w:val="en-ID" w:eastAsia="en-ID"/>
              </w:rPr>
              <w:t>Partnership closure</w:t>
            </w:r>
            <w:bookmarkEnd w:id="884"/>
          </w:p>
        </w:tc>
        <w:tc>
          <w:tcPr>
            <w:tcW w:w="2585" w:type="dxa"/>
          </w:tcPr>
          <w:p w14:paraId="3F4B43F6" w14:textId="78D2E362"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885" w:name="_Toc173319068"/>
            <w:r w:rsidRPr="0053072D">
              <w:rPr>
                <w:rFonts w:eastAsia="Times New Roman" w:cs="Aptos"/>
                <w:color w:val="000000"/>
                <w:sz w:val="20"/>
                <w:szCs w:val="20"/>
                <w:lang w:val="en-ID" w:eastAsia="en-ID"/>
              </w:rPr>
              <w:t>GOI completion report</w:t>
            </w:r>
            <w:bookmarkEnd w:id="885"/>
          </w:p>
        </w:tc>
        <w:tc>
          <w:tcPr>
            <w:tcW w:w="3739" w:type="dxa"/>
          </w:tcPr>
          <w:p w14:paraId="457B054A" w14:textId="322BC707"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886" w:name="_Toc173319069"/>
            <w:r w:rsidRPr="0053072D">
              <w:rPr>
                <w:rFonts w:eastAsia="Times New Roman" w:cs="Aptos"/>
                <w:color w:val="000000"/>
                <w:sz w:val="20"/>
                <w:szCs w:val="20"/>
                <w:lang w:val="en-ID" w:eastAsia="en-ID"/>
              </w:rPr>
              <w:t>Research, plan and publish.</w:t>
            </w:r>
            <w:bookmarkEnd w:id="886"/>
          </w:p>
        </w:tc>
        <w:tc>
          <w:tcPr>
            <w:tcW w:w="2312" w:type="dxa"/>
          </w:tcPr>
          <w:p w14:paraId="1B86C851" w14:textId="31282107" w:rsidR="00B30B11" w:rsidRPr="0053072D" w:rsidRDefault="00B30B11" w:rsidP="002D6DCE">
            <w:pPr>
              <w:keepNext/>
              <w:keepLines/>
              <w:spacing w:after="80"/>
              <w:ind w:left="85"/>
              <w:outlineLvl w:val="1"/>
              <w:rPr>
                <w:rFonts w:eastAsia="Times New Roman" w:cs="Aptos"/>
                <w:color w:val="000000"/>
                <w:sz w:val="20"/>
                <w:szCs w:val="20"/>
                <w:lang w:val="en-ID" w:eastAsia="en-ID"/>
              </w:rPr>
            </w:pPr>
            <w:bookmarkStart w:id="887" w:name="_Toc173319070"/>
            <w:r w:rsidRPr="0053072D">
              <w:rPr>
                <w:rFonts w:eastAsia="Times New Roman" w:cs="Arial"/>
                <w:color w:val="000000"/>
                <w:sz w:val="20"/>
                <w:szCs w:val="20"/>
                <w:lang w:val="en-ID" w:eastAsia="en-ID"/>
              </w:rPr>
              <w:t>A completion report</w:t>
            </w:r>
            <w:bookmarkEnd w:id="887"/>
          </w:p>
        </w:tc>
        <w:tc>
          <w:tcPr>
            <w:tcW w:w="3795" w:type="dxa"/>
          </w:tcPr>
          <w:p w14:paraId="1CBF9C80" w14:textId="77777777"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88" w:name="_Toc173319071"/>
            <w:r w:rsidRPr="0053072D">
              <w:rPr>
                <w:rFonts w:eastAsia="Times New Roman" w:cs="Arial"/>
                <w:color w:val="000000"/>
                <w:sz w:val="20"/>
                <w:szCs w:val="20"/>
                <w:lang w:val="en-ID" w:eastAsia="en-ID"/>
              </w:rPr>
              <w:t>The completion report will be delivered to Bappenas on 31 December 2024.</w:t>
            </w:r>
            <w:bookmarkEnd w:id="888"/>
            <w:r w:rsidRPr="0053072D">
              <w:rPr>
                <w:rFonts w:eastAsia="Times New Roman" w:cs="Arial"/>
                <w:color w:val="000000"/>
                <w:sz w:val="20"/>
                <w:szCs w:val="20"/>
                <w:lang w:val="en-ID" w:eastAsia="en-ID"/>
              </w:rPr>
              <w:t xml:space="preserve"> </w:t>
            </w:r>
          </w:p>
        </w:tc>
      </w:tr>
      <w:tr w:rsidR="00B30B11" w:rsidRPr="0053072D" w14:paraId="117EAFFC" w14:textId="77777777" w:rsidTr="00EE453C">
        <w:tc>
          <w:tcPr>
            <w:tcW w:w="1996" w:type="dxa"/>
            <w:vMerge/>
          </w:tcPr>
          <w:p w14:paraId="20DE1E0F"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585" w:type="dxa"/>
          </w:tcPr>
          <w:p w14:paraId="0433EE35" w14:textId="56535DE0"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889" w:name="_Toc173319072"/>
            <w:r w:rsidRPr="0053072D">
              <w:rPr>
                <w:rFonts w:eastAsia="Times New Roman" w:cs="Aptos"/>
                <w:color w:val="000000"/>
                <w:sz w:val="20"/>
                <w:szCs w:val="20"/>
                <w:lang w:val="en-ID" w:eastAsia="en-ID"/>
              </w:rPr>
              <w:t>DFAT completion report</w:t>
            </w:r>
            <w:bookmarkEnd w:id="889"/>
          </w:p>
        </w:tc>
        <w:tc>
          <w:tcPr>
            <w:tcW w:w="3739" w:type="dxa"/>
          </w:tcPr>
          <w:p w14:paraId="5746290A" w14:textId="57334E92"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890" w:name="_Toc173319073"/>
            <w:r w:rsidRPr="0053072D">
              <w:rPr>
                <w:rFonts w:eastAsia="Times New Roman" w:cs="Aptos"/>
                <w:color w:val="000000"/>
                <w:sz w:val="20"/>
                <w:szCs w:val="20"/>
                <w:lang w:val="en-ID" w:eastAsia="en-ID"/>
              </w:rPr>
              <w:t>Research, plan and publish.</w:t>
            </w:r>
            <w:bookmarkEnd w:id="890"/>
          </w:p>
        </w:tc>
        <w:tc>
          <w:tcPr>
            <w:tcW w:w="2312" w:type="dxa"/>
          </w:tcPr>
          <w:p w14:paraId="39A150E8" w14:textId="7730F8B0" w:rsidR="00B30B11" w:rsidRPr="0053072D" w:rsidRDefault="00B30B11" w:rsidP="002D6DCE">
            <w:pPr>
              <w:keepNext/>
              <w:keepLines/>
              <w:spacing w:after="80"/>
              <w:ind w:left="85"/>
              <w:outlineLvl w:val="1"/>
              <w:rPr>
                <w:rFonts w:eastAsia="Times New Roman" w:cs="Aptos"/>
                <w:color w:val="000000"/>
                <w:sz w:val="20"/>
                <w:szCs w:val="20"/>
                <w:lang w:val="en-ID" w:eastAsia="en-ID"/>
              </w:rPr>
            </w:pPr>
            <w:bookmarkStart w:id="891" w:name="_Toc173319074"/>
            <w:r w:rsidRPr="0053072D">
              <w:rPr>
                <w:rFonts w:eastAsia="Times New Roman" w:cs="Arial"/>
                <w:color w:val="000000"/>
                <w:sz w:val="20"/>
                <w:szCs w:val="20"/>
                <w:lang w:val="en-ID" w:eastAsia="en-ID"/>
              </w:rPr>
              <w:t>A completion report</w:t>
            </w:r>
            <w:bookmarkEnd w:id="891"/>
          </w:p>
        </w:tc>
        <w:tc>
          <w:tcPr>
            <w:tcW w:w="3795" w:type="dxa"/>
          </w:tcPr>
          <w:p w14:paraId="7CA999D0" w14:textId="73A9B42C" w:rsidR="00B30B11" w:rsidRPr="0053072D" w:rsidRDefault="00B30B11" w:rsidP="00EE453C">
            <w:pPr>
              <w:keepNext/>
              <w:keepLines/>
              <w:spacing w:after="120"/>
              <w:ind w:left="11"/>
              <w:outlineLvl w:val="1"/>
              <w:rPr>
                <w:rFonts w:eastAsia="Times New Roman" w:cs="Arial"/>
                <w:color w:val="000000"/>
                <w:sz w:val="20"/>
                <w:szCs w:val="20"/>
                <w:lang w:val="en-ID" w:eastAsia="en-ID"/>
              </w:rPr>
            </w:pPr>
            <w:bookmarkStart w:id="892" w:name="_Toc173319075"/>
            <w:r w:rsidRPr="0053072D">
              <w:rPr>
                <w:rFonts w:eastAsia="Times New Roman" w:cs="Arial"/>
                <w:color w:val="000000"/>
                <w:sz w:val="20"/>
                <w:szCs w:val="20"/>
                <w:lang w:val="en-ID" w:eastAsia="en-ID"/>
              </w:rPr>
              <w:t>The completion report will be delivered to DFAT on 30 September 2024.</w:t>
            </w:r>
            <w:bookmarkEnd w:id="892"/>
          </w:p>
        </w:tc>
      </w:tr>
      <w:tr w:rsidR="00B30B11" w:rsidRPr="0053072D" w14:paraId="49E53BC5" w14:textId="77777777" w:rsidTr="00EE453C">
        <w:tc>
          <w:tcPr>
            <w:tcW w:w="1996" w:type="dxa"/>
            <w:vMerge/>
          </w:tcPr>
          <w:p w14:paraId="44320DEB" w14:textId="77777777" w:rsidR="00B30B11" w:rsidRPr="0053072D" w:rsidRDefault="00B30B11" w:rsidP="00EE453C">
            <w:pPr>
              <w:keepNext/>
              <w:keepLines/>
              <w:spacing w:after="120"/>
              <w:ind w:left="11"/>
              <w:outlineLvl w:val="1"/>
              <w:rPr>
                <w:rFonts w:eastAsia="Times New Roman" w:cs="Aptos"/>
                <w:color w:val="000000"/>
                <w:sz w:val="20"/>
                <w:szCs w:val="20"/>
                <w:lang w:val="en-ID" w:eastAsia="en-ID"/>
              </w:rPr>
            </w:pPr>
          </w:p>
        </w:tc>
        <w:tc>
          <w:tcPr>
            <w:tcW w:w="2585" w:type="dxa"/>
          </w:tcPr>
          <w:p w14:paraId="4F4CD320" w14:textId="22C4B678"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893" w:name="_Toc173319076"/>
            <w:r w:rsidRPr="7E12724B">
              <w:rPr>
                <w:rFonts w:eastAsia="Times New Roman" w:cs="Aptos"/>
                <w:color w:val="000000" w:themeColor="text2"/>
                <w:sz w:val="20"/>
                <w:szCs w:val="20"/>
                <w:lang w:val="en-ID" w:eastAsia="en-ID"/>
              </w:rPr>
              <w:t>Closing event</w:t>
            </w:r>
            <w:bookmarkEnd w:id="893"/>
          </w:p>
        </w:tc>
        <w:tc>
          <w:tcPr>
            <w:tcW w:w="3739" w:type="dxa"/>
          </w:tcPr>
          <w:p w14:paraId="514C5BE6" w14:textId="32D120D9" w:rsidR="00B30B11" w:rsidRPr="0053072D" w:rsidRDefault="00B30B11" w:rsidP="00EE453C">
            <w:pPr>
              <w:keepNext/>
              <w:keepLines/>
              <w:spacing w:after="120"/>
              <w:ind w:left="11"/>
              <w:outlineLvl w:val="1"/>
              <w:rPr>
                <w:rFonts w:eastAsia="Times New Roman" w:cs="Aptos"/>
                <w:color w:val="000000"/>
                <w:sz w:val="20"/>
                <w:szCs w:val="20"/>
                <w:lang w:val="en-ID" w:eastAsia="en-ID"/>
              </w:rPr>
            </w:pPr>
            <w:bookmarkStart w:id="894" w:name="_Toc173319077"/>
            <w:r w:rsidRPr="0053072D">
              <w:rPr>
                <w:rFonts w:eastAsia="Times New Roman" w:cs="Aptos"/>
                <w:color w:val="000000"/>
                <w:sz w:val="20"/>
                <w:szCs w:val="20"/>
                <w:lang w:val="en-ID" w:eastAsia="en-ID"/>
              </w:rPr>
              <w:t>Organis</w:t>
            </w:r>
            <w:r w:rsidR="004E75E7">
              <w:rPr>
                <w:rFonts w:eastAsia="Times New Roman" w:cs="Aptos"/>
                <w:color w:val="000000"/>
                <w:sz w:val="20"/>
                <w:szCs w:val="20"/>
                <w:lang w:val="en-ID" w:eastAsia="en-ID"/>
              </w:rPr>
              <w:t>e a F</w:t>
            </w:r>
            <w:r w:rsidRPr="0053072D">
              <w:rPr>
                <w:rFonts w:eastAsia="Times New Roman" w:cs="Aptos"/>
                <w:color w:val="000000"/>
                <w:sz w:val="20"/>
                <w:szCs w:val="20"/>
                <w:lang w:val="en-ID" w:eastAsia="en-ID"/>
              </w:rPr>
              <w:t xml:space="preserve">uture </w:t>
            </w:r>
            <w:r w:rsidR="004E75E7">
              <w:rPr>
                <w:rFonts w:eastAsia="Times New Roman" w:cs="Aptos"/>
                <w:color w:val="000000"/>
                <w:sz w:val="20"/>
                <w:szCs w:val="20"/>
                <w:lang w:val="en-ID" w:eastAsia="en-ID"/>
              </w:rPr>
              <w:t>F</w:t>
            </w:r>
            <w:r w:rsidRPr="0053072D">
              <w:rPr>
                <w:rFonts w:eastAsia="Times New Roman" w:cs="Aptos"/>
                <w:color w:val="000000"/>
                <w:sz w:val="20"/>
                <w:szCs w:val="20"/>
                <w:lang w:val="en-ID" w:eastAsia="en-ID"/>
              </w:rPr>
              <w:t xml:space="preserve">armer event showcasing the business models and </w:t>
            </w:r>
            <w:r w:rsidRPr="0053072D">
              <w:rPr>
                <w:rFonts w:eastAsia="Times New Roman" w:cs="Aptos"/>
                <w:color w:val="000000"/>
                <w:sz w:val="20"/>
                <w:szCs w:val="20"/>
                <w:lang w:val="en-ID" w:eastAsia="en-ID"/>
              </w:rPr>
              <w:lastRenderedPageBreak/>
              <w:t>innovations that have proven successful.</w:t>
            </w:r>
            <w:bookmarkEnd w:id="894"/>
          </w:p>
        </w:tc>
        <w:tc>
          <w:tcPr>
            <w:tcW w:w="2312" w:type="dxa"/>
          </w:tcPr>
          <w:p w14:paraId="796E6842" w14:textId="33BF2BE3" w:rsidR="00B30B11" w:rsidRPr="0053072D" w:rsidRDefault="00B30B11" w:rsidP="002D6DCE">
            <w:pPr>
              <w:keepNext/>
              <w:keepLines/>
              <w:spacing w:after="80"/>
              <w:ind w:left="85"/>
              <w:outlineLvl w:val="1"/>
              <w:rPr>
                <w:rFonts w:eastAsia="Times New Roman" w:cs="Aptos"/>
                <w:color w:val="000000"/>
                <w:sz w:val="20"/>
                <w:szCs w:val="20"/>
                <w:lang w:val="en-ID" w:eastAsia="en-ID"/>
              </w:rPr>
            </w:pPr>
            <w:bookmarkStart w:id="895" w:name="_Toc173319078"/>
            <w:r w:rsidRPr="0053072D">
              <w:rPr>
                <w:rFonts w:eastAsia="Times New Roman" w:cs="Arial"/>
                <w:color w:val="000000"/>
                <w:sz w:val="20"/>
                <w:szCs w:val="20"/>
                <w:lang w:val="en-ID" w:eastAsia="en-ID"/>
              </w:rPr>
              <w:lastRenderedPageBreak/>
              <w:t>A</w:t>
            </w:r>
            <w:r w:rsidR="003122E3">
              <w:rPr>
                <w:rFonts w:eastAsia="Times New Roman" w:cs="Arial"/>
                <w:color w:val="000000"/>
                <w:sz w:val="20"/>
                <w:szCs w:val="20"/>
                <w:lang w:val="en-ID" w:eastAsia="en-ID"/>
              </w:rPr>
              <w:t xml:space="preserve"> closing</w:t>
            </w:r>
            <w:r w:rsidRPr="0053072D">
              <w:rPr>
                <w:rFonts w:eastAsia="Times New Roman" w:cs="Arial"/>
                <w:color w:val="000000"/>
                <w:sz w:val="20"/>
                <w:szCs w:val="20"/>
                <w:lang w:val="en-ID" w:eastAsia="en-ID"/>
              </w:rPr>
              <w:t xml:space="preserve"> event with speakers, panels and displays in Jakarta</w:t>
            </w:r>
            <w:bookmarkEnd w:id="895"/>
          </w:p>
        </w:tc>
        <w:tc>
          <w:tcPr>
            <w:tcW w:w="3795" w:type="dxa"/>
          </w:tcPr>
          <w:p w14:paraId="1BA2A6C9" w14:textId="2595DEFE" w:rsidR="00B30B11" w:rsidRPr="0053072D" w:rsidRDefault="007E7383" w:rsidP="00EE453C">
            <w:pPr>
              <w:keepNext/>
              <w:keepLines/>
              <w:spacing w:after="120"/>
              <w:ind w:left="11"/>
              <w:outlineLvl w:val="1"/>
              <w:rPr>
                <w:rFonts w:eastAsia="Times New Roman" w:cs="Arial"/>
                <w:color w:val="000000"/>
                <w:sz w:val="20"/>
                <w:szCs w:val="20"/>
                <w:lang w:val="en-ID" w:eastAsia="en-ID"/>
              </w:rPr>
            </w:pPr>
            <w:bookmarkStart w:id="896" w:name="_Toc173319079"/>
            <w:r w:rsidRPr="007E7383">
              <w:rPr>
                <w:rFonts w:eastAsia="Times New Roman" w:cs="Arial"/>
                <w:color w:val="000000"/>
                <w:sz w:val="20"/>
                <w:szCs w:val="20"/>
                <w:lang w:val="en-ID" w:eastAsia="en-ID"/>
              </w:rPr>
              <w:t xml:space="preserve">The closing event is planned for 30 September 2024. The event will bring the government, private sector, </w:t>
            </w:r>
            <w:r w:rsidRPr="007E7383">
              <w:rPr>
                <w:rFonts w:eastAsia="Times New Roman" w:cs="Arial"/>
                <w:color w:val="000000"/>
                <w:sz w:val="20"/>
                <w:szCs w:val="20"/>
                <w:lang w:val="en-ID" w:eastAsia="en-ID"/>
              </w:rPr>
              <w:lastRenderedPageBreak/>
              <w:t xml:space="preserve">academia and farmers together to celebrate PRISMA's impact and communicate key program learnings through </w:t>
            </w:r>
            <w:r w:rsidR="00B4479F">
              <w:rPr>
                <w:rFonts w:eastAsia="Times New Roman" w:cs="Arial"/>
                <w:color w:val="000000"/>
                <w:sz w:val="20"/>
                <w:szCs w:val="20"/>
                <w:lang w:val="en-ID" w:eastAsia="en-ID"/>
              </w:rPr>
              <w:t xml:space="preserve">a </w:t>
            </w:r>
            <w:r w:rsidRPr="007E7383">
              <w:rPr>
                <w:rFonts w:eastAsia="Times New Roman" w:cs="Arial"/>
                <w:color w:val="000000"/>
                <w:sz w:val="20"/>
                <w:szCs w:val="20"/>
                <w:lang w:val="en-ID" w:eastAsia="en-ID"/>
              </w:rPr>
              <w:t>talkshow and exhibition. The event has been shortened to 3 hours to ensure a more effective communication of PRISMA’s key messages, in a brief and clear format.</w:t>
            </w:r>
            <w:bookmarkEnd w:id="896"/>
          </w:p>
        </w:tc>
      </w:tr>
    </w:tbl>
    <w:p w14:paraId="7A32CABB" w14:textId="77777777" w:rsidR="00B30B11" w:rsidRPr="0053072D" w:rsidRDefault="00B30B11" w:rsidP="00B30B11">
      <w:pPr>
        <w:keepNext/>
        <w:keepLines/>
        <w:spacing w:after="120" w:line="240" w:lineRule="auto"/>
        <w:ind w:left="11"/>
        <w:outlineLvl w:val="1"/>
        <w:rPr>
          <w:rFonts w:eastAsia="Times New Roman" w:cs="Arial"/>
          <w:color w:val="000000"/>
          <w:szCs w:val="20"/>
          <w:lang w:val="en-ID" w:eastAsia="en-ID"/>
        </w:rPr>
      </w:pPr>
    </w:p>
    <w:p w14:paraId="099863CB" w14:textId="167F10FC" w:rsidR="00B30B11" w:rsidRPr="0053072D" w:rsidRDefault="00B30B11" w:rsidP="00B30B11">
      <w:pPr>
        <w:keepNext/>
        <w:keepLines/>
        <w:spacing w:after="120" w:line="240" w:lineRule="auto"/>
        <w:ind w:left="11"/>
        <w:outlineLvl w:val="1"/>
        <w:rPr>
          <w:rFonts w:eastAsia="Times New Roman" w:cs="Arial"/>
          <w:color w:val="000000"/>
          <w:szCs w:val="20"/>
          <w:lang w:val="en-ID" w:eastAsia="en-ID"/>
        </w:rPr>
      </w:pPr>
      <w:r w:rsidRPr="0053072D">
        <w:rPr>
          <w:rFonts w:eastAsia="Times New Roman" w:cs="Arial"/>
          <w:color w:val="000000"/>
          <w:szCs w:val="20"/>
          <w:lang w:val="en-ID" w:eastAsia="en-ID"/>
        </w:rPr>
        <w:br w:type="page"/>
      </w:r>
    </w:p>
    <w:p w14:paraId="36391FF7" w14:textId="19CB3315" w:rsidR="00B30B11" w:rsidRPr="0053072D" w:rsidRDefault="00B30B11" w:rsidP="00B30B11">
      <w:pPr>
        <w:keepNext/>
        <w:keepLines/>
        <w:spacing w:after="360" w:line="240" w:lineRule="auto"/>
        <w:ind w:left="851"/>
        <w:outlineLvl w:val="1"/>
        <w:rPr>
          <w:rFonts w:eastAsia="Times New Roman" w:cs="Arial"/>
          <w:b/>
          <w:bCs/>
          <w:color w:val="262C66"/>
          <w:szCs w:val="20"/>
          <w:lang w:val="en-ID" w:eastAsia="en-ID"/>
        </w:rPr>
      </w:pPr>
      <w:bookmarkStart w:id="897" w:name="_Toc173319080"/>
      <w:r w:rsidRPr="0053072D">
        <w:rPr>
          <w:rFonts w:eastAsia="Times New Roman" w:cs="Arial"/>
          <w:b/>
          <w:bCs/>
          <w:noProof/>
          <w:color w:val="262C66"/>
          <w:szCs w:val="20"/>
          <w:lang w:val="en-ID" w:eastAsia="en-ID"/>
          <w14:ligatures w14:val="standardContextual"/>
        </w:rPr>
        <w:lastRenderedPageBreak/>
        <w:drawing>
          <wp:anchor distT="0" distB="0" distL="114300" distR="114300" simplePos="0" relativeHeight="251658287" behindDoc="0" locked="0" layoutInCell="1" allowOverlap="1" wp14:anchorId="56D2C0D6" wp14:editId="6E3CADC0">
            <wp:simplePos x="0" y="0"/>
            <wp:positionH relativeFrom="column">
              <wp:posOffset>2117</wp:posOffset>
            </wp:positionH>
            <wp:positionV relativeFrom="paragraph">
              <wp:posOffset>-110349</wp:posOffset>
            </wp:positionV>
            <wp:extent cx="396000" cy="396000"/>
            <wp:effectExtent l="0" t="0" r="0" b="0"/>
            <wp:wrapNone/>
            <wp:docPr id="1185983798" name="Graphic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908445" name="Graphic 18">
                      <a:extLst>
                        <a:ext uri="{C183D7F6-B498-43B3-948B-1728B52AA6E4}">
                          <adec:decorative xmlns:adec="http://schemas.microsoft.com/office/drawing/2017/decorative" val="1"/>
                        </a:ext>
                      </a:extLst>
                    </pic:cNvPr>
                    <pic:cNvPicPr/>
                  </pic:nvPicPr>
                  <pic:blipFill>
                    <a:blip r:embed="rId175" cstate="print">
                      <a:extLst>
                        <a:ext uri="{28A0092B-C50C-407E-A947-70E740481C1C}">
                          <a14:useLocalDpi xmlns:a14="http://schemas.microsoft.com/office/drawing/2010/main" val="0"/>
                        </a:ext>
                        <a:ext uri="{96DAC541-7B7A-43D3-8B79-37D633B846F1}">
                          <asvg:svgBlip xmlns:asvg="http://schemas.microsoft.com/office/drawing/2016/SVG/main" r:embed="rId176"/>
                        </a:ext>
                      </a:extLst>
                    </a:blip>
                    <a:stretch>
                      <a:fillRect/>
                    </a:stretch>
                  </pic:blipFill>
                  <pic:spPr>
                    <a:xfrm>
                      <a:off x="0" y="0"/>
                      <a:ext cx="396000" cy="396000"/>
                    </a:xfrm>
                    <a:prstGeom prst="rect">
                      <a:avLst/>
                    </a:prstGeom>
                  </pic:spPr>
                </pic:pic>
              </a:graphicData>
            </a:graphic>
            <wp14:sizeRelH relativeFrom="page">
              <wp14:pctWidth>0</wp14:pctWidth>
            </wp14:sizeRelH>
            <wp14:sizeRelV relativeFrom="page">
              <wp14:pctHeight>0</wp14:pctHeight>
            </wp14:sizeRelV>
          </wp:anchor>
        </w:drawing>
      </w:r>
      <w:r w:rsidR="00321DBB">
        <w:rPr>
          <w:rFonts w:eastAsia="Times New Roman" w:cs="Arial"/>
          <w:b/>
          <w:bCs/>
          <w:color w:val="262C66"/>
          <w:szCs w:val="20"/>
          <w:lang w:val="en-ID" w:eastAsia="en-ID"/>
        </w:rPr>
        <w:t>Progress</w:t>
      </w:r>
      <w:r w:rsidRPr="0053072D">
        <w:rPr>
          <w:rFonts w:eastAsia="Times New Roman" w:cs="Arial"/>
          <w:b/>
          <w:bCs/>
          <w:color w:val="262C66"/>
          <w:szCs w:val="20"/>
          <w:lang w:val="en-ID" w:eastAsia="en-ID"/>
        </w:rPr>
        <w:t>: Results Measurement and Learning (RML)</w:t>
      </w:r>
      <w:r w:rsidRPr="0053072D">
        <w:rPr>
          <w:rFonts w:eastAsia="Times New Roman" w:cs="Arial"/>
          <w:noProof/>
          <w:color w:val="262C66"/>
          <w:szCs w:val="20"/>
          <w:lang w:val="en-ID" w:eastAsia="en-ID"/>
          <w14:ligatures w14:val="standardContextual"/>
        </w:rPr>
        <w:t xml:space="preserve"> </w:t>
      </w:r>
      <w:r w:rsidRPr="0053072D">
        <w:rPr>
          <w:rFonts w:eastAsia="Times New Roman" w:cs="Arial"/>
          <w:noProof/>
          <w:color w:val="262C66"/>
          <w:szCs w:val="20"/>
          <w:lang w:val="en-ID" w:eastAsia="en-ID"/>
          <w14:ligatures w14:val="standardContextual"/>
        </w:rPr>
        <w:softHyphen/>
      </w:r>
      <w:bookmarkEnd w:id="897"/>
      <w:r w:rsidR="00854A16">
        <w:rPr>
          <w:rFonts w:eastAsia="Times New Roman" w:cs="Arial"/>
          <w:noProof/>
          <w:color w:val="262C66"/>
          <w:szCs w:val="20"/>
          <w:lang w:val="en-ID" w:eastAsia="en-ID"/>
          <w14:ligatures w14:val="standardContextual"/>
        </w:rPr>
        <w:br/>
      </w:r>
    </w:p>
    <w:tbl>
      <w:tblPr>
        <w:tblStyle w:val="TableGrid2"/>
        <w:tblpPr w:leftFromText="181" w:rightFromText="181" w:vertAnchor="text" w:tblpXSpec="center" w:tblpY="1"/>
        <w:tblW w:w="0" w:type="auto"/>
        <w:tblBorders>
          <w:left w:val="none" w:sz="0" w:space="0" w:color="auto"/>
          <w:right w:val="none" w:sz="0" w:space="0" w:color="auto"/>
          <w:insideV w:val="none" w:sz="0" w:space="0" w:color="auto"/>
        </w:tblBorders>
        <w:tblCellMar>
          <w:top w:w="85" w:type="dxa"/>
          <w:bottom w:w="85" w:type="dxa"/>
        </w:tblCellMar>
        <w:tblLook w:val="06A0" w:firstRow="1" w:lastRow="0" w:firstColumn="1" w:lastColumn="0" w:noHBand="1" w:noVBand="1"/>
      </w:tblPr>
      <w:tblGrid>
        <w:gridCol w:w="1948"/>
        <w:gridCol w:w="1952"/>
        <w:gridCol w:w="3835"/>
        <w:gridCol w:w="6692"/>
      </w:tblGrid>
      <w:tr w:rsidR="00854A16" w:rsidRPr="00854A16" w14:paraId="54335D9C" w14:textId="77777777" w:rsidTr="5583D54B">
        <w:tc>
          <w:tcPr>
            <w:tcW w:w="0" w:type="auto"/>
            <w:shd w:val="clear" w:color="auto" w:fill="272A5F"/>
          </w:tcPr>
          <w:p w14:paraId="488C0991" w14:textId="632DC0E9" w:rsidR="00B30B11" w:rsidRPr="00854A16" w:rsidRDefault="00B30B11" w:rsidP="00854A16">
            <w:pPr>
              <w:keepNext/>
              <w:keepLines/>
              <w:ind w:left="11"/>
              <w:jc w:val="center"/>
              <w:outlineLvl w:val="1"/>
              <w:rPr>
                <w:rFonts w:eastAsia="Times New Roman" w:cs="Arial"/>
                <w:b/>
                <w:bCs/>
                <w:color w:val="FFFFFF"/>
                <w:lang w:val="en-ID" w:eastAsia="en-ID"/>
              </w:rPr>
            </w:pPr>
            <w:bookmarkStart w:id="898" w:name="_Toc173319081"/>
            <w:r w:rsidRPr="00854A16">
              <w:rPr>
                <w:rFonts w:eastAsia="Times New Roman" w:cs="Arial"/>
                <w:b/>
                <w:bCs/>
                <w:color w:val="FFFFFF"/>
                <w:lang w:val="en-ID" w:eastAsia="en-ID"/>
              </w:rPr>
              <w:t>Exit strategies</w:t>
            </w:r>
            <w:bookmarkEnd w:id="898"/>
          </w:p>
        </w:tc>
        <w:tc>
          <w:tcPr>
            <w:tcW w:w="0" w:type="auto"/>
            <w:shd w:val="clear" w:color="auto" w:fill="272A5F"/>
          </w:tcPr>
          <w:p w14:paraId="3F57DA6A" w14:textId="48C427D5" w:rsidR="00B30B11" w:rsidRPr="00854A16" w:rsidRDefault="00B30B11" w:rsidP="00854A16">
            <w:pPr>
              <w:keepNext/>
              <w:keepLines/>
              <w:ind w:left="11"/>
              <w:jc w:val="center"/>
              <w:outlineLvl w:val="1"/>
              <w:rPr>
                <w:rFonts w:eastAsia="Times New Roman" w:cs="Arial"/>
                <w:b/>
                <w:bCs/>
                <w:color w:val="FFFFFF"/>
                <w:lang w:val="en-ID" w:eastAsia="en-ID"/>
              </w:rPr>
            </w:pPr>
            <w:bookmarkStart w:id="899" w:name="_Toc173319082"/>
            <w:r w:rsidRPr="00854A16">
              <w:rPr>
                <w:rFonts w:eastAsia="Times New Roman" w:cs="Arial"/>
                <w:b/>
                <w:bCs/>
                <w:color w:val="FFFFFF"/>
                <w:lang w:val="en-ID" w:eastAsia="en-ID"/>
              </w:rPr>
              <w:t>Focus areas</w:t>
            </w:r>
            <w:bookmarkEnd w:id="899"/>
          </w:p>
        </w:tc>
        <w:tc>
          <w:tcPr>
            <w:tcW w:w="0" w:type="auto"/>
            <w:shd w:val="clear" w:color="auto" w:fill="272A5F"/>
          </w:tcPr>
          <w:p w14:paraId="2862ED13" w14:textId="15896181" w:rsidR="00B30B11" w:rsidRPr="00854A16" w:rsidRDefault="00B30B11" w:rsidP="00854A16">
            <w:pPr>
              <w:keepNext/>
              <w:keepLines/>
              <w:ind w:left="11"/>
              <w:jc w:val="center"/>
              <w:outlineLvl w:val="1"/>
              <w:rPr>
                <w:rFonts w:eastAsia="Times New Roman" w:cs="Arial"/>
                <w:b/>
                <w:bCs/>
                <w:color w:val="FFFFFF"/>
                <w:lang w:val="en-ID" w:eastAsia="en-ID"/>
              </w:rPr>
            </w:pPr>
            <w:bookmarkStart w:id="900" w:name="_Toc173319083"/>
            <w:r w:rsidRPr="00854A16">
              <w:rPr>
                <w:rFonts w:eastAsia="Times New Roman" w:cs="Arial"/>
                <w:b/>
                <w:bCs/>
                <w:color w:val="FFFFFF"/>
                <w:lang w:val="en-ID" w:eastAsia="en-ID"/>
              </w:rPr>
              <w:t>Planned initiatives</w:t>
            </w:r>
            <w:bookmarkEnd w:id="900"/>
          </w:p>
        </w:tc>
        <w:tc>
          <w:tcPr>
            <w:tcW w:w="0" w:type="auto"/>
            <w:shd w:val="clear" w:color="auto" w:fill="272A5F"/>
          </w:tcPr>
          <w:p w14:paraId="762DC033" w14:textId="1B7485EE" w:rsidR="00B30B11" w:rsidRPr="00854A16" w:rsidRDefault="00B30B11" w:rsidP="00854A16">
            <w:pPr>
              <w:keepNext/>
              <w:keepLines/>
              <w:spacing w:before="60" w:after="60"/>
              <w:ind w:left="11"/>
              <w:jc w:val="center"/>
              <w:outlineLvl w:val="1"/>
              <w:rPr>
                <w:rFonts w:eastAsia="Times New Roman" w:cs="Arial"/>
                <w:b/>
                <w:bCs/>
                <w:color w:val="FFFFFF"/>
                <w:lang w:val="en-ID" w:eastAsia="en-ID"/>
              </w:rPr>
            </w:pPr>
            <w:bookmarkStart w:id="901" w:name="_Toc173319084"/>
            <w:r w:rsidRPr="00854A16">
              <w:rPr>
                <w:rFonts w:eastAsia="Times New Roman" w:cs="Arial"/>
                <w:b/>
                <w:bCs/>
                <w:color w:val="FFFFFF"/>
                <w:lang w:val="en-ID" w:eastAsia="en-ID"/>
              </w:rPr>
              <w:t>Progress update</w:t>
            </w:r>
            <w:bookmarkEnd w:id="901"/>
          </w:p>
        </w:tc>
      </w:tr>
      <w:tr w:rsidR="00854A16" w:rsidRPr="00854A16" w14:paraId="2310B604" w14:textId="77777777" w:rsidTr="5583D54B">
        <w:tc>
          <w:tcPr>
            <w:tcW w:w="0" w:type="auto"/>
            <w:vMerge w:val="restart"/>
          </w:tcPr>
          <w:p w14:paraId="519B17E4" w14:textId="0EC5C7B1" w:rsidR="00B30B11" w:rsidRPr="00854A16" w:rsidRDefault="00B30B11" w:rsidP="00EE453C">
            <w:pPr>
              <w:keepNext/>
              <w:keepLines/>
              <w:ind w:left="11"/>
              <w:outlineLvl w:val="1"/>
              <w:rPr>
                <w:rFonts w:eastAsia="Times New Roman" w:cs="Arial"/>
                <w:color w:val="000000"/>
                <w:lang w:val="en-ID" w:eastAsia="en-ID"/>
              </w:rPr>
            </w:pPr>
            <w:bookmarkStart w:id="902" w:name="_Toc173319085"/>
            <w:r w:rsidRPr="00854A16">
              <w:rPr>
                <w:rFonts w:eastAsia="Times New Roman" w:cs="Arial"/>
                <w:color w:val="000000"/>
                <w:lang w:val="en-ID" w:eastAsia="en-ID"/>
              </w:rPr>
              <w:t>Measuring key performance indicators (KPI)</w:t>
            </w:r>
            <w:bookmarkEnd w:id="902"/>
          </w:p>
        </w:tc>
        <w:tc>
          <w:tcPr>
            <w:tcW w:w="0" w:type="auto"/>
          </w:tcPr>
          <w:p w14:paraId="45F06716" w14:textId="2461C7E9" w:rsidR="00B30B11" w:rsidRPr="00854A16" w:rsidRDefault="00B30B11" w:rsidP="00EE453C">
            <w:pPr>
              <w:keepNext/>
              <w:keepLines/>
              <w:ind w:left="11"/>
              <w:outlineLvl w:val="1"/>
              <w:rPr>
                <w:rFonts w:eastAsia="Times New Roman" w:cs="Arial"/>
                <w:color w:val="000000"/>
                <w:lang w:val="en-ID" w:eastAsia="en-ID"/>
              </w:rPr>
            </w:pPr>
            <w:bookmarkStart w:id="903" w:name="_Toc173319086"/>
            <w:r w:rsidRPr="00854A16">
              <w:rPr>
                <w:rFonts w:eastAsia="Times New Roman" w:cs="Arial"/>
                <w:color w:val="000000"/>
                <w:lang w:val="en-ID" w:eastAsia="en-ID"/>
              </w:rPr>
              <w:t>Impact assessment</w:t>
            </w:r>
            <w:bookmarkEnd w:id="903"/>
          </w:p>
        </w:tc>
        <w:tc>
          <w:tcPr>
            <w:tcW w:w="0" w:type="auto"/>
          </w:tcPr>
          <w:p w14:paraId="32AF87FE" w14:textId="6CE2B61C" w:rsidR="00B30B11" w:rsidRPr="00854A16" w:rsidRDefault="00B30B11" w:rsidP="00EE453C">
            <w:pPr>
              <w:keepNext/>
              <w:keepLines/>
              <w:ind w:left="11"/>
              <w:outlineLvl w:val="1"/>
              <w:rPr>
                <w:rFonts w:eastAsia="Times New Roman" w:cs="Arial"/>
                <w:color w:val="000000"/>
                <w:lang w:val="en-ID" w:eastAsia="en-ID"/>
              </w:rPr>
            </w:pPr>
            <w:bookmarkStart w:id="904" w:name="_Toc173319087"/>
            <w:r w:rsidRPr="00854A16">
              <w:rPr>
                <w:rFonts w:eastAsia="Times New Roman" w:cs="Arial"/>
                <w:color w:val="000000"/>
                <w:lang w:val="en-ID" w:eastAsia="en-ID"/>
              </w:rPr>
              <w:t>Conduct impact assessments in the beef, mechanisation, dairy, fertiliser, crop protection, rice, and mungbean sectors.</w:t>
            </w:r>
            <w:bookmarkEnd w:id="904"/>
          </w:p>
        </w:tc>
        <w:tc>
          <w:tcPr>
            <w:tcW w:w="0" w:type="auto"/>
          </w:tcPr>
          <w:p w14:paraId="1300DC50" w14:textId="22F5BDCA" w:rsidR="00B30B11" w:rsidRPr="00854A16" w:rsidRDefault="00B30B11" w:rsidP="00EE453C">
            <w:pPr>
              <w:keepNext/>
              <w:keepLines/>
              <w:ind w:left="11"/>
              <w:outlineLvl w:val="1"/>
              <w:rPr>
                <w:rFonts w:eastAsia="Times New Roman" w:cs="Arial"/>
                <w:iCs/>
                <w:color w:val="C00000"/>
                <w:lang w:val="en-ID" w:eastAsia="en-ID"/>
              </w:rPr>
            </w:pPr>
            <w:bookmarkStart w:id="905" w:name="_Toc173319088"/>
            <w:r w:rsidRPr="00854A16">
              <w:rPr>
                <w:rFonts w:asciiTheme="majorHAnsi" w:eastAsia="Times New Roman" w:hAnsiTheme="majorHAnsi" w:cstheme="majorHAnsi"/>
                <w:lang w:val="en-ID" w:eastAsia="en-ID"/>
              </w:rPr>
              <w:t>PRISMA has completed seven impact assessments in the first half of this year for four sectors: beef, mechanisation, dairy, and rice. The findings have been reported in the latest PRIP edition.</w:t>
            </w:r>
            <w:bookmarkEnd w:id="905"/>
          </w:p>
        </w:tc>
      </w:tr>
      <w:tr w:rsidR="00854A16" w:rsidRPr="00854A16" w14:paraId="2D5C450D" w14:textId="77777777" w:rsidTr="5583D54B">
        <w:tc>
          <w:tcPr>
            <w:tcW w:w="0" w:type="auto"/>
            <w:vMerge/>
          </w:tcPr>
          <w:p w14:paraId="53237FD5" w14:textId="77777777" w:rsidR="00B30B11" w:rsidRPr="00854A16" w:rsidRDefault="00B30B11" w:rsidP="00EE453C">
            <w:pPr>
              <w:keepNext/>
              <w:keepLines/>
              <w:ind w:left="11"/>
              <w:outlineLvl w:val="1"/>
              <w:rPr>
                <w:rFonts w:eastAsia="Times New Roman" w:cs="Arial"/>
                <w:color w:val="000000"/>
                <w:lang w:val="en-ID" w:eastAsia="en-ID"/>
              </w:rPr>
            </w:pPr>
          </w:p>
        </w:tc>
        <w:tc>
          <w:tcPr>
            <w:tcW w:w="0" w:type="auto"/>
          </w:tcPr>
          <w:p w14:paraId="13EBFA0E" w14:textId="68DAAFEF" w:rsidR="00B30B11" w:rsidRPr="00854A16" w:rsidRDefault="00B30B11" w:rsidP="00EE453C">
            <w:pPr>
              <w:keepNext/>
              <w:keepLines/>
              <w:ind w:left="11"/>
              <w:outlineLvl w:val="1"/>
              <w:rPr>
                <w:rFonts w:eastAsia="Times New Roman" w:cs="Arial"/>
                <w:color w:val="000000"/>
                <w:lang w:val="en-ID" w:eastAsia="en-ID"/>
              </w:rPr>
            </w:pPr>
            <w:bookmarkStart w:id="906" w:name="_Toc173319089"/>
            <w:r w:rsidRPr="00854A16">
              <w:rPr>
                <w:rFonts w:eastAsia="Times New Roman" w:cs="Arial"/>
                <w:color w:val="000000"/>
                <w:lang w:val="en-ID" w:eastAsia="en-ID"/>
              </w:rPr>
              <w:t>Extrapolation</w:t>
            </w:r>
            <w:bookmarkEnd w:id="906"/>
          </w:p>
        </w:tc>
        <w:tc>
          <w:tcPr>
            <w:tcW w:w="0" w:type="auto"/>
          </w:tcPr>
          <w:p w14:paraId="5EE49F3C" w14:textId="6EDCC88D" w:rsidR="00B30B11" w:rsidRPr="00854A16" w:rsidRDefault="00B30B11" w:rsidP="00EE453C">
            <w:pPr>
              <w:keepNext/>
              <w:keepLines/>
              <w:ind w:left="11"/>
              <w:outlineLvl w:val="1"/>
              <w:rPr>
                <w:rFonts w:eastAsia="Times New Roman" w:cs="Arial"/>
                <w:color w:val="000000"/>
                <w:lang w:val="en-ID" w:eastAsia="en-ID"/>
              </w:rPr>
            </w:pPr>
            <w:bookmarkStart w:id="907" w:name="_Toc173319090"/>
            <w:r w:rsidRPr="00854A16">
              <w:rPr>
                <w:rFonts w:eastAsia="Times New Roman" w:cs="Arial"/>
                <w:color w:val="000000"/>
                <w:lang w:val="en-ID" w:eastAsia="en-ID"/>
              </w:rPr>
              <w:t>Report new beneficiaries and income increases using relevant assumptions based on new partner sales.</w:t>
            </w:r>
            <w:bookmarkEnd w:id="907"/>
          </w:p>
        </w:tc>
        <w:tc>
          <w:tcPr>
            <w:tcW w:w="0" w:type="auto"/>
          </w:tcPr>
          <w:p w14:paraId="03BDAAD3" w14:textId="01AB8E8A" w:rsidR="00B30B11" w:rsidRPr="00854A16" w:rsidRDefault="00B30B11" w:rsidP="00EE453C">
            <w:pPr>
              <w:keepNext/>
              <w:keepLines/>
              <w:contextualSpacing/>
              <w:outlineLvl w:val="1"/>
              <w:rPr>
                <w:rFonts w:asciiTheme="majorHAnsi" w:eastAsia="Times New Roman" w:hAnsiTheme="majorHAnsi" w:cstheme="majorHAnsi"/>
                <w:color w:val="000000"/>
                <w:lang w:val="en-ID" w:eastAsia="en-ID"/>
              </w:rPr>
            </w:pPr>
            <w:bookmarkStart w:id="908" w:name="_Toc173319091"/>
            <w:r w:rsidRPr="00854A16">
              <w:rPr>
                <w:rFonts w:asciiTheme="majorHAnsi" w:eastAsia="Times New Roman" w:hAnsiTheme="majorHAnsi" w:cstheme="majorHAnsi"/>
                <w:color w:val="000000"/>
                <w:lang w:val="en-ID" w:eastAsia="en-ID"/>
              </w:rPr>
              <w:t>PRISMA has conducted 12 extrapolations this semester from 7 sectors:</w:t>
            </w:r>
            <w:bookmarkEnd w:id="908"/>
          </w:p>
          <w:p w14:paraId="1E4F14F4" w14:textId="6C317EA2" w:rsidR="00B30B11" w:rsidRPr="00854A16" w:rsidRDefault="00B30B11" w:rsidP="00B30B11">
            <w:pPr>
              <w:pStyle w:val="ListParagraph"/>
              <w:keepNext/>
              <w:keepLines/>
              <w:numPr>
                <w:ilvl w:val="0"/>
                <w:numId w:val="32"/>
              </w:numPr>
              <w:ind w:left="284" w:hanging="284"/>
              <w:outlineLvl w:val="1"/>
              <w:rPr>
                <w:rFonts w:asciiTheme="majorHAnsi" w:eastAsia="Times New Roman" w:hAnsiTheme="majorHAnsi" w:cstheme="majorHAnsi"/>
                <w:color w:val="000000"/>
                <w:lang w:val="en-ID" w:eastAsia="en-ID"/>
              </w:rPr>
            </w:pPr>
            <w:bookmarkStart w:id="909" w:name="_Toc173319092"/>
            <w:r w:rsidRPr="00854A16">
              <w:rPr>
                <w:rFonts w:asciiTheme="majorHAnsi" w:eastAsia="Times New Roman" w:hAnsiTheme="majorHAnsi" w:cstheme="majorHAnsi"/>
                <w:color w:val="000000"/>
                <w:lang w:val="en-ID" w:eastAsia="en-ID"/>
              </w:rPr>
              <w:t>Mechanization: Pillar Agri, Argo Jaya, and Galaxy PM</w:t>
            </w:r>
            <w:bookmarkEnd w:id="909"/>
          </w:p>
          <w:p w14:paraId="5AE3A63C" w14:textId="7DAC6995" w:rsidR="00B30B11" w:rsidRPr="00854A16" w:rsidRDefault="00B30B11" w:rsidP="00B30B11">
            <w:pPr>
              <w:pStyle w:val="ListParagraph"/>
              <w:keepNext/>
              <w:keepLines/>
              <w:numPr>
                <w:ilvl w:val="0"/>
                <w:numId w:val="32"/>
              </w:numPr>
              <w:ind w:left="284" w:hanging="284"/>
              <w:outlineLvl w:val="1"/>
              <w:rPr>
                <w:rFonts w:asciiTheme="majorHAnsi" w:eastAsia="Times New Roman" w:hAnsiTheme="majorHAnsi" w:cstheme="majorHAnsi"/>
                <w:color w:val="000000"/>
                <w:lang w:val="en-ID" w:eastAsia="en-ID"/>
              </w:rPr>
            </w:pPr>
            <w:bookmarkStart w:id="910" w:name="_Toc173319093"/>
            <w:r w:rsidRPr="00854A16">
              <w:rPr>
                <w:rFonts w:asciiTheme="majorHAnsi" w:eastAsia="Times New Roman" w:hAnsiTheme="majorHAnsi" w:cstheme="majorHAnsi"/>
                <w:color w:val="000000"/>
                <w:lang w:val="en-ID" w:eastAsia="en-ID"/>
              </w:rPr>
              <w:t>Soil Treatment: Agrotama TS</w:t>
            </w:r>
            <w:bookmarkEnd w:id="910"/>
          </w:p>
          <w:p w14:paraId="6A6D4494" w14:textId="0F99D649" w:rsidR="00B30B11" w:rsidRPr="00854A16" w:rsidRDefault="00B30B11" w:rsidP="00B30B11">
            <w:pPr>
              <w:pStyle w:val="ListParagraph"/>
              <w:keepNext/>
              <w:keepLines/>
              <w:numPr>
                <w:ilvl w:val="0"/>
                <w:numId w:val="32"/>
              </w:numPr>
              <w:ind w:left="284" w:hanging="284"/>
              <w:outlineLvl w:val="1"/>
              <w:rPr>
                <w:rFonts w:asciiTheme="majorHAnsi" w:eastAsia="Times New Roman" w:hAnsiTheme="majorHAnsi" w:cstheme="majorHAnsi"/>
                <w:color w:val="000000"/>
                <w:lang w:val="en-ID" w:eastAsia="en-ID"/>
              </w:rPr>
            </w:pPr>
            <w:bookmarkStart w:id="911" w:name="_Toc173319094"/>
            <w:r w:rsidRPr="00854A16">
              <w:rPr>
                <w:rFonts w:asciiTheme="majorHAnsi" w:eastAsia="Times New Roman" w:hAnsiTheme="majorHAnsi" w:cstheme="majorHAnsi"/>
                <w:color w:val="000000"/>
                <w:lang w:val="en-ID" w:eastAsia="en-ID"/>
              </w:rPr>
              <w:t>Dairy: Nufeed</w:t>
            </w:r>
            <w:bookmarkEnd w:id="911"/>
          </w:p>
          <w:p w14:paraId="7CECDA79" w14:textId="70232F1E" w:rsidR="00B30B11" w:rsidRPr="00854A16" w:rsidRDefault="00B30B11" w:rsidP="00B30B11">
            <w:pPr>
              <w:pStyle w:val="ListParagraph"/>
              <w:keepNext/>
              <w:keepLines/>
              <w:numPr>
                <w:ilvl w:val="0"/>
                <w:numId w:val="32"/>
              </w:numPr>
              <w:ind w:left="284" w:hanging="284"/>
              <w:outlineLvl w:val="1"/>
              <w:rPr>
                <w:rFonts w:asciiTheme="majorHAnsi" w:eastAsia="Times New Roman" w:hAnsiTheme="majorHAnsi" w:cstheme="majorHAnsi"/>
                <w:color w:val="000000"/>
                <w:lang w:val="en-ID" w:eastAsia="en-ID"/>
              </w:rPr>
            </w:pPr>
            <w:bookmarkStart w:id="912" w:name="_Toc173319095"/>
            <w:r w:rsidRPr="00854A16">
              <w:rPr>
                <w:rFonts w:asciiTheme="majorHAnsi" w:eastAsia="Times New Roman" w:hAnsiTheme="majorHAnsi" w:cstheme="majorHAnsi"/>
                <w:color w:val="000000"/>
                <w:lang w:val="en-ID" w:eastAsia="en-ID"/>
              </w:rPr>
              <w:t>Rice: Agrosid</w:t>
            </w:r>
            <w:bookmarkEnd w:id="912"/>
          </w:p>
          <w:p w14:paraId="258645B3" w14:textId="56632C0D" w:rsidR="00B30B11" w:rsidRPr="00854A16" w:rsidRDefault="00B30B11" w:rsidP="00B30B11">
            <w:pPr>
              <w:pStyle w:val="ListParagraph"/>
              <w:keepNext/>
              <w:keepLines/>
              <w:numPr>
                <w:ilvl w:val="0"/>
                <w:numId w:val="32"/>
              </w:numPr>
              <w:ind w:left="284" w:hanging="284"/>
              <w:outlineLvl w:val="1"/>
              <w:rPr>
                <w:rFonts w:asciiTheme="majorHAnsi" w:eastAsia="Times New Roman" w:hAnsiTheme="majorHAnsi" w:cstheme="majorHAnsi"/>
                <w:color w:val="000000"/>
                <w:lang w:val="en-ID" w:eastAsia="en-ID"/>
              </w:rPr>
            </w:pPr>
            <w:bookmarkStart w:id="913" w:name="_Toc173319096"/>
            <w:r w:rsidRPr="00854A16">
              <w:rPr>
                <w:rFonts w:asciiTheme="majorHAnsi" w:eastAsia="Times New Roman" w:hAnsiTheme="majorHAnsi" w:cstheme="majorHAnsi"/>
                <w:color w:val="000000"/>
                <w:lang w:val="en-ID" w:eastAsia="en-ID"/>
              </w:rPr>
              <w:t>Mungbean: Semi Purwodadi, Ewindo and Luwes Tani</w:t>
            </w:r>
            <w:bookmarkEnd w:id="913"/>
          </w:p>
          <w:p w14:paraId="2B2CB3AD" w14:textId="79042BB4" w:rsidR="00B30B11" w:rsidRPr="00854A16" w:rsidRDefault="00B30B11" w:rsidP="00B30B11">
            <w:pPr>
              <w:pStyle w:val="ListParagraph"/>
              <w:keepNext/>
              <w:keepLines/>
              <w:numPr>
                <w:ilvl w:val="0"/>
                <w:numId w:val="32"/>
              </w:numPr>
              <w:ind w:left="284" w:hanging="284"/>
              <w:outlineLvl w:val="1"/>
              <w:rPr>
                <w:rFonts w:asciiTheme="majorHAnsi" w:eastAsia="Times New Roman" w:hAnsiTheme="majorHAnsi" w:cstheme="majorHAnsi"/>
                <w:color w:val="000000"/>
                <w:lang w:val="en-ID" w:eastAsia="en-ID"/>
              </w:rPr>
            </w:pPr>
            <w:bookmarkStart w:id="914" w:name="_Toc173319097"/>
            <w:r w:rsidRPr="00854A16">
              <w:rPr>
                <w:rFonts w:asciiTheme="majorHAnsi" w:eastAsia="Times New Roman" w:hAnsiTheme="majorHAnsi" w:cstheme="majorHAnsi"/>
                <w:color w:val="000000"/>
                <w:lang w:val="en-ID" w:eastAsia="en-ID"/>
              </w:rPr>
              <w:t>Pig: Disnak Rote Ndao, Disnak Sumba Barat, Disnak TTS, Flobamora, Lolipop, Mario Putra, Pemkab Lembata, Pemkab Manggarai, Seminari Yohanes, Maju Jaya, Sreeya, Aroma, Mesang Nalley, and Kame Adonara</w:t>
            </w:r>
            <w:bookmarkEnd w:id="914"/>
          </w:p>
          <w:p w14:paraId="6CF5D0E8" w14:textId="5F5F9B03" w:rsidR="00B30B11" w:rsidRPr="00854A16" w:rsidRDefault="00B30B11" w:rsidP="00EE453C">
            <w:pPr>
              <w:keepNext/>
              <w:keepLines/>
              <w:ind w:left="11"/>
              <w:outlineLvl w:val="1"/>
              <w:rPr>
                <w:rFonts w:eastAsia="Times New Roman" w:cs="Arial"/>
                <w:color w:val="000000"/>
                <w:lang w:val="en-ID" w:eastAsia="en-ID"/>
              </w:rPr>
            </w:pPr>
            <w:bookmarkStart w:id="915" w:name="_Toc173319098"/>
            <w:r w:rsidRPr="00854A16">
              <w:rPr>
                <w:rFonts w:asciiTheme="majorHAnsi" w:eastAsia="Times New Roman" w:hAnsiTheme="majorHAnsi" w:cstheme="majorHAnsi"/>
                <w:color w:val="000000"/>
                <w:lang w:val="en-ID" w:eastAsia="en-ID"/>
              </w:rPr>
              <w:t>Vegetable: Agrosid and Matahari</w:t>
            </w:r>
            <w:bookmarkEnd w:id="915"/>
          </w:p>
        </w:tc>
      </w:tr>
      <w:tr w:rsidR="00854A16" w:rsidRPr="00854A16" w14:paraId="109BAB72" w14:textId="77777777" w:rsidTr="5583D54B">
        <w:tc>
          <w:tcPr>
            <w:tcW w:w="0" w:type="auto"/>
            <w:vMerge/>
          </w:tcPr>
          <w:p w14:paraId="47D1C56F" w14:textId="77777777" w:rsidR="00B30B11" w:rsidRPr="00854A16" w:rsidRDefault="00B30B11" w:rsidP="00EE453C">
            <w:pPr>
              <w:keepNext/>
              <w:keepLines/>
              <w:ind w:left="11"/>
              <w:outlineLvl w:val="1"/>
              <w:rPr>
                <w:rFonts w:eastAsia="Times New Roman" w:cs="Arial"/>
                <w:color w:val="000000"/>
                <w:lang w:val="en-ID" w:eastAsia="en-ID"/>
              </w:rPr>
            </w:pPr>
          </w:p>
        </w:tc>
        <w:tc>
          <w:tcPr>
            <w:tcW w:w="0" w:type="auto"/>
          </w:tcPr>
          <w:p w14:paraId="559018A0" w14:textId="28687910" w:rsidR="00B30B11" w:rsidRPr="00854A16" w:rsidRDefault="00B30B11" w:rsidP="00EE453C">
            <w:pPr>
              <w:keepNext/>
              <w:keepLines/>
              <w:ind w:left="11"/>
              <w:outlineLvl w:val="1"/>
              <w:rPr>
                <w:rFonts w:eastAsia="Times New Roman" w:cs="Arial"/>
                <w:color w:val="000000"/>
                <w:lang w:val="en-ID" w:eastAsia="en-ID"/>
              </w:rPr>
            </w:pPr>
            <w:bookmarkStart w:id="916" w:name="_Toc173319099"/>
            <w:r w:rsidRPr="00854A16">
              <w:rPr>
                <w:rFonts w:eastAsia="Times New Roman" w:cs="Arial"/>
                <w:color w:val="000000"/>
                <w:lang w:val="en-ID" w:eastAsia="en-ID"/>
              </w:rPr>
              <w:t>Evidence collection</w:t>
            </w:r>
            <w:bookmarkEnd w:id="916"/>
          </w:p>
        </w:tc>
        <w:tc>
          <w:tcPr>
            <w:tcW w:w="0" w:type="auto"/>
          </w:tcPr>
          <w:p w14:paraId="140DA225" w14:textId="5344D3F6" w:rsidR="00B30B11" w:rsidRPr="00854A16" w:rsidRDefault="00B30B11" w:rsidP="00EE453C">
            <w:pPr>
              <w:keepNext/>
              <w:keepLines/>
              <w:ind w:left="11"/>
              <w:outlineLvl w:val="1"/>
              <w:rPr>
                <w:rFonts w:eastAsia="Times New Roman" w:cs="Arial"/>
                <w:color w:val="000000"/>
                <w:lang w:val="en-ID" w:eastAsia="en-ID"/>
              </w:rPr>
            </w:pPr>
            <w:bookmarkStart w:id="917" w:name="_Toc173319100"/>
            <w:r w:rsidRPr="00854A16">
              <w:rPr>
                <w:rFonts w:eastAsia="Times New Roman" w:cs="Arial"/>
                <w:color w:val="000000"/>
                <w:lang w:val="en-ID" w:eastAsia="en-ID"/>
              </w:rPr>
              <w:t>Collect evidence that supports the claims made in the KPI and the impacts beyond the KPI.</w:t>
            </w:r>
            <w:bookmarkEnd w:id="917"/>
          </w:p>
          <w:p w14:paraId="6A122E1F" w14:textId="08011A26" w:rsidR="00B30B11" w:rsidRPr="00854A16" w:rsidRDefault="00B30B11" w:rsidP="00EE453C">
            <w:pPr>
              <w:keepNext/>
              <w:keepLines/>
              <w:ind w:left="11"/>
              <w:outlineLvl w:val="1"/>
              <w:rPr>
                <w:rFonts w:eastAsia="Times New Roman" w:cs="Arial"/>
                <w:color w:val="000000"/>
                <w:lang w:val="en-ID" w:eastAsia="en-ID"/>
              </w:rPr>
            </w:pPr>
            <w:bookmarkStart w:id="918" w:name="_Toc173319101"/>
            <w:r w:rsidRPr="00854A16">
              <w:rPr>
                <w:rFonts w:eastAsia="Times New Roman" w:cs="Arial"/>
                <w:color w:val="000000"/>
                <w:lang w:val="en-ID" w:eastAsia="en-ID"/>
              </w:rPr>
              <w:t>Collect multiple lines of evidence that support claims.</w:t>
            </w:r>
            <w:bookmarkEnd w:id="918"/>
          </w:p>
        </w:tc>
        <w:tc>
          <w:tcPr>
            <w:tcW w:w="0" w:type="auto"/>
          </w:tcPr>
          <w:p w14:paraId="56803C71" w14:textId="22555D24" w:rsidR="00B30B11" w:rsidRPr="00854A16" w:rsidRDefault="00B30B11" w:rsidP="00EE453C">
            <w:pPr>
              <w:keepNext/>
              <w:keepLines/>
              <w:outlineLvl w:val="1"/>
              <w:rPr>
                <w:rFonts w:eastAsia="Times New Roman" w:cs="Arial"/>
                <w:color w:val="000000"/>
                <w:lang w:val="en-ID" w:eastAsia="en-ID"/>
              </w:rPr>
            </w:pPr>
            <w:bookmarkStart w:id="919" w:name="_Toc173319102"/>
            <w:r w:rsidRPr="00854A16">
              <w:rPr>
                <w:rFonts w:asciiTheme="majorHAnsi" w:eastAsia="Times New Roman" w:hAnsiTheme="majorHAnsi" w:cstheme="majorHAnsi"/>
                <w:color w:val="000000"/>
                <w:lang w:val="en-ID" w:eastAsia="en-ID"/>
              </w:rPr>
              <w:t>298 media events have been documented as evidence of program achievement via mass and social media.</w:t>
            </w:r>
            <w:bookmarkEnd w:id="919"/>
          </w:p>
        </w:tc>
      </w:tr>
      <w:tr w:rsidR="00854A16" w:rsidRPr="00854A16" w14:paraId="35F3C6DE" w14:textId="77777777" w:rsidTr="5583D54B">
        <w:tc>
          <w:tcPr>
            <w:tcW w:w="0" w:type="auto"/>
            <w:vMerge w:val="restart"/>
          </w:tcPr>
          <w:p w14:paraId="3F0CF993" w14:textId="7ACA82F7" w:rsidR="00B30B11" w:rsidRPr="00854A16" w:rsidRDefault="00B30B11" w:rsidP="00EE453C">
            <w:pPr>
              <w:keepNext/>
              <w:keepLines/>
              <w:ind w:left="11"/>
              <w:outlineLvl w:val="1"/>
              <w:rPr>
                <w:rFonts w:eastAsia="Times New Roman" w:cs="Arial"/>
                <w:color w:val="000000"/>
                <w:lang w:val="en-ID" w:eastAsia="en-ID"/>
              </w:rPr>
            </w:pPr>
            <w:bookmarkStart w:id="920" w:name="_Toc173319103"/>
            <w:r w:rsidRPr="00854A16">
              <w:rPr>
                <w:rFonts w:eastAsia="Times New Roman" w:cs="Arial"/>
                <w:color w:val="000000"/>
                <w:lang w:val="en-ID" w:eastAsia="en-ID"/>
              </w:rPr>
              <w:t>Measuring impacts</w:t>
            </w:r>
            <w:r w:rsidRPr="00854A16">
              <w:rPr>
                <w:rFonts w:eastAsia="Times New Roman" w:cs="Arial"/>
                <w:color w:val="000000"/>
                <w:lang w:val="en-ID" w:eastAsia="en-ID"/>
              </w:rPr>
              <w:br/>
              <w:t>beyond the KPI</w:t>
            </w:r>
            <w:bookmarkEnd w:id="920"/>
          </w:p>
        </w:tc>
        <w:tc>
          <w:tcPr>
            <w:tcW w:w="0" w:type="auto"/>
            <w:vMerge w:val="restart"/>
          </w:tcPr>
          <w:p w14:paraId="6FCF48FA" w14:textId="77777777" w:rsidR="00B30B11" w:rsidRPr="00854A16" w:rsidRDefault="00B30B11" w:rsidP="00EE453C">
            <w:pPr>
              <w:keepNext/>
              <w:keepLines/>
              <w:ind w:left="11"/>
              <w:outlineLvl w:val="1"/>
              <w:rPr>
                <w:rFonts w:eastAsia="Times New Roman" w:cs="Arial"/>
                <w:color w:val="000000"/>
                <w:lang w:val="en-ID" w:eastAsia="en-ID"/>
              </w:rPr>
            </w:pPr>
            <w:bookmarkStart w:id="921" w:name="_Toc173319104"/>
            <w:r w:rsidRPr="00854A16">
              <w:rPr>
                <w:rFonts w:eastAsia="Times New Roman" w:cs="Arial"/>
                <w:color w:val="000000"/>
                <w:lang w:val="en-ID" w:eastAsia="en-ID"/>
              </w:rPr>
              <w:t>Climate change</w:t>
            </w:r>
            <w:r w:rsidRPr="00854A16">
              <w:rPr>
                <w:rFonts w:eastAsia="Times New Roman" w:cs="Arial"/>
                <w:color w:val="000000"/>
                <w:lang w:val="en-ID" w:eastAsia="en-ID"/>
              </w:rPr>
              <w:br/>
              <w:t>climate-smart agriculture</w:t>
            </w:r>
            <w:bookmarkEnd w:id="921"/>
            <w:r w:rsidRPr="00854A16">
              <w:rPr>
                <w:rFonts w:eastAsia="Times New Roman" w:cs="Arial"/>
                <w:color w:val="000000"/>
                <w:lang w:val="en-ID" w:eastAsia="en-ID"/>
              </w:rPr>
              <w:t xml:space="preserve"> </w:t>
            </w:r>
          </w:p>
        </w:tc>
        <w:tc>
          <w:tcPr>
            <w:tcW w:w="0" w:type="auto"/>
          </w:tcPr>
          <w:p w14:paraId="7E2F9115" w14:textId="1ECF2ABC" w:rsidR="00B30B11" w:rsidRPr="00854A16" w:rsidRDefault="00B30B11" w:rsidP="00854A16">
            <w:pPr>
              <w:keepNext/>
              <w:keepLines/>
              <w:ind w:left="49"/>
              <w:outlineLvl w:val="1"/>
              <w:rPr>
                <w:rFonts w:eastAsia="Times New Roman" w:cs="Arial"/>
                <w:color w:val="000000"/>
                <w:lang w:val="en-ID" w:eastAsia="en-ID"/>
              </w:rPr>
            </w:pPr>
            <w:bookmarkStart w:id="922" w:name="_Toc173319105"/>
            <w:r w:rsidRPr="00854A16">
              <w:rPr>
                <w:rFonts w:eastAsia="Times New Roman" w:cs="Arial"/>
                <w:color w:val="000000"/>
                <w:lang w:val="en-ID" w:eastAsia="en-ID"/>
              </w:rPr>
              <w:t>Measure the relative emission reduction derived from using nitrogen-based fertiliser (maize, rice, and fertiliser sector) and concentrate feed (beef sector).</w:t>
            </w:r>
            <w:bookmarkEnd w:id="922"/>
          </w:p>
        </w:tc>
        <w:tc>
          <w:tcPr>
            <w:tcW w:w="0" w:type="auto"/>
          </w:tcPr>
          <w:p w14:paraId="01DDD2FC" w14:textId="279F685E" w:rsidR="00B30B11" w:rsidRPr="00854A16" w:rsidRDefault="00B30B11" w:rsidP="00EE453C">
            <w:pPr>
              <w:keepNext/>
              <w:keepLines/>
              <w:ind w:left="11"/>
              <w:outlineLvl w:val="1"/>
              <w:rPr>
                <w:rFonts w:eastAsia="Yu Gothic Light" w:cs="Arial"/>
                <w:color w:val="000000"/>
                <w:lang w:val="en-ID" w:eastAsia="en-ID"/>
              </w:rPr>
            </w:pPr>
            <w:bookmarkStart w:id="923" w:name="_Toc173319106"/>
            <w:r w:rsidRPr="00854A16">
              <w:rPr>
                <w:rFonts w:eastAsia="Yu Gothic Light" w:cs="Arial"/>
                <w:bCs/>
                <w:color w:val="000000"/>
                <w:lang w:val="en-ID" w:eastAsia="en-ID"/>
              </w:rPr>
              <w:t>Relative emission reduction measurements have been conducted for the four sectors from Year 23 Semester 1 to Year 24 Semester 1. The reports are submitted in each semester's PRIP.</w:t>
            </w:r>
            <w:bookmarkEnd w:id="923"/>
          </w:p>
        </w:tc>
      </w:tr>
      <w:tr w:rsidR="00854A16" w:rsidRPr="00854A16" w14:paraId="0D86A084" w14:textId="77777777" w:rsidTr="5583D54B">
        <w:tc>
          <w:tcPr>
            <w:tcW w:w="0" w:type="auto"/>
            <w:vMerge/>
          </w:tcPr>
          <w:p w14:paraId="64210AC4" w14:textId="77777777" w:rsidR="00B30B11" w:rsidRPr="00854A16" w:rsidRDefault="00B30B11" w:rsidP="00EE453C">
            <w:pPr>
              <w:keepNext/>
              <w:keepLines/>
              <w:ind w:left="11"/>
              <w:outlineLvl w:val="1"/>
              <w:rPr>
                <w:rFonts w:eastAsia="Times New Roman" w:cs="Arial"/>
                <w:color w:val="000000"/>
                <w:lang w:val="en-ID" w:eastAsia="en-ID"/>
              </w:rPr>
            </w:pPr>
          </w:p>
        </w:tc>
        <w:tc>
          <w:tcPr>
            <w:tcW w:w="0" w:type="auto"/>
            <w:vMerge/>
          </w:tcPr>
          <w:p w14:paraId="62A6E30F" w14:textId="77777777" w:rsidR="00B30B11" w:rsidRPr="00854A16" w:rsidRDefault="00B30B11" w:rsidP="00EE453C">
            <w:pPr>
              <w:keepNext/>
              <w:keepLines/>
              <w:ind w:left="11"/>
              <w:outlineLvl w:val="1"/>
              <w:rPr>
                <w:rFonts w:eastAsia="Times New Roman" w:cs="Arial"/>
                <w:color w:val="000000"/>
                <w:lang w:val="en-ID" w:eastAsia="en-ID"/>
              </w:rPr>
            </w:pPr>
          </w:p>
        </w:tc>
        <w:tc>
          <w:tcPr>
            <w:tcW w:w="0" w:type="auto"/>
          </w:tcPr>
          <w:p w14:paraId="376198D5" w14:textId="4B8F5731" w:rsidR="00B30B11" w:rsidRPr="00854A16" w:rsidRDefault="00B30B11" w:rsidP="00854A16">
            <w:pPr>
              <w:keepNext/>
              <w:keepLines/>
              <w:ind w:left="49"/>
              <w:outlineLvl w:val="1"/>
              <w:rPr>
                <w:rFonts w:eastAsia="Times New Roman" w:cs="Arial"/>
                <w:color w:val="000000"/>
                <w:lang w:val="en-ID" w:eastAsia="en-ID"/>
              </w:rPr>
            </w:pPr>
            <w:bookmarkStart w:id="924" w:name="_Toc173319107"/>
            <w:r w:rsidRPr="00854A16">
              <w:rPr>
                <w:rFonts w:eastAsia="Times New Roman" w:cs="Arial"/>
                <w:color w:val="000000"/>
                <w:lang w:val="en-ID" w:eastAsia="en-ID"/>
              </w:rPr>
              <w:t>Conduct climate-smart agriculture development in Indonesia with Brawijaya University.</w:t>
            </w:r>
            <w:bookmarkEnd w:id="924"/>
          </w:p>
        </w:tc>
        <w:tc>
          <w:tcPr>
            <w:tcW w:w="0" w:type="auto"/>
          </w:tcPr>
          <w:p w14:paraId="3630E9D0" w14:textId="247CAF62" w:rsidR="00B30B11" w:rsidRPr="00854A16" w:rsidRDefault="00B30B11" w:rsidP="00EE453C">
            <w:pPr>
              <w:keepNext/>
              <w:keepLines/>
              <w:outlineLvl w:val="1"/>
              <w:rPr>
                <w:rFonts w:asciiTheme="majorHAnsi" w:eastAsia="Times New Roman" w:hAnsiTheme="majorHAnsi" w:cstheme="majorHAnsi"/>
                <w:color w:val="000000"/>
                <w:lang w:val="en-ID" w:eastAsia="en-ID"/>
              </w:rPr>
            </w:pPr>
            <w:bookmarkStart w:id="925" w:name="_Toc173319108"/>
            <w:r w:rsidRPr="00854A16">
              <w:rPr>
                <w:rFonts w:asciiTheme="majorHAnsi" w:eastAsia="Yu Gothic Light" w:hAnsiTheme="majorHAnsi" w:cstheme="majorHAnsi"/>
                <w:bCs/>
                <w:color w:val="000000"/>
                <w:lang w:val="en-ID" w:eastAsia="en-ID"/>
              </w:rPr>
              <w:t>In-depth interviews have been conducted, and preliminary findings have been reported. FGDs with stakeholders in 3 provinces are planned for July, and the final report is expected to be delivered at the beginning of August.</w:t>
            </w:r>
            <w:bookmarkEnd w:id="925"/>
          </w:p>
        </w:tc>
      </w:tr>
      <w:tr w:rsidR="00854A16" w:rsidRPr="00854A16" w14:paraId="6E2C16E5" w14:textId="77777777" w:rsidTr="5583D54B">
        <w:tc>
          <w:tcPr>
            <w:tcW w:w="0" w:type="auto"/>
            <w:vMerge/>
          </w:tcPr>
          <w:p w14:paraId="00C8942A" w14:textId="77777777" w:rsidR="00B30B11" w:rsidRPr="00854A16" w:rsidRDefault="00B30B11" w:rsidP="00EE453C">
            <w:pPr>
              <w:keepNext/>
              <w:keepLines/>
              <w:ind w:left="11"/>
              <w:outlineLvl w:val="1"/>
              <w:rPr>
                <w:rFonts w:eastAsia="Times New Roman" w:cs="Arial"/>
                <w:color w:val="000000"/>
                <w:lang w:val="en-ID" w:eastAsia="en-ID"/>
              </w:rPr>
            </w:pPr>
          </w:p>
        </w:tc>
        <w:tc>
          <w:tcPr>
            <w:tcW w:w="0" w:type="auto"/>
          </w:tcPr>
          <w:p w14:paraId="29E8C92E" w14:textId="54D36A1F" w:rsidR="00B30B11" w:rsidRPr="00854A16" w:rsidRDefault="00B30B11" w:rsidP="00EE453C">
            <w:pPr>
              <w:keepNext/>
              <w:keepLines/>
              <w:ind w:left="11"/>
              <w:outlineLvl w:val="1"/>
              <w:rPr>
                <w:rFonts w:eastAsia="Times New Roman" w:cs="Arial"/>
                <w:color w:val="000000"/>
                <w:lang w:val="en-ID" w:eastAsia="en-ID"/>
              </w:rPr>
            </w:pPr>
            <w:bookmarkStart w:id="926" w:name="_Toc173319109"/>
            <w:r w:rsidRPr="00854A16">
              <w:rPr>
                <w:rFonts w:eastAsia="Times New Roman" w:cs="Arial"/>
                <w:color w:val="000000"/>
                <w:lang w:val="en-ID" w:eastAsia="en-ID"/>
              </w:rPr>
              <w:t>GEDSI</w:t>
            </w:r>
            <w:bookmarkEnd w:id="926"/>
          </w:p>
        </w:tc>
        <w:tc>
          <w:tcPr>
            <w:tcW w:w="0" w:type="auto"/>
          </w:tcPr>
          <w:p w14:paraId="627AACD9" w14:textId="75E9FD74" w:rsidR="00B30B11" w:rsidRPr="00854A16" w:rsidRDefault="00B30B11" w:rsidP="00EE453C">
            <w:pPr>
              <w:keepNext/>
              <w:keepLines/>
              <w:ind w:left="11"/>
              <w:outlineLvl w:val="1"/>
              <w:rPr>
                <w:rFonts w:eastAsia="Times New Roman" w:cs="Arial"/>
                <w:color w:val="000000"/>
                <w:lang w:val="en-ID" w:eastAsia="en-ID"/>
              </w:rPr>
            </w:pPr>
            <w:bookmarkStart w:id="927" w:name="_Toc173319110"/>
            <w:r w:rsidRPr="00854A16">
              <w:rPr>
                <w:rFonts w:eastAsia="Times New Roman" w:cs="Arial"/>
                <w:color w:val="000000"/>
                <w:lang w:val="en-ID" w:eastAsia="en-ID"/>
              </w:rPr>
              <w:t>Support the GEDSI team in research design, projects, and producing learning.</w:t>
            </w:r>
            <w:bookmarkEnd w:id="927"/>
          </w:p>
        </w:tc>
        <w:tc>
          <w:tcPr>
            <w:tcW w:w="0" w:type="auto"/>
          </w:tcPr>
          <w:p w14:paraId="1745DC96" w14:textId="2EE1F96B" w:rsidR="00B30B11" w:rsidRPr="00854A16" w:rsidRDefault="00B30B11" w:rsidP="00EE453C">
            <w:pPr>
              <w:keepNext/>
              <w:keepLines/>
              <w:ind w:left="11"/>
              <w:outlineLvl w:val="1"/>
              <w:rPr>
                <w:rFonts w:eastAsia="Times New Roman" w:cs="Arial"/>
                <w:color w:val="000000"/>
                <w:lang w:val="en-ID" w:eastAsia="en-ID"/>
              </w:rPr>
            </w:pPr>
            <w:bookmarkStart w:id="928" w:name="_Toc173319111"/>
            <w:r w:rsidRPr="00854A16">
              <w:rPr>
                <w:rFonts w:eastAsia="Yu Gothic Light" w:cs="Arial"/>
                <w:bCs/>
                <w:color w:val="000000"/>
                <w:lang w:val="en-ID" w:eastAsia="en-ID"/>
              </w:rPr>
              <w:t>Women's Inclusive Return on Investment (WROI) research has been conducted. PRISMA collaborated with the consultant (DMUI) to conduct the research. The findings will be reported in August '24.</w:t>
            </w:r>
            <w:bookmarkEnd w:id="928"/>
          </w:p>
        </w:tc>
      </w:tr>
      <w:tr w:rsidR="00854A16" w:rsidRPr="00854A16" w14:paraId="64BBD1B3" w14:textId="77777777" w:rsidTr="5583D54B">
        <w:tc>
          <w:tcPr>
            <w:tcW w:w="0" w:type="auto"/>
            <w:vMerge/>
          </w:tcPr>
          <w:p w14:paraId="2C773612" w14:textId="77777777" w:rsidR="00B30B11" w:rsidRPr="00854A16" w:rsidRDefault="00B30B11" w:rsidP="00EE453C">
            <w:pPr>
              <w:keepNext/>
              <w:keepLines/>
              <w:ind w:left="11"/>
              <w:outlineLvl w:val="1"/>
              <w:rPr>
                <w:rFonts w:eastAsia="Times New Roman" w:cs="Arial"/>
                <w:color w:val="000000"/>
                <w:lang w:val="en-ID" w:eastAsia="en-ID"/>
              </w:rPr>
            </w:pPr>
          </w:p>
        </w:tc>
        <w:tc>
          <w:tcPr>
            <w:tcW w:w="0" w:type="auto"/>
          </w:tcPr>
          <w:p w14:paraId="74621326" w14:textId="508FA340" w:rsidR="00B30B11" w:rsidRPr="00854A16" w:rsidRDefault="00B30B11" w:rsidP="00EE453C">
            <w:pPr>
              <w:keepNext/>
              <w:keepLines/>
              <w:ind w:left="11"/>
              <w:outlineLvl w:val="1"/>
              <w:rPr>
                <w:rFonts w:eastAsia="Times New Roman" w:cs="Arial"/>
                <w:color w:val="000000"/>
                <w:lang w:val="en-ID" w:eastAsia="en-ID"/>
              </w:rPr>
            </w:pPr>
            <w:bookmarkStart w:id="929" w:name="_Toc173319112"/>
            <w:r w:rsidRPr="00854A16">
              <w:rPr>
                <w:rFonts w:eastAsia="Times New Roman" w:cs="Arial"/>
                <w:color w:val="000000"/>
                <w:lang w:val="en-ID" w:eastAsia="en-ID"/>
              </w:rPr>
              <w:t>Food security</w:t>
            </w:r>
            <w:bookmarkEnd w:id="929"/>
          </w:p>
        </w:tc>
        <w:tc>
          <w:tcPr>
            <w:tcW w:w="0" w:type="auto"/>
          </w:tcPr>
          <w:p w14:paraId="71858500" w14:textId="77777777" w:rsidR="00B30B11" w:rsidRPr="00854A16" w:rsidRDefault="00B30B11" w:rsidP="00854A16">
            <w:pPr>
              <w:keepNext/>
              <w:keepLines/>
              <w:ind w:left="49"/>
              <w:outlineLvl w:val="1"/>
              <w:rPr>
                <w:rFonts w:eastAsia="Times New Roman" w:cs="Arial"/>
                <w:color w:val="000000"/>
                <w:lang w:val="en-ID" w:eastAsia="en-ID"/>
              </w:rPr>
            </w:pPr>
            <w:bookmarkStart w:id="930" w:name="_Toc173319113"/>
            <w:r w:rsidRPr="00854A16">
              <w:rPr>
                <w:rFonts w:eastAsia="Times New Roman" w:cs="Arial"/>
                <w:color w:val="000000"/>
                <w:lang w:val="en-ID" w:eastAsia="en-ID"/>
              </w:rPr>
              <w:t>Measure the significant impacts of long-term interventions in other sectors and areas.</w:t>
            </w:r>
            <w:bookmarkEnd w:id="930"/>
            <w:r w:rsidRPr="00854A16">
              <w:rPr>
                <w:rFonts w:eastAsia="Times New Roman" w:cs="Arial"/>
                <w:color w:val="000000"/>
                <w:lang w:val="en-ID" w:eastAsia="en-ID"/>
              </w:rPr>
              <w:t xml:space="preserve">  </w:t>
            </w:r>
          </w:p>
          <w:p w14:paraId="2A4C35EE" w14:textId="15655EBB" w:rsidR="00B30B11" w:rsidRPr="00854A16" w:rsidRDefault="00B30B11" w:rsidP="00854A16">
            <w:pPr>
              <w:keepNext/>
              <w:keepLines/>
              <w:ind w:left="49"/>
              <w:outlineLvl w:val="1"/>
              <w:rPr>
                <w:rFonts w:eastAsia="Times New Roman" w:cs="Arial"/>
                <w:color w:val="000000"/>
                <w:lang w:val="en-ID" w:eastAsia="en-ID"/>
              </w:rPr>
            </w:pPr>
            <w:bookmarkStart w:id="931" w:name="_Toc173319114"/>
            <w:r w:rsidRPr="00854A16">
              <w:rPr>
                <w:rFonts w:eastAsia="Times New Roman" w:cs="Arial"/>
                <w:color w:val="000000"/>
                <w:lang w:val="en-ID" w:eastAsia="en-ID"/>
              </w:rPr>
              <w:t>Focus on areas with high levels of food insecurity (NTT</w:t>
            </w:r>
            <w:r w:rsidR="00EB24F6">
              <w:rPr>
                <w:rFonts w:eastAsia="Times New Roman" w:cs="Arial"/>
                <w:color w:val="000000"/>
                <w:lang w:val="en-ID" w:eastAsia="en-ID"/>
              </w:rPr>
              <w:t>)</w:t>
            </w:r>
            <w:r w:rsidRPr="00854A16">
              <w:rPr>
                <w:rFonts w:eastAsia="Times New Roman" w:cs="Arial"/>
                <w:color w:val="000000"/>
                <w:lang w:val="en-ID" w:eastAsia="en-ID"/>
              </w:rPr>
              <w:t xml:space="preserve"> </w:t>
            </w:r>
            <w:r w:rsidR="00EB24F6">
              <w:rPr>
                <w:rFonts w:eastAsia="Times New Roman" w:cs="Arial"/>
                <w:color w:val="000000"/>
                <w:lang w:val="en-ID" w:eastAsia="en-ID"/>
              </w:rPr>
              <w:t>have</w:t>
            </w:r>
            <w:r w:rsidRPr="00854A16">
              <w:rPr>
                <w:rFonts w:eastAsia="Times New Roman" w:cs="Arial"/>
                <w:color w:val="000000"/>
                <w:lang w:val="en-ID" w:eastAsia="en-ID"/>
              </w:rPr>
              <w:t xml:space="preserve"> the lowest food security scoring).</w:t>
            </w:r>
            <w:bookmarkEnd w:id="931"/>
          </w:p>
          <w:p w14:paraId="48BDB8B6" w14:textId="06271F3A" w:rsidR="00B30B11" w:rsidRPr="00854A16" w:rsidRDefault="00B30B11" w:rsidP="00854A16">
            <w:pPr>
              <w:keepNext/>
              <w:keepLines/>
              <w:ind w:left="49"/>
              <w:outlineLvl w:val="1"/>
              <w:rPr>
                <w:rFonts w:eastAsia="Times New Roman" w:cs="Arial"/>
                <w:color w:val="000000"/>
                <w:lang w:val="en-ID" w:eastAsia="en-ID"/>
              </w:rPr>
            </w:pPr>
            <w:bookmarkStart w:id="932" w:name="_Toc173319115"/>
            <w:r w:rsidRPr="5583D54B">
              <w:rPr>
                <w:rFonts w:eastAsia="Times New Roman" w:cs="Arial"/>
                <w:color w:val="000000" w:themeColor="text2"/>
                <w:lang w:val="en-ID" w:eastAsia="en-ID"/>
              </w:rPr>
              <w:t xml:space="preserve">Future research: </w:t>
            </w:r>
            <w:r w:rsidR="005410A9" w:rsidRPr="005410A9">
              <w:rPr>
                <w:rFonts w:eastAsia="Times New Roman" w:cs="Arial"/>
                <w:color w:val="000000" w:themeColor="text2"/>
                <w:lang w:val="en-ID" w:eastAsia="en-ID"/>
              </w:rPr>
              <w:t>beef Central Java, mung bean Central Java, mai</w:t>
            </w:r>
            <w:r w:rsidR="00A96DCD">
              <w:rPr>
                <w:rFonts w:eastAsia="Times New Roman" w:cs="Arial"/>
                <w:color w:val="000000" w:themeColor="text2"/>
                <w:lang w:val="en-ID" w:eastAsia="en-ID"/>
              </w:rPr>
              <w:t>z</w:t>
            </w:r>
            <w:r w:rsidR="005410A9" w:rsidRPr="005410A9">
              <w:rPr>
                <w:rFonts w:eastAsia="Times New Roman" w:cs="Arial"/>
                <w:color w:val="000000" w:themeColor="text2"/>
                <w:lang w:val="en-ID" w:eastAsia="en-ID"/>
              </w:rPr>
              <w:t>e NTT, and pig NTT</w:t>
            </w:r>
            <w:r w:rsidR="007341D7">
              <w:rPr>
                <w:rFonts w:eastAsia="Times New Roman" w:cs="Arial"/>
                <w:color w:val="000000" w:themeColor="text2"/>
                <w:lang w:val="en-ID" w:eastAsia="en-ID"/>
              </w:rPr>
              <w:t>.</w:t>
            </w:r>
            <w:r w:rsidR="007B4A32">
              <w:t xml:space="preserve"> </w:t>
            </w:r>
            <w:r w:rsidR="007B4A32" w:rsidRPr="007B4A32">
              <w:rPr>
                <w:rFonts w:eastAsia="Times New Roman" w:cs="Arial"/>
                <w:color w:val="000000" w:themeColor="text2"/>
                <w:lang w:val="en-ID" w:eastAsia="en-ID"/>
              </w:rPr>
              <w:t xml:space="preserve">All research will be completed by August 2024. </w:t>
            </w:r>
            <w:bookmarkEnd w:id="932"/>
          </w:p>
        </w:tc>
        <w:tc>
          <w:tcPr>
            <w:tcW w:w="0" w:type="auto"/>
          </w:tcPr>
          <w:p w14:paraId="3164025F" w14:textId="1293F4F1" w:rsidR="00B30B11" w:rsidRPr="00854A16" w:rsidRDefault="00B30B11" w:rsidP="00EE453C">
            <w:pPr>
              <w:keepNext/>
              <w:keepLines/>
              <w:ind w:left="11"/>
              <w:outlineLvl w:val="1"/>
              <w:rPr>
                <w:rFonts w:eastAsia="Times New Roman" w:cs="Arial"/>
                <w:color w:val="000000"/>
                <w:lang w:val="en-ID" w:eastAsia="en-ID"/>
              </w:rPr>
            </w:pPr>
            <w:bookmarkStart w:id="933" w:name="_Toc173319116"/>
            <w:r w:rsidRPr="00854A16">
              <w:rPr>
                <w:rFonts w:asciiTheme="majorHAnsi" w:eastAsia="Times New Roman" w:hAnsiTheme="majorHAnsi" w:cstheme="majorHAnsi"/>
                <w:color w:val="000000"/>
                <w:lang w:val="en-ID" w:eastAsia="en-ID"/>
              </w:rPr>
              <w:t>The assessment was carried out on Madura Island for beneficiaries of the maize intervention. Findings have been reviewed by food security consultants.</w:t>
            </w:r>
            <w:r w:rsidR="00F51682">
              <w:rPr>
                <w:rFonts w:asciiTheme="majorHAnsi" w:eastAsia="Times New Roman" w:hAnsiTheme="majorHAnsi" w:cstheme="majorHAnsi"/>
                <w:color w:val="000000"/>
                <w:lang w:val="en-ID" w:eastAsia="en-ID"/>
              </w:rPr>
              <w:t xml:space="preserve"> </w:t>
            </w:r>
            <w:r w:rsidRPr="00854A16">
              <w:rPr>
                <w:rFonts w:asciiTheme="majorHAnsi" w:eastAsia="Times New Roman" w:hAnsiTheme="majorHAnsi" w:cstheme="majorHAnsi"/>
                <w:color w:val="000000"/>
                <w:lang w:val="en-ID" w:eastAsia="en-ID"/>
              </w:rPr>
              <w:t>Food security studies in NTT are integrated with nutrition studies.</w:t>
            </w:r>
            <w:bookmarkEnd w:id="933"/>
          </w:p>
        </w:tc>
      </w:tr>
      <w:tr w:rsidR="00854A16" w:rsidRPr="00854A16" w14:paraId="39AB03D1" w14:textId="77777777" w:rsidTr="5583D54B">
        <w:tc>
          <w:tcPr>
            <w:tcW w:w="0" w:type="auto"/>
            <w:vMerge/>
          </w:tcPr>
          <w:p w14:paraId="14689C0B" w14:textId="77777777" w:rsidR="00B30B11" w:rsidRPr="00854A16" w:rsidRDefault="00B30B11" w:rsidP="00EE453C">
            <w:pPr>
              <w:keepNext/>
              <w:keepLines/>
              <w:ind w:left="11"/>
              <w:outlineLvl w:val="1"/>
              <w:rPr>
                <w:rFonts w:eastAsia="Times New Roman" w:cs="Arial"/>
                <w:color w:val="000000"/>
                <w:lang w:val="en-ID" w:eastAsia="en-ID"/>
              </w:rPr>
            </w:pPr>
          </w:p>
        </w:tc>
        <w:tc>
          <w:tcPr>
            <w:tcW w:w="0" w:type="auto"/>
          </w:tcPr>
          <w:p w14:paraId="0C370793" w14:textId="10EEC3DB" w:rsidR="00B30B11" w:rsidRPr="00854A16" w:rsidRDefault="00B30B11" w:rsidP="00EE453C">
            <w:pPr>
              <w:keepNext/>
              <w:keepLines/>
              <w:ind w:left="11"/>
              <w:outlineLvl w:val="1"/>
              <w:rPr>
                <w:rFonts w:eastAsia="Times New Roman" w:cs="Arial"/>
                <w:color w:val="000000"/>
                <w:lang w:val="en-ID" w:eastAsia="en-ID"/>
              </w:rPr>
            </w:pPr>
            <w:bookmarkStart w:id="934" w:name="_Toc173319117"/>
            <w:r w:rsidRPr="00854A16">
              <w:rPr>
                <w:rFonts w:eastAsia="Times New Roman" w:cs="Arial"/>
                <w:color w:val="000000"/>
                <w:lang w:val="en-ID" w:eastAsia="en-ID"/>
              </w:rPr>
              <w:t>Nutrition</w:t>
            </w:r>
            <w:bookmarkEnd w:id="934"/>
          </w:p>
        </w:tc>
        <w:tc>
          <w:tcPr>
            <w:tcW w:w="0" w:type="auto"/>
          </w:tcPr>
          <w:p w14:paraId="362A4102" w14:textId="4E6F4DD1" w:rsidR="00B30B11" w:rsidRPr="00854A16" w:rsidRDefault="00B30B11" w:rsidP="00EE453C">
            <w:pPr>
              <w:keepNext/>
              <w:keepLines/>
              <w:ind w:left="11"/>
              <w:outlineLvl w:val="1"/>
              <w:rPr>
                <w:rFonts w:eastAsia="Times New Roman" w:cs="Arial"/>
                <w:b/>
                <w:color w:val="000000"/>
                <w:lang w:val="en-ID" w:eastAsia="en-ID"/>
              </w:rPr>
            </w:pPr>
            <w:bookmarkStart w:id="935" w:name="_Toc173319118"/>
            <w:r w:rsidRPr="00854A16">
              <w:rPr>
                <w:rFonts w:eastAsia="Times New Roman" w:cs="Arial"/>
                <w:b/>
                <w:color w:val="000000"/>
                <w:lang w:val="en-ID" w:eastAsia="en-ID"/>
              </w:rPr>
              <w:t>Nutrition study</w:t>
            </w:r>
            <w:bookmarkEnd w:id="935"/>
          </w:p>
          <w:p w14:paraId="0E0CC2D2" w14:textId="3EA59434" w:rsidR="00B30B11" w:rsidRPr="00854A16" w:rsidRDefault="00B30B11" w:rsidP="00EE453C">
            <w:pPr>
              <w:keepNext/>
              <w:keepLines/>
              <w:ind w:left="11"/>
              <w:outlineLvl w:val="1"/>
              <w:rPr>
                <w:rFonts w:eastAsia="Times New Roman" w:cs="Arial"/>
                <w:color w:val="000000"/>
                <w:lang w:val="en-ID" w:eastAsia="en-ID"/>
              </w:rPr>
            </w:pPr>
            <w:bookmarkStart w:id="936" w:name="_Toc173319119"/>
            <w:r w:rsidRPr="00854A16">
              <w:rPr>
                <w:rFonts w:eastAsia="Times New Roman" w:cs="Arial"/>
                <w:color w:val="000000"/>
                <w:lang w:val="en-ID" w:eastAsia="en-ID"/>
              </w:rPr>
              <w:t>Investigate the impact of increased income in improving farming household food intake.</w:t>
            </w:r>
            <w:bookmarkEnd w:id="936"/>
          </w:p>
        </w:tc>
        <w:tc>
          <w:tcPr>
            <w:tcW w:w="0" w:type="auto"/>
          </w:tcPr>
          <w:p w14:paraId="1A9AA4A5" w14:textId="64451896" w:rsidR="00B30B11" w:rsidRPr="00854A16" w:rsidRDefault="00B30B11" w:rsidP="00EE453C">
            <w:pPr>
              <w:keepNext/>
              <w:keepLines/>
              <w:ind w:left="11"/>
              <w:outlineLvl w:val="1"/>
              <w:rPr>
                <w:rFonts w:eastAsia="Yu Gothic Light" w:cs="Arial"/>
                <w:color w:val="000000"/>
                <w:lang w:val="en-ID" w:eastAsia="en-ID"/>
              </w:rPr>
            </w:pPr>
            <w:bookmarkStart w:id="937" w:name="_Toc173319120"/>
            <w:r w:rsidRPr="00854A16">
              <w:rPr>
                <w:rFonts w:eastAsia="Yu Gothic Light" w:cs="Arial"/>
                <w:color w:val="000000"/>
                <w:lang w:val="en-ID" w:eastAsia="en-ID"/>
              </w:rPr>
              <w:t>The Dakra consultant is still finalizing the report for nutrition studies in Central Java (mungbean, beef) and NTT (pig, maize), expected to be submitted in August.</w:t>
            </w:r>
            <w:bookmarkEnd w:id="937"/>
          </w:p>
        </w:tc>
      </w:tr>
      <w:tr w:rsidR="00854A16" w:rsidRPr="00854A16" w14:paraId="64D3D95D" w14:textId="77777777" w:rsidTr="5583D54B">
        <w:tc>
          <w:tcPr>
            <w:tcW w:w="0" w:type="auto"/>
            <w:vMerge/>
          </w:tcPr>
          <w:p w14:paraId="70BE3367" w14:textId="77777777" w:rsidR="00B30B11" w:rsidRPr="00854A16" w:rsidRDefault="00B30B11" w:rsidP="00EE453C">
            <w:pPr>
              <w:keepNext/>
              <w:keepLines/>
              <w:ind w:left="11"/>
              <w:outlineLvl w:val="1"/>
              <w:rPr>
                <w:rFonts w:eastAsia="Times New Roman" w:cs="Arial"/>
                <w:color w:val="000000"/>
                <w:lang w:val="en-ID" w:eastAsia="en-ID"/>
              </w:rPr>
            </w:pPr>
          </w:p>
        </w:tc>
        <w:tc>
          <w:tcPr>
            <w:tcW w:w="0" w:type="auto"/>
          </w:tcPr>
          <w:p w14:paraId="4BC6E563" w14:textId="4F3550F8" w:rsidR="00B30B11" w:rsidRPr="00854A16" w:rsidRDefault="00B30B11" w:rsidP="00EE453C">
            <w:pPr>
              <w:keepNext/>
              <w:keepLines/>
              <w:ind w:left="11"/>
              <w:outlineLvl w:val="1"/>
              <w:rPr>
                <w:rFonts w:eastAsia="Times New Roman" w:cs="Arial"/>
                <w:color w:val="000000"/>
                <w:lang w:val="en-ID" w:eastAsia="en-ID"/>
              </w:rPr>
            </w:pPr>
            <w:bookmarkStart w:id="938" w:name="_Toc173319121"/>
            <w:r w:rsidRPr="00854A16">
              <w:rPr>
                <w:rFonts w:eastAsia="Times New Roman" w:cs="Arial"/>
                <w:color w:val="000000"/>
                <w:lang w:val="en-ID" w:eastAsia="en-ID"/>
              </w:rPr>
              <w:t>Social Impact</w:t>
            </w:r>
            <w:bookmarkEnd w:id="938"/>
          </w:p>
        </w:tc>
        <w:tc>
          <w:tcPr>
            <w:tcW w:w="0" w:type="auto"/>
          </w:tcPr>
          <w:p w14:paraId="285AE141" w14:textId="539AFD17" w:rsidR="00B30B11" w:rsidRPr="00854A16" w:rsidRDefault="00B30B11" w:rsidP="00EE453C">
            <w:pPr>
              <w:keepNext/>
              <w:keepLines/>
              <w:ind w:left="11"/>
              <w:outlineLvl w:val="1"/>
              <w:rPr>
                <w:rFonts w:eastAsia="Times New Roman" w:cs="Arial"/>
                <w:b/>
                <w:color w:val="000000"/>
                <w:lang w:val="en-ID" w:eastAsia="en-ID"/>
              </w:rPr>
            </w:pPr>
            <w:bookmarkStart w:id="939" w:name="_Toc173319122"/>
            <w:r w:rsidRPr="00854A16">
              <w:rPr>
                <w:rFonts w:eastAsia="Times New Roman" w:cs="Arial"/>
                <w:b/>
                <w:color w:val="000000"/>
                <w:lang w:val="en-ID" w:eastAsia="en-ID"/>
              </w:rPr>
              <w:t>Social impact study</w:t>
            </w:r>
            <w:bookmarkEnd w:id="939"/>
          </w:p>
          <w:p w14:paraId="41804FBB" w14:textId="159091C1" w:rsidR="00B30B11" w:rsidRPr="00854A16" w:rsidRDefault="00B30B11" w:rsidP="00854A16">
            <w:pPr>
              <w:keepNext/>
              <w:keepLines/>
              <w:ind w:left="49"/>
              <w:outlineLvl w:val="1"/>
              <w:rPr>
                <w:rFonts w:eastAsia="Times New Roman" w:cs="Arial"/>
                <w:color w:val="000000"/>
                <w:lang w:val="en-ID" w:eastAsia="en-ID"/>
              </w:rPr>
            </w:pPr>
            <w:bookmarkStart w:id="940" w:name="_Toc173319123"/>
            <w:r w:rsidRPr="00854A16">
              <w:rPr>
                <w:rFonts w:eastAsia="Times New Roman" w:cs="Arial"/>
                <w:color w:val="000000"/>
                <w:lang w:val="en-ID" w:eastAsia="en-ID"/>
              </w:rPr>
              <w:t>Investigate the impact of increased income on farmer efficacy in adopting more profitable innovations (with higher complexity or investment).</w:t>
            </w:r>
            <w:bookmarkEnd w:id="940"/>
          </w:p>
          <w:p w14:paraId="727F9FF5" w14:textId="3A44E390" w:rsidR="00B30B11" w:rsidRPr="00854A16" w:rsidRDefault="00B30B11" w:rsidP="00854A16">
            <w:pPr>
              <w:keepNext/>
              <w:keepLines/>
              <w:ind w:left="49"/>
              <w:outlineLvl w:val="1"/>
              <w:rPr>
                <w:rFonts w:eastAsia="Times New Roman" w:cs="Arial"/>
                <w:color w:val="000000"/>
                <w:lang w:val="en-ID" w:eastAsia="en-ID"/>
              </w:rPr>
            </w:pPr>
            <w:bookmarkStart w:id="941" w:name="_Toc173319124"/>
            <w:r w:rsidRPr="00854A16">
              <w:rPr>
                <w:rFonts w:eastAsia="Times New Roman" w:cs="Arial"/>
                <w:color w:val="000000"/>
                <w:lang w:val="en-ID" w:eastAsia="en-ID"/>
              </w:rPr>
              <w:t>Investigate the impact of increased income on farmers’ well-being (for example, their children’s education, debt-free status, financial security, etc.).</w:t>
            </w:r>
            <w:bookmarkEnd w:id="941"/>
          </w:p>
        </w:tc>
        <w:tc>
          <w:tcPr>
            <w:tcW w:w="0" w:type="auto"/>
          </w:tcPr>
          <w:p w14:paraId="252870D8" w14:textId="6F1B496D" w:rsidR="00B30B11" w:rsidRPr="00854A16" w:rsidRDefault="00B30B11" w:rsidP="00EE453C">
            <w:pPr>
              <w:keepNext/>
              <w:keepLines/>
              <w:outlineLvl w:val="1"/>
              <w:rPr>
                <w:rFonts w:asciiTheme="majorHAnsi" w:eastAsia="Times New Roman" w:hAnsiTheme="majorHAnsi" w:cstheme="majorHAnsi"/>
                <w:color w:val="000000"/>
                <w:lang w:val="en-ID" w:eastAsia="en-ID"/>
              </w:rPr>
            </w:pPr>
            <w:bookmarkStart w:id="942" w:name="_Toc173319125"/>
            <w:r w:rsidRPr="00854A16">
              <w:rPr>
                <w:rFonts w:asciiTheme="majorHAnsi" w:eastAsia="Times New Roman" w:hAnsiTheme="majorHAnsi" w:cstheme="majorHAnsi"/>
                <w:color w:val="000000"/>
                <w:lang w:val="en-ID" w:eastAsia="en-ID"/>
              </w:rPr>
              <w:t>The 1st study:</w:t>
            </w:r>
            <w:bookmarkEnd w:id="942"/>
          </w:p>
          <w:p w14:paraId="1B7DC53E" w14:textId="7624EA8C" w:rsidR="00B30B11" w:rsidRPr="00854A16" w:rsidRDefault="00B30B11" w:rsidP="00854A16">
            <w:pPr>
              <w:keepNext/>
              <w:keepLines/>
              <w:ind w:left="280" w:hanging="142"/>
              <w:outlineLvl w:val="1"/>
              <w:rPr>
                <w:rFonts w:asciiTheme="majorHAnsi" w:eastAsia="Times New Roman" w:hAnsiTheme="majorHAnsi" w:cstheme="majorHAnsi"/>
                <w:color w:val="000000"/>
                <w:lang w:val="en-ID" w:eastAsia="en-ID"/>
              </w:rPr>
            </w:pPr>
            <w:bookmarkStart w:id="943" w:name="_Toc173319126"/>
            <w:r w:rsidRPr="00854A16">
              <w:rPr>
                <w:rFonts w:asciiTheme="majorHAnsi" w:eastAsia="Times New Roman" w:hAnsiTheme="majorHAnsi" w:cstheme="majorHAnsi"/>
                <w:color w:val="000000"/>
                <w:lang w:val="en-ID" w:eastAsia="en-ID"/>
              </w:rPr>
              <w:t>- The study covered 4 sectors and 10 districts across 2 provinces (Central Java and East Java).</w:t>
            </w:r>
            <w:bookmarkEnd w:id="943"/>
          </w:p>
          <w:p w14:paraId="4304ACE5" w14:textId="65411E99" w:rsidR="00B30B11" w:rsidRPr="00854A16" w:rsidRDefault="00B30B11" w:rsidP="00854A16">
            <w:pPr>
              <w:keepNext/>
              <w:keepLines/>
              <w:ind w:left="280" w:hanging="142"/>
              <w:outlineLvl w:val="1"/>
              <w:rPr>
                <w:rFonts w:asciiTheme="majorHAnsi" w:eastAsia="Times New Roman" w:hAnsiTheme="majorHAnsi" w:cstheme="majorHAnsi"/>
                <w:color w:val="000000"/>
                <w:lang w:val="en-ID" w:eastAsia="en-ID"/>
              </w:rPr>
            </w:pPr>
            <w:bookmarkStart w:id="944" w:name="_Toc173319127"/>
            <w:r w:rsidRPr="00854A16">
              <w:rPr>
                <w:rFonts w:asciiTheme="majorHAnsi" w:eastAsia="Times New Roman" w:hAnsiTheme="majorHAnsi" w:cstheme="majorHAnsi"/>
                <w:color w:val="000000"/>
                <w:lang w:val="en-ID" w:eastAsia="en-ID"/>
              </w:rPr>
              <w:t>- It investigated farmer spending with 166 respondents.</w:t>
            </w:r>
            <w:bookmarkEnd w:id="944"/>
          </w:p>
          <w:p w14:paraId="2569B113" w14:textId="56810D07" w:rsidR="00B30B11" w:rsidRPr="00854A16" w:rsidRDefault="00B30B11" w:rsidP="00854A16">
            <w:pPr>
              <w:keepNext/>
              <w:keepLines/>
              <w:ind w:left="280" w:hanging="142"/>
              <w:outlineLvl w:val="1"/>
              <w:rPr>
                <w:rFonts w:asciiTheme="majorHAnsi" w:eastAsia="Times New Roman" w:hAnsiTheme="majorHAnsi" w:cstheme="majorHAnsi"/>
                <w:color w:val="000000"/>
                <w:lang w:val="en-ID" w:eastAsia="en-ID"/>
              </w:rPr>
            </w:pPr>
            <w:bookmarkStart w:id="945" w:name="_Toc173319128"/>
            <w:r w:rsidRPr="00854A16">
              <w:rPr>
                <w:rFonts w:asciiTheme="majorHAnsi" w:eastAsia="Times New Roman" w:hAnsiTheme="majorHAnsi" w:cstheme="majorHAnsi"/>
                <w:color w:val="000000"/>
                <w:lang w:val="en-ID" w:eastAsia="en-ID"/>
              </w:rPr>
              <w:t>- The findings from the 1st study have been reported in the PRIP 23s2 edition.</w:t>
            </w:r>
            <w:bookmarkEnd w:id="945"/>
          </w:p>
          <w:p w14:paraId="62BADE3F" w14:textId="77777777" w:rsidR="00B30B11" w:rsidRPr="00854A16" w:rsidRDefault="00B30B11" w:rsidP="00EE453C">
            <w:pPr>
              <w:keepNext/>
              <w:keepLines/>
              <w:ind w:left="11"/>
              <w:outlineLvl w:val="1"/>
              <w:rPr>
                <w:rFonts w:asciiTheme="majorHAnsi" w:eastAsia="Times New Roman" w:hAnsiTheme="majorHAnsi" w:cstheme="majorHAnsi"/>
                <w:color w:val="000000"/>
                <w:lang w:val="en-ID" w:eastAsia="en-ID"/>
              </w:rPr>
            </w:pPr>
          </w:p>
          <w:p w14:paraId="35ED0781" w14:textId="411B3824" w:rsidR="00B30B11" w:rsidRPr="00854A16" w:rsidRDefault="00B30B11" w:rsidP="00EE453C">
            <w:pPr>
              <w:keepNext/>
              <w:keepLines/>
              <w:ind w:left="11"/>
              <w:outlineLvl w:val="1"/>
              <w:rPr>
                <w:rFonts w:asciiTheme="majorHAnsi" w:eastAsia="Times New Roman" w:hAnsiTheme="majorHAnsi" w:cstheme="majorHAnsi"/>
                <w:color w:val="000000"/>
                <w:lang w:val="en-ID" w:eastAsia="en-ID"/>
              </w:rPr>
            </w:pPr>
            <w:bookmarkStart w:id="946" w:name="_Toc173319129"/>
            <w:r w:rsidRPr="00854A16">
              <w:rPr>
                <w:rFonts w:asciiTheme="majorHAnsi" w:eastAsia="Times New Roman" w:hAnsiTheme="majorHAnsi" w:cstheme="majorHAnsi"/>
                <w:color w:val="000000"/>
                <w:lang w:val="en-ID" w:eastAsia="en-ID"/>
              </w:rPr>
              <w:t>The 2nd study:</w:t>
            </w:r>
            <w:bookmarkEnd w:id="946"/>
          </w:p>
          <w:p w14:paraId="6145B9ED" w14:textId="58AEC381" w:rsidR="00B30B11" w:rsidRPr="00854A16" w:rsidRDefault="00B30B11" w:rsidP="00071BD4">
            <w:pPr>
              <w:keepNext/>
              <w:keepLines/>
              <w:ind w:left="280" w:hanging="142"/>
              <w:outlineLvl w:val="1"/>
              <w:rPr>
                <w:rFonts w:asciiTheme="majorHAnsi" w:eastAsia="Times New Roman" w:hAnsiTheme="majorHAnsi" w:cstheme="majorHAnsi"/>
                <w:color w:val="000000"/>
                <w:lang w:val="en-ID" w:eastAsia="en-ID"/>
              </w:rPr>
            </w:pPr>
            <w:bookmarkStart w:id="947" w:name="_Toc173319130"/>
            <w:r w:rsidRPr="00854A16">
              <w:rPr>
                <w:rFonts w:asciiTheme="majorHAnsi" w:eastAsia="Times New Roman" w:hAnsiTheme="majorHAnsi" w:cstheme="majorHAnsi"/>
                <w:color w:val="000000"/>
                <w:lang w:val="en-ID" w:eastAsia="en-ID"/>
              </w:rPr>
              <w:t>- The study covered 10 sectors and 17 districts across 4 provinces (Central Java, East Java, NTB, and NTT).</w:t>
            </w:r>
            <w:bookmarkEnd w:id="947"/>
          </w:p>
          <w:p w14:paraId="4AFA9FAD" w14:textId="64F54325" w:rsidR="00B30B11" w:rsidRPr="00854A16" w:rsidRDefault="00B30B11" w:rsidP="00071BD4">
            <w:pPr>
              <w:keepNext/>
              <w:keepLines/>
              <w:ind w:left="280" w:hanging="142"/>
              <w:outlineLvl w:val="1"/>
              <w:rPr>
                <w:rFonts w:asciiTheme="majorHAnsi" w:eastAsia="Times New Roman" w:hAnsiTheme="majorHAnsi" w:cstheme="majorHAnsi"/>
                <w:color w:val="000000"/>
                <w:lang w:val="en-ID" w:eastAsia="en-ID"/>
              </w:rPr>
            </w:pPr>
            <w:bookmarkStart w:id="948" w:name="_Toc173319131"/>
            <w:r w:rsidRPr="00854A16">
              <w:rPr>
                <w:rFonts w:asciiTheme="majorHAnsi" w:eastAsia="Times New Roman" w:hAnsiTheme="majorHAnsi" w:cstheme="majorHAnsi"/>
                <w:color w:val="000000"/>
                <w:lang w:val="en-ID" w:eastAsia="en-ID"/>
              </w:rPr>
              <w:lastRenderedPageBreak/>
              <w:t>- It targeted locations where farmers benefited from multiple innovations introduced by PRISMA, with 392 respondents.</w:t>
            </w:r>
            <w:bookmarkEnd w:id="948"/>
          </w:p>
          <w:p w14:paraId="0BCC7CE1" w14:textId="22DF0174" w:rsidR="00B30B11" w:rsidRPr="00854A16" w:rsidRDefault="00B30B11" w:rsidP="00071BD4">
            <w:pPr>
              <w:keepNext/>
              <w:keepLines/>
              <w:ind w:left="280" w:hanging="142"/>
              <w:outlineLvl w:val="1"/>
              <w:rPr>
                <w:rFonts w:asciiTheme="majorHAnsi" w:eastAsia="Times New Roman" w:hAnsiTheme="majorHAnsi" w:cstheme="majorHAnsi"/>
                <w:color w:val="000000"/>
                <w:lang w:val="en-ID" w:eastAsia="en-ID"/>
              </w:rPr>
            </w:pPr>
            <w:bookmarkStart w:id="949" w:name="_Toc173319132"/>
            <w:r w:rsidRPr="00854A16">
              <w:rPr>
                <w:rFonts w:asciiTheme="majorHAnsi" w:eastAsia="Times New Roman" w:hAnsiTheme="majorHAnsi" w:cstheme="majorHAnsi"/>
                <w:color w:val="000000"/>
                <w:lang w:val="en-ID" w:eastAsia="en-ID"/>
              </w:rPr>
              <w:t>- The survey also measured how households spent income from adopting innovations introduced by PRISMA interventions from 2019 to 2023.</w:t>
            </w:r>
            <w:bookmarkEnd w:id="949"/>
          </w:p>
          <w:p w14:paraId="3EDF6CB9" w14:textId="0D3A4EB2" w:rsidR="00B30B11" w:rsidRPr="00854A16" w:rsidRDefault="00B30B11" w:rsidP="00071BD4">
            <w:pPr>
              <w:keepNext/>
              <w:keepLines/>
              <w:ind w:left="280" w:hanging="142"/>
              <w:outlineLvl w:val="1"/>
              <w:rPr>
                <w:rFonts w:asciiTheme="majorHAnsi" w:eastAsia="Times New Roman" w:hAnsiTheme="majorHAnsi" w:cstheme="majorHAnsi"/>
                <w:color w:val="000000"/>
                <w:lang w:val="en-ID" w:eastAsia="en-ID"/>
              </w:rPr>
            </w:pPr>
            <w:bookmarkStart w:id="950" w:name="_Toc173319133"/>
            <w:r w:rsidRPr="00854A16">
              <w:rPr>
                <w:rFonts w:asciiTheme="majorHAnsi" w:eastAsia="Times New Roman" w:hAnsiTheme="majorHAnsi" w:cstheme="majorHAnsi"/>
                <w:color w:val="000000"/>
                <w:lang w:val="en-ID" w:eastAsia="en-ID"/>
              </w:rPr>
              <w:t>- Impact beyond income, such as additional free time, was also measured in the survey.</w:t>
            </w:r>
            <w:bookmarkEnd w:id="950"/>
          </w:p>
          <w:p w14:paraId="1C5ADCC3" w14:textId="7D112CB3" w:rsidR="00B30B11" w:rsidRPr="00854A16" w:rsidRDefault="00B30B11" w:rsidP="00071BD4">
            <w:pPr>
              <w:keepNext/>
              <w:keepLines/>
              <w:ind w:left="280" w:hanging="142"/>
              <w:outlineLvl w:val="1"/>
              <w:rPr>
                <w:rFonts w:eastAsia="Times New Roman" w:cs="Arial"/>
                <w:color w:val="000000"/>
                <w:lang w:val="en-ID" w:eastAsia="en-ID"/>
              </w:rPr>
            </w:pPr>
            <w:bookmarkStart w:id="951" w:name="_Toc173319134"/>
            <w:r w:rsidRPr="5583D54B">
              <w:rPr>
                <w:rFonts w:asciiTheme="majorHAnsi" w:eastAsia="Times New Roman" w:hAnsiTheme="majorHAnsi" w:cstheme="majorBidi"/>
                <w:color w:val="000000" w:themeColor="text2"/>
                <w:lang w:val="en-ID" w:eastAsia="en-ID"/>
              </w:rPr>
              <w:t>- The findings from the 2nd study will be reported in August '24.</w:t>
            </w:r>
            <w:bookmarkEnd w:id="951"/>
          </w:p>
        </w:tc>
      </w:tr>
      <w:tr w:rsidR="00854A16" w:rsidRPr="00854A16" w14:paraId="393F3AE2" w14:textId="77777777" w:rsidTr="5583D54B">
        <w:tc>
          <w:tcPr>
            <w:tcW w:w="0" w:type="auto"/>
          </w:tcPr>
          <w:p w14:paraId="2E46AB4A" w14:textId="61C05351" w:rsidR="00B30B11" w:rsidRPr="00854A16" w:rsidRDefault="00B30B11" w:rsidP="00EE453C">
            <w:pPr>
              <w:keepNext/>
              <w:keepLines/>
              <w:ind w:left="11"/>
              <w:outlineLvl w:val="1"/>
              <w:rPr>
                <w:rFonts w:eastAsia="Times New Roman" w:cs="Arial"/>
                <w:color w:val="000000"/>
                <w:lang w:val="en-ID" w:eastAsia="en-ID"/>
              </w:rPr>
            </w:pPr>
            <w:bookmarkStart w:id="952" w:name="_Toc173319135"/>
            <w:r w:rsidRPr="00854A16">
              <w:rPr>
                <w:rFonts w:eastAsia="Times New Roman" w:cs="Arial"/>
                <w:color w:val="000000"/>
                <w:lang w:val="en-ID" w:eastAsia="en-ID"/>
              </w:rPr>
              <w:lastRenderedPageBreak/>
              <w:t>Supporting the sector</w:t>
            </w:r>
            <w:r w:rsidRPr="00854A16">
              <w:rPr>
                <w:rFonts w:eastAsia="Times New Roman" w:cs="Arial"/>
                <w:color w:val="000000"/>
                <w:lang w:val="en-ID" w:eastAsia="en-ID"/>
              </w:rPr>
              <w:br/>
              <w:t>exit strategy</w:t>
            </w:r>
            <w:bookmarkEnd w:id="952"/>
          </w:p>
        </w:tc>
        <w:tc>
          <w:tcPr>
            <w:tcW w:w="0" w:type="auto"/>
          </w:tcPr>
          <w:p w14:paraId="6825FBF0" w14:textId="77777777" w:rsidR="00B30B11" w:rsidRPr="00854A16" w:rsidRDefault="00B30B11" w:rsidP="00EE453C">
            <w:pPr>
              <w:keepNext/>
              <w:keepLines/>
              <w:ind w:left="11"/>
              <w:outlineLvl w:val="1"/>
              <w:rPr>
                <w:rFonts w:eastAsia="Times New Roman" w:cs="Arial"/>
                <w:color w:val="000000"/>
                <w:lang w:val="en-ID" w:eastAsia="en-ID"/>
              </w:rPr>
            </w:pPr>
            <w:bookmarkStart w:id="953" w:name="_Toc173319136"/>
            <w:r w:rsidRPr="00854A16">
              <w:rPr>
                <w:rFonts w:eastAsia="Times New Roman" w:cs="Arial"/>
                <w:color w:val="000000"/>
                <w:lang w:val="en-ID" w:eastAsia="en-ID"/>
              </w:rPr>
              <w:t>All sectors</w:t>
            </w:r>
            <w:bookmarkEnd w:id="953"/>
            <w:r w:rsidRPr="00854A16">
              <w:rPr>
                <w:rFonts w:eastAsia="Times New Roman" w:cs="Arial"/>
                <w:color w:val="000000"/>
                <w:lang w:val="en-ID" w:eastAsia="en-ID"/>
              </w:rPr>
              <w:t xml:space="preserve"> </w:t>
            </w:r>
          </w:p>
        </w:tc>
        <w:tc>
          <w:tcPr>
            <w:tcW w:w="0" w:type="auto"/>
          </w:tcPr>
          <w:p w14:paraId="143F2006" w14:textId="3957F5B6" w:rsidR="00B30B11" w:rsidRDefault="00B30B11" w:rsidP="00854A16">
            <w:pPr>
              <w:keepNext/>
              <w:keepLines/>
              <w:ind w:left="49"/>
              <w:outlineLvl w:val="1"/>
              <w:rPr>
                <w:rFonts w:eastAsia="Times New Roman" w:cs="Arial"/>
                <w:color w:val="000000"/>
                <w:lang w:val="en-ID" w:eastAsia="en-ID"/>
              </w:rPr>
            </w:pPr>
            <w:bookmarkStart w:id="954" w:name="_Toc173319137"/>
            <w:r w:rsidRPr="00854A16">
              <w:rPr>
                <w:rFonts w:eastAsia="Times New Roman" w:cs="Arial"/>
                <w:color w:val="000000"/>
                <w:lang w:val="en-ID" w:eastAsia="en-ID"/>
              </w:rPr>
              <w:t>Conduct research to support the sector exit strategy.</w:t>
            </w:r>
            <w:bookmarkEnd w:id="954"/>
          </w:p>
          <w:p w14:paraId="23465970" w14:textId="77777777" w:rsidR="00854A16" w:rsidRPr="00854A16" w:rsidRDefault="00854A16" w:rsidP="00854A16">
            <w:pPr>
              <w:keepNext/>
              <w:keepLines/>
              <w:ind w:left="49"/>
              <w:outlineLvl w:val="1"/>
              <w:rPr>
                <w:rFonts w:eastAsia="Times New Roman" w:cs="Arial"/>
                <w:color w:val="000000"/>
                <w:lang w:val="en-ID" w:eastAsia="en-ID"/>
              </w:rPr>
            </w:pPr>
          </w:p>
          <w:p w14:paraId="54BC46FE" w14:textId="4715FEE2" w:rsidR="00B30B11" w:rsidRPr="00854A16" w:rsidRDefault="00B30B11" w:rsidP="00854A16">
            <w:pPr>
              <w:keepNext/>
              <w:keepLines/>
              <w:ind w:left="49"/>
              <w:outlineLvl w:val="1"/>
              <w:rPr>
                <w:rFonts w:eastAsia="Times New Roman" w:cs="Arial"/>
                <w:color w:val="000000"/>
                <w:lang w:val="en-ID" w:eastAsia="en-ID"/>
              </w:rPr>
            </w:pPr>
            <w:bookmarkStart w:id="955" w:name="_Toc173319138"/>
            <w:r w:rsidRPr="00854A16">
              <w:rPr>
                <w:rFonts w:eastAsia="Times New Roman" w:cs="Arial"/>
                <w:color w:val="000000"/>
                <w:lang w:val="en-ID" w:eastAsia="en-ID"/>
              </w:rPr>
              <w:t>Conduct research or analyse the market system changes in the strategy table.</w:t>
            </w:r>
            <w:bookmarkEnd w:id="955"/>
          </w:p>
          <w:p w14:paraId="602772A6" w14:textId="6D490392" w:rsidR="00854A16" w:rsidRDefault="00B30B11" w:rsidP="00854A16">
            <w:pPr>
              <w:keepNext/>
              <w:keepLines/>
              <w:ind w:left="49"/>
              <w:outlineLvl w:val="1"/>
              <w:rPr>
                <w:rFonts w:eastAsia="Times New Roman" w:cs="Arial"/>
                <w:color w:val="000000"/>
                <w:lang w:val="en-ID" w:eastAsia="en-ID"/>
              </w:rPr>
            </w:pPr>
            <w:bookmarkStart w:id="956" w:name="_Toc173319139"/>
            <w:r w:rsidRPr="00854A16">
              <w:rPr>
                <w:rFonts w:eastAsia="Times New Roman" w:cs="Arial"/>
                <w:color w:val="000000"/>
                <w:lang w:val="en-ID" w:eastAsia="en-ID"/>
              </w:rPr>
              <w:t>Support market system resilience by supporting the sector, especially through knowledge-sharing activities.</w:t>
            </w:r>
            <w:bookmarkEnd w:id="956"/>
          </w:p>
          <w:p w14:paraId="55FC5CAF" w14:textId="63266BA5" w:rsidR="00B30B11" w:rsidRPr="00854A16" w:rsidRDefault="00B30B11" w:rsidP="00854A16">
            <w:pPr>
              <w:keepNext/>
              <w:keepLines/>
              <w:ind w:left="49"/>
              <w:outlineLvl w:val="1"/>
              <w:rPr>
                <w:rFonts w:eastAsia="Times New Roman" w:cs="Arial"/>
                <w:color w:val="000000"/>
                <w:lang w:val="en-ID" w:eastAsia="en-ID"/>
              </w:rPr>
            </w:pPr>
            <w:r w:rsidRPr="00854A16">
              <w:rPr>
                <w:rFonts w:eastAsia="Times New Roman" w:cs="Arial"/>
                <w:color w:val="000000"/>
                <w:lang w:val="en-ID" w:eastAsia="en-ID"/>
              </w:rPr>
              <w:br/>
            </w:r>
            <w:bookmarkStart w:id="957" w:name="_Toc173319140"/>
            <w:r w:rsidRPr="00854A16">
              <w:rPr>
                <w:rFonts w:eastAsia="Times New Roman" w:cs="Arial"/>
                <w:color w:val="000000"/>
                <w:lang w:val="en-ID" w:eastAsia="en-ID"/>
              </w:rPr>
              <w:t>Support the sector team in producing materials on lessons learned.</w:t>
            </w:r>
            <w:bookmarkEnd w:id="957"/>
          </w:p>
        </w:tc>
        <w:tc>
          <w:tcPr>
            <w:tcW w:w="0" w:type="auto"/>
          </w:tcPr>
          <w:p w14:paraId="4D7C7A51" w14:textId="2E639573" w:rsidR="00B30B11" w:rsidRPr="00854A16" w:rsidRDefault="00B30B11" w:rsidP="00071BD4">
            <w:pPr>
              <w:keepNext/>
              <w:keepLines/>
              <w:ind w:left="280" w:hanging="142"/>
              <w:outlineLvl w:val="1"/>
              <w:rPr>
                <w:rFonts w:asciiTheme="majorHAnsi" w:eastAsia="Times New Roman" w:hAnsiTheme="majorHAnsi" w:cstheme="majorHAnsi"/>
                <w:color w:val="000000" w:themeColor="text2"/>
                <w:lang w:val="en-ID" w:eastAsia="en-ID"/>
              </w:rPr>
            </w:pPr>
            <w:bookmarkStart w:id="958" w:name="_Toc173319141"/>
            <w:r w:rsidRPr="00854A16">
              <w:rPr>
                <w:rFonts w:asciiTheme="majorHAnsi" w:eastAsia="Times New Roman" w:hAnsiTheme="majorHAnsi" w:cstheme="majorHAnsi"/>
                <w:color w:val="000000" w:themeColor="text2"/>
                <w:lang w:val="en-ID" w:eastAsia="en-ID"/>
              </w:rPr>
              <w:t xml:space="preserve">- </w:t>
            </w:r>
            <w:r w:rsidRPr="00854A16">
              <w:rPr>
                <w:rFonts w:asciiTheme="majorHAnsi" w:eastAsia="Times New Roman" w:hAnsiTheme="majorHAnsi" w:cstheme="majorHAnsi"/>
                <w:b/>
                <w:bCs/>
                <w:color w:val="000000" w:themeColor="text2"/>
                <w:lang w:val="en-ID" w:eastAsia="en-ID"/>
              </w:rPr>
              <w:t>Smart subsidy:</w:t>
            </w:r>
            <w:r w:rsidRPr="00854A16">
              <w:rPr>
                <w:rFonts w:asciiTheme="majorHAnsi" w:eastAsia="Times New Roman" w:hAnsiTheme="majorHAnsi" w:cstheme="majorHAnsi"/>
                <w:color w:val="000000" w:themeColor="text2"/>
                <w:lang w:val="en-ID" w:eastAsia="en-ID"/>
              </w:rPr>
              <w:t xml:space="preserve"> The Central Java Agriculture and Plantation Office and Sumenep DKPP: RML have received support from the Central Java Provincial Agriculture and Plantation Office and the Sumenep DKPP to create an index for hybrid maize market strength and visualize this data through a PowerBI™ dashboard. These tools will aid in implementing smart subsidies in these areas.</w:t>
            </w:r>
            <w:bookmarkEnd w:id="958"/>
          </w:p>
          <w:p w14:paraId="3B6D5FF9" w14:textId="41FC85FC" w:rsidR="00B30B11" w:rsidRPr="00854A16" w:rsidRDefault="00B30B11" w:rsidP="00071BD4">
            <w:pPr>
              <w:keepNext/>
              <w:keepLines/>
              <w:ind w:left="280" w:hanging="142"/>
              <w:outlineLvl w:val="1"/>
              <w:rPr>
                <w:rFonts w:asciiTheme="majorHAnsi" w:eastAsia="Times New Roman" w:hAnsiTheme="majorHAnsi" w:cstheme="majorHAnsi"/>
                <w:color w:val="000000" w:themeColor="text2"/>
                <w:lang w:val="en-ID" w:eastAsia="en-ID"/>
              </w:rPr>
            </w:pPr>
            <w:bookmarkStart w:id="959" w:name="_Toc173319142"/>
            <w:r w:rsidRPr="00854A16">
              <w:rPr>
                <w:rFonts w:asciiTheme="majorHAnsi" w:eastAsia="Times New Roman" w:hAnsiTheme="majorHAnsi" w:cstheme="majorHAnsi"/>
                <w:color w:val="000000" w:themeColor="text2"/>
                <w:lang w:val="en-ID" w:eastAsia="en-ID"/>
              </w:rPr>
              <w:t xml:space="preserve">- </w:t>
            </w:r>
            <w:r w:rsidRPr="00854A16">
              <w:rPr>
                <w:rFonts w:asciiTheme="majorHAnsi" w:eastAsia="Times New Roman" w:hAnsiTheme="majorHAnsi" w:cstheme="majorHAnsi"/>
                <w:b/>
                <w:bCs/>
                <w:color w:val="000000" w:themeColor="text2"/>
                <w:lang w:val="en-ID" w:eastAsia="en-ID"/>
              </w:rPr>
              <w:t>Bappenas Training:</w:t>
            </w:r>
            <w:r w:rsidRPr="00854A16">
              <w:rPr>
                <w:rFonts w:asciiTheme="majorHAnsi" w:eastAsia="Times New Roman" w:hAnsiTheme="majorHAnsi" w:cstheme="majorHAnsi"/>
                <w:color w:val="000000" w:themeColor="text2"/>
                <w:lang w:val="en-ID" w:eastAsia="en-ID"/>
              </w:rPr>
              <w:t xml:space="preserve"> PRISMA conducted an MSD training for participants from Bappenas, the Ministry of Agriculture, Bappeda in Central Java, NTT, and NTB provinces, the Sumenep District Food Security and Agriculture Service, the Manokwari District Village Community Empowerment Service, the Bogor Agricultural Institute, Gadjah Mada University, Brawijaya University, and Nahdlatul Wathan University. The training has been completed, and feedback on participation has been compiled. The participants are committed to developing a curriculum and learning materials based on the market systems development approach, which will be launched in the upcoming semester.</w:t>
            </w:r>
            <w:bookmarkEnd w:id="959"/>
          </w:p>
          <w:p w14:paraId="6E07B888" w14:textId="57DFEBE7" w:rsidR="00B30B11" w:rsidRPr="00854A16" w:rsidRDefault="00B30B11" w:rsidP="00071BD4">
            <w:pPr>
              <w:keepNext/>
              <w:keepLines/>
              <w:ind w:left="280" w:hanging="142"/>
              <w:outlineLvl w:val="1"/>
              <w:rPr>
                <w:rFonts w:asciiTheme="majorHAnsi" w:eastAsia="Times New Roman" w:hAnsiTheme="majorHAnsi" w:cstheme="majorHAnsi"/>
                <w:color w:val="000000" w:themeColor="text2"/>
                <w:lang w:val="en-ID" w:eastAsia="en-ID"/>
              </w:rPr>
            </w:pPr>
            <w:bookmarkStart w:id="960" w:name="_Toc173319143"/>
            <w:r w:rsidRPr="00854A16">
              <w:rPr>
                <w:rFonts w:asciiTheme="majorHAnsi" w:eastAsia="Times New Roman" w:hAnsiTheme="majorHAnsi" w:cstheme="majorHAnsi"/>
                <w:color w:val="000000" w:themeColor="text2"/>
                <w:lang w:val="en-ID" w:eastAsia="en-ID"/>
              </w:rPr>
              <w:t xml:space="preserve">- </w:t>
            </w:r>
            <w:r w:rsidRPr="00854A16">
              <w:rPr>
                <w:rFonts w:asciiTheme="majorHAnsi" w:eastAsia="Times New Roman" w:hAnsiTheme="majorHAnsi" w:cstheme="majorHAnsi"/>
                <w:b/>
                <w:bCs/>
                <w:color w:val="000000" w:themeColor="text2"/>
                <w:lang w:val="en-ID" w:eastAsia="en-ID"/>
              </w:rPr>
              <w:t>RPJMD NTT:</w:t>
            </w:r>
            <w:r w:rsidRPr="00854A16">
              <w:rPr>
                <w:rFonts w:asciiTheme="majorHAnsi" w:eastAsia="Times New Roman" w:hAnsiTheme="majorHAnsi" w:cstheme="majorHAnsi"/>
                <w:color w:val="000000" w:themeColor="text2"/>
                <w:lang w:val="en-ID" w:eastAsia="en-ID"/>
              </w:rPr>
              <w:t xml:space="preserve"> PRISMA is supporting the NTT government in developing a background study on the agricultural sector to inform its upcoming RPJMD policy planning process. PRISMA's support includes an evidence-based approach to policymaking with focus group discussions and other evidence and data-gathering activities.</w:t>
            </w:r>
            <w:bookmarkEnd w:id="960"/>
          </w:p>
        </w:tc>
      </w:tr>
      <w:tr w:rsidR="00854A16" w:rsidRPr="00854A16" w14:paraId="787EA9ED" w14:textId="77777777" w:rsidTr="5583D54B">
        <w:tc>
          <w:tcPr>
            <w:tcW w:w="0" w:type="auto"/>
          </w:tcPr>
          <w:p w14:paraId="49C2C525" w14:textId="19AF4C5E" w:rsidR="00B30B11" w:rsidRPr="00854A16" w:rsidRDefault="00B30B11" w:rsidP="00EE453C">
            <w:pPr>
              <w:keepNext/>
              <w:keepLines/>
              <w:ind w:left="11"/>
              <w:outlineLvl w:val="1"/>
              <w:rPr>
                <w:rFonts w:eastAsia="Times New Roman" w:cs="Arial"/>
                <w:color w:val="000000"/>
                <w:lang w:val="en-ID" w:eastAsia="en-ID"/>
              </w:rPr>
            </w:pPr>
            <w:bookmarkStart w:id="961" w:name="_Toc173319144"/>
            <w:r w:rsidRPr="00854A16">
              <w:rPr>
                <w:rFonts w:eastAsia="Times New Roman" w:cs="Arial"/>
                <w:color w:val="000000"/>
                <w:lang w:val="en-ID" w:eastAsia="en-ID"/>
              </w:rPr>
              <w:lastRenderedPageBreak/>
              <w:t>Completion report</w:t>
            </w:r>
            <w:bookmarkEnd w:id="961"/>
          </w:p>
        </w:tc>
        <w:tc>
          <w:tcPr>
            <w:tcW w:w="0" w:type="auto"/>
          </w:tcPr>
          <w:p w14:paraId="5011FC80" w14:textId="77777777" w:rsidR="00B30B11" w:rsidRPr="00854A16" w:rsidRDefault="00B30B11" w:rsidP="00EE453C">
            <w:pPr>
              <w:keepNext/>
              <w:keepLines/>
              <w:ind w:left="11"/>
              <w:outlineLvl w:val="1"/>
              <w:rPr>
                <w:rFonts w:eastAsia="Times New Roman" w:cs="Arial"/>
                <w:color w:val="000000"/>
                <w:lang w:val="en-ID" w:eastAsia="en-ID"/>
              </w:rPr>
            </w:pPr>
            <w:bookmarkStart w:id="962" w:name="_Toc173319145"/>
            <w:r w:rsidRPr="00854A16">
              <w:rPr>
                <w:rFonts w:eastAsia="Times New Roman" w:cs="Arial"/>
                <w:color w:val="000000"/>
                <w:lang w:val="en-ID" w:eastAsia="en-ID"/>
              </w:rPr>
              <w:t>Activity completion</w:t>
            </w:r>
            <w:r w:rsidRPr="00854A16">
              <w:rPr>
                <w:rFonts w:eastAsia="Times New Roman" w:cs="Arial"/>
                <w:color w:val="000000"/>
                <w:lang w:val="en-ID" w:eastAsia="en-ID"/>
              </w:rPr>
              <w:br/>
              <w:t>report</w:t>
            </w:r>
            <w:bookmarkEnd w:id="962"/>
            <w:r w:rsidRPr="00854A16">
              <w:rPr>
                <w:rFonts w:eastAsia="Times New Roman" w:cs="Arial"/>
                <w:color w:val="000000"/>
                <w:lang w:val="en-ID" w:eastAsia="en-ID"/>
              </w:rPr>
              <w:t xml:space="preserve"> </w:t>
            </w:r>
          </w:p>
        </w:tc>
        <w:tc>
          <w:tcPr>
            <w:tcW w:w="0" w:type="auto"/>
          </w:tcPr>
          <w:p w14:paraId="5D108F18" w14:textId="11CB41D6" w:rsidR="00B30B11" w:rsidRPr="00854A16" w:rsidRDefault="00B30B11" w:rsidP="00EE453C">
            <w:pPr>
              <w:keepNext/>
              <w:keepLines/>
              <w:ind w:left="11"/>
              <w:outlineLvl w:val="1"/>
              <w:rPr>
                <w:rFonts w:eastAsia="Times New Roman" w:cs="Arial"/>
                <w:b/>
                <w:color w:val="000000"/>
                <w:lang w:val="en-ID" w:eastAsia="en-ID"/>
              </w:rPr>
            </w:pPr>
            <w:bookmarkStart w:id="963" w:name="_Toc173319146"/>
            <w:r w:rsidRPr="00854A16">
              <w:rPr>
                <w:rFonts w:eastAsia="Times New Roman" w:cs="Arial"/>
                <w:b/>
                <w:color w:val="000000"/>
                <w:lang w:val="en-ID" w:eastAsia="en-ID"/>
              </w:rPr>
              <w:t>Support management to produce high-quality activity completion reports:</w:t>
            </w:r>
            <w:bookmarkEnd w:id="963"/>
          </w:p>
          <w:p w14:paraId="5F4E6854" w14:textId="4FF3EDE1" w:rsidR="00B30B11" w:rsidRPr="00854A16" w:rsidRDefault="00B30B11" w:rsidP="00854A16">
            <w:pPr>
              <w:keepNext/>
              <w:keepLines/>
              <w:ind w:left="49"/>
              <w:outlineLvl w:val="1"/>
              <w:rPr>
                <w:rFonts w:eastAsia="Times New Roman" w:cs="Arial"/>
                <w:b/>
                <w:color w:val="000000"/>
                <w:lang w:val="en-ID" w:eastAsia="en-ID"/>
              </w:rPr>
            </w:pPr>
            <w:bookmarkStart w:id="964" w:name="_Toc173319147"/>
            <w:r w:rsidRPr="00854A16">
              <w:rPr>
                <w:rFonts w:eastAsia="Times New Roman" w:cs="Arial"/>
                <w:color w:val="000000"/>
                <w:lang w:val="en-ID" w:eastAsia="en-ID"/>
              </w:rPr>
              <w:t>Support in self-evaluation matrix.</w:t>
            </w:r>
            <w:bookmarkEnd w:id="964"/>
          </w:p>
          <w:p w14:paraId="5E054BD6" w14:textId="047C4EDF" w:rsidR="00B30B11" w:rsidRPr="00854A16" w:rsidRDefault="00B30B11" w:rsidP="00854A16">
            <w:pPr>
              <w:keepNext/>
              <w:keepLines/>
              <w:ind w:left="49"/>
              <w:outlineLvl w:val="1"/>
              <w:rPr>
                <w:rFonts w:eastAsia="Times New Roman" w:cs="Arial"/>
                <w:b/>
                <w:color w:val="000000"/>
                <w:lang w:val="en-ID" w:eastAsia="en-ID"/>
              </w:rPr>
            </w:pPr>
            <w:bookmarkStart w:id="965" w:name="_Toc173319148"/>
            <w:r w:rsidRPr="00854A16">
              <w:rPr>
                <w:rFonts w:eastAsia="Times New Roman" w:cs="Arial"/>
                <w:color w:val="000000"/>
                <w:lang w:val="en-ID" w:eastAsia="en-ID"/>
              </w:rPr>
              <w:t>Support in collecting multiple lines of evidence</w:t>
            </w:r>
            <w:bookmarkEnd w:id="965"/>
          </w:p>
        </w:tc>
        <w:tc>
          <w:tcPr>
            <w:tcW w:w="0" w:type="auto"/>
          </w:tcPr>
          <w:p w14:paraId="0C3B2B1C" w14:textId="38B9B4AB" w:rsidR="00B30B11" w:rsidRPr="00854A16" w:rsidRDefault="00B30B11" w:rsidP="00071BD4">
            <w:pPr>
              <w:pStyle w:val="ListParagraph"/>
              <w:keepNext/>
              <w:keepLines/>
              <w:numPr>
                <w:ilvl w:val="0"/>
                <w:numId w:val="39"/>
              </w:numPr>
              <w:ind w:left="442"/>
              <w:outlineLvl w:val="1"/>
              <w:rPr>
                <w:rFonts w:asciiTheme="majorHAnsi" w:eastAsia="Times New Roman" w:hAnsiTheme="majorHAnsi" w:cstheme="majorHAnsi"/>
                <w:color w:val="000000"/>
                <w:lang w:val="en-ID" w:eastAsia="en-ID"/>
              </w:rPr>
            </w:pPr>
            <w:bookmarkStart w:id="966" w:name="_Toc173319149"/>
            <w:r w:rsidRPr="00854A16">
              <w:rPr>
                <w:rFonts w:asciiTheme="majorHAnsi" w:eastAsia="Times New Roman" w:hAnsiTheme="majorHAnsi" w:cstheme="majorHAnsi"/>
                <w:color w:val="000000"/>
                <w:lang w:val="en-ID" w:eastAsia="en-ID"/>
              </w:rPr>
              <w:t>PRISMA began self-evaluating the project completion report by mapping FIMR indicators with evidence quality.</w:t>
            </w:r>
            <w:bookmarkEnd w:id="966"/>
          </w:p>
          <w:p w14:paraId="54F186E5" w14:textId="52570111" w:rsidR="00B30B11" w:rsidRPr="00854A16" w:rsidRDefault="00B30B11" w:rsidP="00071BD4">
            <w:pPr>
              <w:pStyle w:val="ListParagraph"/>
              <w:keepNext/>
              <w:keepLines/>
              <w:numPr>
                <w:ilvl w:val="0"/>
                <w:numId w:val="39"/>
              </w:numPr>
              <w:ind w:left="442"/>
              <w:outlineLvl w:val="1"/>
              <w:rPr>
                <w:rFonts w:asciiTheme="majorHAnsi" w:eastAsia="Times New Roman" w:hAnsiTheme="majorHAnsi" w:cstheme="majorHAnsi"/>
                <w:color w:val="000000"/>
                <w:lang w:val="en-ID" w:eastAsia="en-ID"/>
              </w:rPr>
            </w:pPr>
            <w:bookmarkStart w:id="967" w:name="_Toc173319150"/>
            <w:r w:rsidRPr="00854A16">
              <w:rPr>
                <w:rFonts w:asciiTheme="majorHAnsi" w:eastAsia="Times New Roman" w:hAnsiTheme="majorHAnsi" w:cstheme="majorHAnsi"/>
                <w:color w:val="000000"/>
                <w:lang w:val="en-ID" w:eastAsia="en-ID"/>
              </w:rPr>
              <w:t>PRISMA works with a consultant to evaluate the evidence against FIMR indicators and decide if program achievement needs stronger evidence.</w:t>
            </w:r>
            <w:bookmarkEnd w:id="967"/>
          </w:p>
          <w:p w14:paraId="50D0E219" w14:textId="70AB50DE" w:rsidR="00B30B11" w:rsidRPr="00071BD4" w:rsidRDefault="00B30B11" w:rsidP="00071BD4">
            <w:pPr>
              <w:pStyle w:val="ListParagraph"/>
              <w:keepNext/>
              <w:keepLines/>
              <w:numPr>
                <w:ilvl w:val="0"/>
                <w:numId w:val="39"/>
              </w:numPr>
              <w:ind w:left="442"/>
              <w:outlineLvl w:val="1"/>
              <w:rPr>
                <w:rFonts w:eastAsia="Times New Roman" w:cs="Arial"/>
                <w:color w:val="000000"/>
                <w:lang w:val="en-ID" w:eastAsia="en-ID"/>
              </w:rPr>
            </w:pPr>
            <w:bookmarkStart w:id="968" w:name="_Toc173319151"/>
            <w:r w:rsidRPr="00071BD4">
              <w:rPr>
                <w:rFonts w:asciiTheme="majorHAnsi" w:eastAsia="Times New Roman" w:hAnsiTheme="majorHAnsi" w:cstheme="majorHAnsi"/>
                <w:color w:val="000000"/>
                <w:lang w:val="en-ID" w:eastAsia="en-ID"/>
              </w:rPr>
              <w:t>PRISMA will collect more evidence if needed.</w:t>
            </w:r>
            <w:bookmarkEnd w:id="968"/>
          </w:p>
        </w:tc>
      </w:tr>
      <w:tr w:rsidR="00854A16" w:rsidRPr="00854A16" w14:paraId="6317E7DE" w14:textId="77777777" w:rsidTr="5583D54B">
        <w:trPr>
          <w:trHeight w:val="6523"/>
        </w:trPr>
        <w:tc>
          <w:tcPr>
            <w:tcW w:w="0" w:type="auto"/>
          </w:tcPr>
          <w:p w14:paraId="2E49E8ED" w14:textId="3876914C" w:rsidR="00B30B11" w:rsidRPr="00854A16" w:rsidRDefault="00B30B11" w:rsidP="00EE453C">
            <w:pPr>
              <w:keepNext/>
              <w:keepLines/>
              <w:ind w:left="11"/>
              <w:outlineLvl w:val="1"/>
              <w:rPr>
                <w:rFonts w:eastAsia="Times New Roman" w:cs="Arial"/>
                <w:color w:val="000000"/>
                <w:lang w:val="en-ID" w:eastAsia="en-ID"/>
              </w:rPr>
            </w:pPr>
            <w:bookmarkStart w:id="969" w:name="_Toc173319152"/>
            <w:r w:rsidRPr="00854A16">
              <w:rPr>
                <w:rFonts w:eastAsia="Times New Roman" w:cs="Arial"/>
                <w:color w:val="000000"/>
                <w:lang w:val="en-ID" w:eastAsia="en-ID"/>
              </w:rPr>
              <w:t>Information handover</w:t>
            </w:r>
            <w:bookmarkEnd w:id="969"/>
          </w:p>
        </w:tc>
        <w:tc>
          <w:tcPr>
            <w:tcW w:w="0" w:type="auto"/>
          </w:tcPr>
          <w:p w14:paraId="6479A170" w14:textId="77777777" w:rsidR="00B30B11" w:rsidRPr="00854A16" w:rsidRDefault="00B30B11" w:rsidP="00EE453C">
            <w:pPr>
              <w:keepNext/>
              <w:keepLines/>
              <w:ind w:left="11"/>
              <w:outlineLvl w:val="1"/>
              <w:rPr>
                <w:rFonts w:eastAsia="Times New Roman" w:cs="Arial"/>
                <w:color w:val="000000"/>
                <w:lang w:val="en-ID" w:eastAsia="en-ID"/>
              </w:rPr>
            </w:pPr>
            <w:bookmarkStart w:id="970" w:name="_Toc173319153"/>
            <w:r w:rsidRPr="00854A16">
              <w:rPr>
                <w:rFonts w:eastAsia="Times New Roman" w:cs="Arial"/>
                <w:color w:val="000000"/>
                <w:lang w:val="en-ID" w:eastAsia="en-ID"/>
              </w:rPr>
              <w:t>All data and information collected by RML</w:t>
            </w:r>
            <w:bookmarkEnd w:id="970"/>
            <w:r w:rsidRPr="00854A16">
              <w:rPr>
                <w:rFonts w:eastAsia="Times New Roman" w:cs="Arial"/>
                <w:color w:val="000000"/>
                <w:lang w:val="en-ID" w:eastAsia="en-ID"/>
              </w:rPr>
              <w:t xml:space="preserve"> </w:t>
            </w:r>
          </w:p>
        </w:tc>
        <w:tc>
          <w:tcPr>
            <w:tcW w:w="0" w:type="auto"/>
          </w:tcPr>
          <w:p w14:paraId="2933419F" w14:textId="213355E7" w:rsidR="00B30B11" w:rsidRPr="00854A16" w:rsidRDefault="00B30B11" w:rsidP="00EE453C">
            <w:pPr>
              <w:keepNext/>
              <w:keepLines/>
              <w:ind w:left="11"/>
              <w:outlineLvl w:val="1"/>
              <w:rPr>
                <w:rFonts w:eastAsia="Times New Roman" w:cs="Arial"/>
                <w:color w:val="000000"/>
                <w:lang w:val="en-ID" w:eastAsia="en-ID"/>
              </w:rPr>
            </w:pPr>
            <w:bookmarkStart w:id="971" w:name="_Toc173319154"/>
            <w:r w:rsidRPr="00854A16">
              <w:rPr>
                <w:rFonts w:eastAsia="Times New Roman" w:cs="Arial"/>
                <w:b/>
                <w:color w:val="000000"/>
                <w:lang w:val="en-ID" w:eastAsia="en-ID"/>
              </w:rPr>
              <w:t>Prepare a platform for data and information handover</w:t>
            </w:r>
            <w:r w:rsidRPr="00854A16">
              <w:rPr>
                <w:rFonts w:eastAsia="Times New Roman" w:cs="Arial"/>
                <w:color w:val="000000"/>
                <w:lang w:val="en-ID" w:eastAsia="en-ID"/>
              </w:rPr>
              <w:t>:</w:t>
            </w:r>
            <w:bookmarkEnd w:id="971"/>
          </w:p>
          <w:p w14:paraId="2E6934DF" w14:textId="23F98B0C" w:rsidR="00B30B11" w:rsidRPr="00854A16" w:rsidRDefault="00B30B11" w:rsidP="00854A16">
            <w:pPr>
              <w:keepNext/>
              <w:keepLines/>
              <w:ind w:hanging="20"/>
              <w:outlineLvl w:val="1"/>
              <w:rPr>
                <w:rFonts w:eastAsia="Times New Roman" w:cs="Arial"/>
                <w:b/>
                <w:color w:val="000000"/>
                <w:lang w:val="en-ID" w:eastAsia="en-ID"/>
              </w:rPr>
            </w:pPr>
            <w:bookmarkStart w:id="972" w:name="_Toc173319155"/>
            <w:r w:rsidRPr="00854A16">
              <w:rPr>
                <w:rFonts w:eastAsia="Times New Roman" w:cs="Arial"/>
                <w:color w:val="000000"/>
                <w:lang w:val="en-ID" w:eastAsia="en-ID"/>
              </w:rPr>
              <w:t>Clean data and analysis</w:t>
            </w:r>
            <w:bookmarkEnd w:id="972"/>
          </w:p>
          <w:p w14:paraId="151E2D20" w14:textId="5B98AAE7" w:rsidR="00B30B11" w:rsidRPr="00854A16" w:rsidRDefault="00B30B11" w:rsidP="00854A16">
            <w:pPr>
              <w:keepNext/>
              <w:keepLines/>
              <w:ind w:hanging="20"/>
              <w:outlineLvl w:val="1"/>
              <w:rPr>
                <w:rFonts w:eastAsia="Times New Roman" w:cs="Arial"/>
                <w:b/>
                <w:color w:val="000000"/>
                <w:lang w:val="en-ID" w:eastAsia="en-ID"/>
              </w:rPr>
            </w:pPr>
            <w:bookmarkStart w:id="973" w:name="_Toc173319156"/>
            <w:r w:rsidRPr="00854A16">
              <w:rPr>
                <w:rFonts w:eastAsia="Times New Roman" w:cs="Arial"/>
                <w:color w:val="000000"/>
                <w:lang w:val="en-ID" w:eastAsia="en-ID"/>
              </w:rPr>
              <w:t>Aggregation and number summary</w:t>
            </w:r>
            <w:bookmarkEnd w:id="973"/>
          </w:p>
          <w:p w14:paraId="41B5DD7F" w14:textId="67301F63" w:rsidR="00B30B11" w:rsidRPr="00854A16" w:rsidRDefault="00B30B11" w:rsidP="00854A16">
            <w:pPr>
              <w:keepNext/>
              <w:keepLines/>
              <w:ind w:hanging="20"/>
              <w:outlineLvl w:val="1"/>
              <w:rPr>
                <w:rFonts w:eastAsia="Times New Roman" w:cs="Arial"/>
                <w:b/>
                <w:color w:val="000000"/>
                <w:lang w:val="en-ID" w:eastAsia="en-ID"/>
              </w:rPr>
            </w:pPr>
            <w:bookmarkStart w:id="974" w:name="_Toc173319157"/>
            <w:r w:rsidRPr="00854A16">
              <w:rPr>
                <w:rFonts w:eastAsia="Times New Roman" w:cs="Arial"/>
                <w:color w:val="000000"/>
                <w:lang w:val="en-ID" w:eastAsia="en-ID"/>
              </w:rPr>
              <w:t>An evidence database</w:t>
            </w:r>
            <w:bookmarkEnd w:id="974"/>
          </w:p>
          <w:p w14:paraId="78FF25CD" w14:textId="62BEDB47" w:rsidR="00B30B11" w:rsidRPr="00854A16" w:rsidRDefault="00B30B11" w:rsidP="00854A16">
            <w:pPr>
              <w:keepNext/>
              <w:keepLines/>
              <w:ind w:hanging="20"/>
              <w:outlineLvl w:val="1"/>
              <w:rPr>
                <w:rFonts w:eastAsia="Times New Roman" w:cs="Arial"/>
                <w:b/>
                <w:color w:val="000000"/>
                <w:lang w:val="en-ID" w:eastAsia="en-ID"/>
              </w:rPr>
            </w:pPr>
            <w:bookmarkStart w:id="975" w:name="_Toc173319158"/>
            <w:r w:rsidRPr="00854A16">
              <w:rPr>
                <w:rFonts w:eastAsia="Times New Roman" w:cs="Arial"/>
                <w:color w:val="000000"/>
                <w:lang w:val="en-ID" w:eastAsia="en-ID"/>
              </w:rPr>
              <w:t>Various documentation and reports</w:t>
            </w:r>
            <w:bookmarkEnd w:id="975"/>
          </w:p>
        </w:tc>
        <w:tc>
          <w:tcPr>
            <w:tcW w:w="0" w:type="auto"/>
          </w:tcPr>
          <w:p w14:paraId="6F5A336A" w14:textId="3F68433C" w:rsidR="00B30B11" w:rsidRPr="00854A16" w:rsidRDefault="00B30B11" w:rsidP="00071BD4">
            <w:pPr>
              <w:pStyle w:val="ListParagraph"/>
              <w:keepNext/>
              <w:keepLines/>
              <w:numPr>
                <w:ilvl w:val="0"/>
                <w:numId w:val="40"/>
              </w:numPr>
              <w:ind w:left="422"/>
              <w:outlineLvl w:val="1"/>
              <w:rPr>
                <w:rFonts w:asciiTheme="majorHAnsi" w:eastAsia="Times New Roman" w:hAnsiTheme="majorHAnsi" w:cstheme="majorHAnsi"/>
                <w:color w:val="000000"/>
                <w:lang w:val="en-ID" w:eastAsia="en-ID"/>
              </w:rPr>
            </w:pPr>
            <w:bookmarkStart w:id="976" w:name="_Toc173319159"/>
            <w:r w:rsidRPr="00854A16">
              <w:rPr>
                <w:rFonts w:asciiTheme="majorHAnsi" w:eastAsia="Times New Roman" w:hAnsiTheme="majorHAnsi" w:cstheme="majorHAnsi"/>
                <w:color w:val="000000"/>
                <w:lang w:val="en-ID" w:eastAsia="en-ID"/>
              </w:rPr>
              <w:t>Organizing evidence and files in the local PRISMA drive is still ongoing (50%)</w:t>
            </w:r>
            <w:bookmarkEnd w:id="976"/>
          </w:p>
          <w:p w14:paraId="727352C8" w14:textId="214876F1" w:rsidR="00B30B11" w:rsidRPr="00854A16" w:rsidRDefault="00B30B11" w:rsidP="00071BD4">
            <w:pPr>
              <w:pStyle w:val="ListParagraph"/>
              <w:keepNext/>
              <w:keepLines/>
              <w:numPr>
                <w:ilvl w:val="0"/>
                <w:numId w:val="40"/>
              </w:numPr>
              <w:ind w:left="422"/>
              <w:outlineLvl w:val="1"/>
              <w:rPr>
                <w:rFonts w:asciiTheme="majorHAnsi" w:eastAsia="Times New Roman" w:hAnsiTheme="majorHAnsi" w:cstheme="majorHAnsi"/>
                <w:color w:val="000000"/>
                <w:lang w:val="en-ID" w:eastAsia="en-ID"/>
              </w:rPr>
            </w:pPr>
            <w:bookmarkStart w:id="977" w:name="_Toc173319160"/>
            <w:r w:rsidRPr="00854A16">
              <w:rPr>
                <w:rFonts w:asciiTheme="majorHAnsi" w:eastAsia="Times New Roman" w:hAnsiTheme="majorHAnsi" w:cstheme="majorHAnsi"/>
                <w:color w:val="000000"/>
                <w:lang w:val="en-ID" w:eastAsia="en-ID"/>
              </w:rPr>
              <w:t>The impact assessment database (unified) is still ongoing (20%)</w:t>
            </w:r>
            <w:bookmarkEnd w:id="977"/>
          </w:p>
          <w:p w14:paraId="4D3BA470" w14:textId="58359371" w:rsidR="00B30B11" w:rsidRPr="00854A16" w:rsidRDefault="00B30B11" w:rsidP="00071BD4">
            <w:pPr>
              <w:pStyle w:val="ListParagraph"/>
              <w:keepNext/>
              <w:keepLines/>
              <w:numPr>
                <w:ilvl w:val="0"/>
                <w:numId w:val="40"/>
              </w:numPr>
              <w:ind w:left="422"/>
              <w:outlineLvl w:val="1"/>
              <w:rPr>
                <w:rFonts w:asciiTheme="majorHAnsi" w:eastAsia="Times New Roman" w:hAnsiTheme="majorHAnsi" w:cstheme="majorHAnsi"/>
                <w:color w:val="000000"/>
                <w:lang w:val="en-ID" w:eastAsia="en-ID"/>
              </w:rPr>
            </w:pPr>
            <w:bookmarkStart w:id="978" w:name="_Toc173319161"/>
            <w:r w:rsidRPr="00854A16">
              <w:rPr>
                <w:rFonts w:asciiTheme="majorHAnsi" w:eastAsia="Times New Roman" w:hAnsiTheme="majorHAnsi" w:cstheme="majorHAnsi"/>
                <w:color w:val="000000"/>
                <w:lang w:val="en-ID" w:eastAsia="en-ID"/>
              </w:rPr>
              <w:t>PMT website handover</w:t>
            </w:r>
            <w:bookmarkEnd w:id="978"/>
          </w:p>
          <w:p w14:paraId="0420382E" w14:textId="1A66A62D" w:rsidR="00B30B11" w:rsidRPr="00071BD4" w:rsidRDefault="00B30B11" w:rsidP="00071BD4">
            <w:pPr>
              <w:pStyle w:val="ListParagraph"/>
              <w:keepNext/>
              <w:keepLines/>
              <w:numPr>
                <w:ilvl w:val="0"/>
                <w:numId w:val="40"/>
              </w:numPr>
              <w:ind w:left="422"/>
              <w:outlineLvl w:val="1"/>
              <w:rPr>
                <w:rFonts w:eastAsia="Times New Roman" w:cs="Arial"/>
                <w:color w:val="000000"/>
                <w:lang w:val="en-ID" w:eastAsia="en-ID"/>
              </w:rPr>
            </w:pPr>
            <w:bookmarkStart w:id="979" w:name="_Toc173319162"/>
            <w:r w:rsidRPr="00071BD4">
              <w:rPr>
                <w:rFonts w:asciiTheme="majorHAnsi" w:eastAsia="Times New Roman" w:hAnsiTheme="majorHAnsi" w:cstheme="majorHAnsi"/>
                <w:color w:val="000000"/>
                <w:lang w:val="en-ID" w:eastAsia="en-ID"/>
              </w:rPr>
              <w:t>Business intelligence (number summary &amp; PowerBI™)</w:t>
            </w:r>
            <w:bookmarkEnd w:id="979"/>
          </w:p>
        </w:tc>
      </w:tr>
    </w:tbl>
    <w:p w14:paraId="7F90E846" w14:textId="36DDABD2" w:rsidR="00E100E3" w:rsidRPr="00C64064" w:rsidRDefault="00E100E3" w:rsidP="00155BD6">
      <w:pPr>
        <w:pStyle w:val="Head2"/>
        <w:rPr>
          <w:rFonts w:cstheme="majorHAnsi"/>
        </w:rPr>
      </w:pPr>
      <w:bookmarkStart w:id="980" w:name="_Toc172823305"/>
      <w:bookmarkStart w:id="981" w:name="_Toc180155195"/>
      <w:r w:rsidRPr="00C64064">
        <w:rPr>
          <w:rFonts w:cstheme="majorHAnsi"/>
        </w:rPr>
        <w:lastRenderedPageBreak/>
        <w:t>Annex 2: High-</w:t>
      </w:r>
      <w:r w:rsidR="00810064" w:rsidRPr="00C64064">
        <w:rPr>
          <w:rFonts w:cstheme="majorHAnsi"/>
        </w:rPr>
        <w:t>P</w:t>
      </w:r>
      <w:r w:rsidRPr="00C64064">
        <w:rPr>
          <w:rFonts w:cstheme="majorHAnsi"/>
        </w:rPr>
        <w:t xml:space="preserve">riority </w:t>
      </w:r>
      <w:r w:rsidR="00810064" w:rsidRPr="00C64064">
        <w:rPr>
          <w:rFonts w:cstheme="majorHAnsi"/>
        </w:rPr>
        <w:t>P</w:t>
      </w:r>
      <w:r w:rsidRPr="00C64064">
        <w:rPr>
          <w:rFonts w:cstheme="majorHAnsi"/>
        </w:rPr>
        <w:t xml:space="preserve">olicy </w:t>
      </w:r>
      <w:r w:rsidR="00810064" w:rsidRPr="00C64064">
        <w:rPr>
          <w:rFonts w:cstheme="majorHAnsi"/>
        </w:rPr>
        <w:t>I</w:t>
      </w:r>
      <w:r w:rsidRPr="00C64064">
        <w:rPr>
          <w:rFonts w:cstheme="majorHAnsi"/>
        </w:rPr>
        <w:t>nitiatives</w:t>
      </w:r>
      <w:bookmarkEnd w:id="980"/>
      <w:bookmarkEnd w:id="981"/>
    </w:p>
    <w:p w14:paraId="62279CF7" w14:textId="77777777" w:rsidR="004D555D" w:rsidRPr="00C64064" w:rsidRDefault="004D555D" w:rsidP="006F3334">
      <w:pPr>
        <w:spacing w:after="60" w:line="240" w:lineRule="auto"/>
        <w:rPr>
          <w:rFonts w:asciiTheme="majorHAnsi" w:eastAsia="Times New Roman" w:hAnsiTheme="majorHAnsi" w:cstheme="majorHAnsi"/>
          <w:i/>
          <w:color w:val="000000"/>
          <w:sz w:val="20"/>
          <w:szCs w:val="20"/>
          <w:lang w:val="en-AU"/>
        </w:rPr>
      </w:pPr>
    </w:p>
    <w:p w14:paraId="238BD612" w14:textId="069F1178" w:rsidR="006F3334" w:rsidRPr="00C64064" w:rsidRDefault="006F3334" w:rsidP="006F3334">
      <w:pPr>
        <w:spacing w:after="60" w:line="240" w:lineRule="auto"/>
        <w:rPr>
          <w:rFonts w:asciiTheme="majorHAnsi" w:eastAsia="Times New Roman" w:hAnsiTheme="majorHAnsi" w:cstheme="majorHAnsi"/>
          <w:i/>
          <w:color w:val="000000"/>
          <w:sz w:val="20"/>
          <w:szCs w:val="20"/>
          <w:lang w:val="en-AU"/>
        </w:rPr>
      </w:pPr>
      <w:r w:rsidRPr="00C64064">
        <w:rPr>
          <w:rFonts w:asciiTheme="majorHAnsi" w:eastAsia="Times New Roman" w:hAnsiTheme="majorHAnsi" w:cstheme="majorHAnsi"/>
          <w:i/>
          <w:color w:val="000000"/>
          <w:sz w:val="20"/>
          <w:szCs w:val="20"/>
          <w:lang w:val="en-AU"/>
        </w:rPr>
        <w:t xml:space="preserve">While the </w:t>
      </w:r>
      <w:r w:rsidR="00F3276A" w:rsidRPr="00C64064">
        <w:rPr>
          <w:rFonts w:asciiTheme="majorHAnsi" w:eastAsia="Times New Roman" w:hAnsiTheme="majorHAnsi" w:cstheme="majorHAnsi"/>
          <w:i/>
          <w:color w:val="000000"/>
          <w:sz w:val="20"/>
          <w:szCs w:val="20"/>
          <w:lang w:val="en-AU"/>
        </w:rPr>
        <w:t>high priority policy initiatives (</w:t>
      </w:r>
      <w:r w:rsidRPr="00C64064">
        <w:rPr>
          <w:rFonts w:asciiTheme="majorHAnsi" w:eastAsia="Times New Roman" w:hAnsiTheme="majorHAnsi" w:cstheme="majorHAnsi"/>
          <w:i/>
          <w:color w:val="000000"/>
          <w:sz w:val="20"/>
          <w:szCs w:val="20"/>
          <w:lang w:val="en-AU"/>
        </w:rPr>
        <w:t>HPPI</w:t>
      </w:r>
      <w:r w:rsidR="00F3276A" w:rsidRPr="00C64064">
        <w:rPr>
          <w:rFonts w:asciiTheme="majorHAnsi" w:eastAsia="Times New Roman" w:hAnsiTheme="majorHAnsi" w:cstheme="majorHAnsi"/>
          <w:i/>
          <w:color w:val="000000"/>
          <w:sz w:val="20"/>
          <w:szCs w:val="20"/>
          <w:lang w:val="en-AU"/>
        </w:rPr>
        <w:t>)</w:t>
      </w:r>
      <w:r w:rsidRPr="00C64064">
        <w:rPr>
          <w:rFonts w:asciiTheme="majorHAnsi" w:eastAsia="Times New Roman" w:hAnsiTheme="majorHAnsi" w:cstheme="majorHAnsi"/>
          <w:i/>
          <w:color w:val="000000"/>
          <w:sz w:val="20"/>
          <w:szCs w:val="20"/>
          <w:lang w:val="en-AU"/>
        </w:rPr>
        <w:t xml:space="preserve"> summary status graph is based on deliverables, the following table is organised around PRISMA's key areas of support within each initiative. Each area of support may involve a single or multiple deliverable</w:t>
      </w:r>
      <w:r w:rsidR="00A92017" w:rsidRPr="00C64064">
        <w:rPr>
          <w:rFonts w:asciiTheme="majorHAnsi" w:eastAsia="Times New Roman" w:hAnsiTheme="majorHAnsi" w:cstheme="majorHAnsi"/>
          <w:i/>
          <w:color w:val="000000"/>
          <w:sz w:val="20"/>
          <w:szCs w:val="20"/>
          <w:lang w:val="en-AU"/>
        </w:rPr>
        <w:t>s,</w:t>
      </w:r>
      <w:r w:rsidRPr="00C64064">
        <w:rPr>
          <w:rFonts w:asciiTheme="majorHAnsi" w:eastAsia="Times New Roman" w:hAnsiTheme="majorHAnsi" w:cstheme="majorHAnsi"/>
          <w:i/>
          <w:color w:val="000000"/>
          <w:sz w:val="20"/>
          <w:szCs w:val="20"/>
          <w:lang w:val="en-AU"/>
        </w:rPr>
        <w:t xml:space="preserve"> and in some instances, deliverables may cut across support areas. The annex is organised around support areas to make it easier to understand each of the initiatives</w:t>
      </w:r>
      <w:r w:rsidR="000C0B03" w:rsidRPr="00C64064">
        <w:rPr>
          <w:rFonts w:asciiTheme="majorHAnsi" w:eastAsia="Times New Roman" w:hAnsiTheme="majorHAnsi" w:cstheme="majorHAnsi"/>
          <w:i/>
          <w:color w:val="000000"/>
          <w:sz w:val="20"/>
          <w:szCs w:val="20"/>
          <w:lang w:val="en-AU"/>
        </w:rPr>
        <w:t>,</w:t>
      </w:r>
      <w:r w:rsidRPr="00C64064">
        <w:rPr>
          <w:rFonts w:asciiTheme="majorHAnsi" w:eastAsia="Times New Roman" w:hAnsiTheme="majorHAnsi" w:cstheme="majorHAnsi"/>
          <w:i/>
          <w:color w:val="000000"/>
          <w:sz w:val="20"/>
          <w:szCs w:val="20"/>
          <w:lang w:val="en-AU"/>
        </w:rPr>
        <w:t xml:space="preserve"> while the summary graph in Chapter 2.5.2 High Priority Policy Initiatives is organised around deliverables as that provides a more accurate reflection of PRISMA's overall progress in a HPPI.</w:t>
      </w:r>
      <w:r w:rsidRPr="00C64064">
        <w:rPr>
          <w:rFonts w:asciiTheme="majorHAnsi" w:eastAsia="Times New Roman" w:hAnsiTheme="majorHAnsi" w:cstheme="majorHAnsi"/>
          <w:i/>
          <w:color w:val="000000"/>
          <w:sz w:val="20"/>
          <w:szCs w:val="20"/>
          <w:vertAlign w:val="superscript"/>
          <w:lang w:val="en-AU"/>
        </w:rPr>
        <w:footnoteReference w:id="19"/>
      </w:r>
      <w:r w:rsidRPr="00C64064">
        <w:rPr>
          <w:rFonts w:asciiTheme="majorHAnsi" w:eastAsia="Times New Roman" w:hAnsiTheme="majorHAnsi" w:cstheme="majorHAnsi"/>
          <w:i/>
          <w:color w:val="000000"/>
          <w:sz w:val="20"/>
          <w:szCs w:val="20"/>
          <w:lang w:val="en-AU"/>
        </w:rPr>
        <w:t> </w:t>
      </w:r>
    </w:p>
    <w:p w14:paraId="1F6DCBD0" w14:textId="77777777" w:rsidR="00155BD6" w:rsidRPr="00C64064" w:rsidRDefault="00155BD6" w:rsidP="006F3334">
      <w:pPr>
        <w:spacing w:after="60" w:line="240" w:lineRule="auto"/>
        <w:rPr>
          <w:rFonts w:asciiTheme="majorHAnsi" w:eastAsia="Times New Roman" w:hAnsiTheme="majorHAnsi" w:cstheme="majorHAnsi"/>
          <w:i/>
          <w:sz w:val="20"/>
          <w:szCs w:val="20"/>
          <w:lang w:val="en-AU"/>
        </w:rPr>
      </w:pPr>
    </w:p>
    <w:tbl>
      <w:tblPr>
        <w:tblStyle w:val="TableGridLight1"/>
        <w:tblW w:w="0" w:type="auto"/>
        <w:tblBorders>
          <w:top w:val="single" w:sz="4" w:space="0" w:color="auto"/>
          <w:left w:val="none" w:sz="0" w:space="0" w:color="auto"/>
          <w:bottom w:val="single" w:sz="4" w:space="0" w:color="auto"/>
          <w:right w:val="none" w:sz="0" w:space="0" w:color="auto"/>
          <w:insideH w:val="single" w:sz="4" w:space="0" w:color="auto"/>
          <w:insideV w:val="none" w:sz="0" w:space="0" w:color="auto"/>
        </w:tblBorders>
        <w:tblCellMar>
          <w:top w:w="85" w:type="dxa"/>
          <w:bottom w:w="85" w:type="dxa"/>
        </w:tblCellMar>
        <w:tblLook w:val="04A0" w:firstRow="1" w:lastRow="0" w:firstColumn="1" w:lastColumn="0" w:noHBand="0" w:noVBand="1"/>
      </w:tblPr>
      <w:tblGrid>
        <w:gridCol w:w="2064"/>
        <w:gridCol w:w="3468"/>
        <w:gridCol w:w="1839"/>
        <w:gridCol w:w="3340"/>
        <w:gridCol w:w="3716"/>
      </w:tblGrid>
      <w:tr w:rsidR="00040D3F" w:rsidRPr="00C64064" w14:paraId="69CA0A72" w14:textId="77777777" w:rsidTr="7D2E47DB">
        <w:tc>
          <w:tcPr>
            <w:tcW w:w="2064" w:type="dxa"/>
            <w:shd w:val="clear" w:color="auto" w:fill="272A5F"/>
            <w:vAlign w:val="center"/>
          </w:tcPr>
          <w:p w14:paraId="46A02FA1" w14:textId="77777777" w:rsidR="006F3334" w:rsidRPr="00C64064" w:rsidRDefault="006F3334" w:rsidP="00DF0DE2">
            <w:pPr>
              <w:spacing w:after="60"/>
              <w:jc w:val="center"/>
              <w:rPr>
                <w:rFonts w:asciiTheme="majorHAnsi" w:eastAsia="Times New Roman" w:hAnsiTheme="majorHAnsi" w:cstheme="majorHAnsi"/>
                <w:b/>
                <w:color w:val="FFFFFF" w:themeColor="background1"/>
                <w:sz w:val="20"/>
                <w:szCs w:val="20"/>
              </w:rPr>
            </w:pPr>
            <w:r w:rsidRPr="00C64064">
              <w:rPr>
                <w:rFonts w:asciiTheme="majorHAnsi" w:eastAsia="Times New Roman" w:hAnsiTheme="majorHAnsi" w:cstheme="majorHAnsi"/>
                <w:b/>
                <w:color w:val="FFFFFF" w:themeColor="background1"/>
                <w:sz w:val="20"/>
                <w:szCs w:val="20"/>
              </w:rPr>
              <w:t>Policy Initiative</w:t>
            </w:r>
          </w:p>
        </w:tc>
        <w:tc>
          <w:tcPr>
            <w:tcW w:w="3742" w:type="dxa"/>
            <w:shd w:val="clear" w:color="auto" w:fill="272A5F"/>
            <w:vAlign w:val="center"/>
          </w:tcPr>
          <w:p w14:paraId="0A501696" w14:textId="77777777" w:rsidR="006F3334" w:rsidRPr="00C64064" w:rsidRDefault="006F3334" w:rsidP="00DF0DE2">
            <w:pPr>
              <w:spacing w:after="60"/>
              <w:jc w:val="center"/>
              <w:rPr>
                <w:rFonts w:asciiTheme="majorHAnsi" w:eastAsia="Times New Roman" w:hAnsiTheme="majorHAnsi" w:cstheme="majorHAnsi"/>
                <w:b/>
                <w:color w:val="FFFFFF" w:themeColor="background1"/>
                <w:sz w:val="20"/>
                <w:szCs w:val="20"/>
              </w:rPr>
            </w:pPr>
            <w:r w:rsidRPr="00C64064">
              <w:rPr>
                <w:rFonts w:asciiTheme="majorHAnsi" w:eastAsia="Times New Roman" w:hAnsiTheme="majorHAnsi" w:cstheme="majorHAnsi"/>
                <w:b/>
                <w:color w:val="FFFFFF" w:themeColor="background1"/>
                <w:sz w:val="20"/>
                <w:szCs w:val="20"/>
              </w:rPr>
              <w:t>Description</w:t>
            </w:r>
          </w:p>
        </w:tc>
        <w:tc>
          <w:tcPr>
            <w:tcW w:w="1303" w:type="dxa"/>
            <w:shd w:val="clear" w:color="auto" w:fill="272A5F"/>
            <w:vAlign w:val="center"/>
          </w:tcPr>
          <w:p w14:paraId="3D7F2141" w14:textId="77777777" w:rsidR="006F3334" w:rsidRPr="00C64064" w:rsidRDefault="006F3334" w:rsidP="00DF0DE2">
            <w:pPr>
              <w:spacing w:after="60"/>
              <w:jc w:val="center"/>
              <w:rPr>
                <w:rFonts w:asciiTheme="majorHAnsi" w:eastAsia="Times New Roman" w:hAnsiTheme="majorHAnsi" w:cstheme="majorHAnsi"/>
                <w:b/>
                <w:color w:val="FFFFFF" w:themeColor="background1"/>
                <w:sz w:val="20"/>
                <w:szCs w:val="20"/>
              </w:rPr>
            </w:pPr>
            <w:r w:rsidRPr="00C64064">
              <w:rPr>
                <w:rFonts w:asciiTheme="majorHAnsi" w:eastAsia="Times New Roman" w:hAnsiTheme="majorHAnsi" w:cstheme="majorHAnsi"/>
                <w:b/>
                <w:color w:val="FFFFFF" w:themeColor="background1"/>
                <w:sz w:val="20"/>
                <w:szCs w:val="20"/>
              </w:rPr>
              <w:t>Key Partner(s)</w:t>
            </w:r>
          </w:p>
        </w:tc>
        <w:tc>
          <w:tcPr>
            <w:tcW w:w="3598" w:type="dxa"/>
            <w:shd w:val="clear" w:color="auto" w:fill="272A5F"/>
            <w:vAlign w:val="center"/>
          </w:tcPr>
          <w:p w14:paraId="512B8D42" w14:textId="77777777" w:rsidR="006F3334" w:rsidRPr="00C64064" w:rsidRDefault="006F3334" w:rsidP="00DF0DE2">
            <w:pPr>
              <w:spacing w:after="60"/>
              <w:jc w:val="center"/>
              <w:rPr>
                <w:rFonts w:asciiTheme="majorHAnsi" w:eastAsia="Times New Roman" w:hAnsiTheme="majorHAnsi" w:cstheme="majorHAnsi"/>
                <w:color w:val="FFFFFF" w:themeColor="background1"/>
                <w:sz w:val="20"/>
                <w:szCs w:val="20"/>
              </w:rPr>
            </w:pPr>
            <w:r w:rsidRPr="00C64064">
              <w:rPr>
                <w:rFonts w:asciiTheme="majorHAnsi" w:eastAsia="Times New Roman" w:hAnsiTheme="majorHAnsi" w:cstheme="majorHAnsi"/>
                <w:b/>
                <w:color w:val="FFFFFF" w:themeColor="background1"/>
                <w:sz w:val="20"/>
                <w:szCs w:val="20"/>
              </w:rPr>
              <w:t>Activity Status (based on support areas)</w:t>
            </w:r>
          </w:p>
        </w:tc>
        <w:tc>
          <w:tcPr>
            <w:tcW w:w="3817" w:type="dxa"/>
            <w:shd w:val="clear" w:color="auto" w:fill="272A5F"/>
            <w:vAlign w:val="center"/>
          </w:tcPr>
          <w:p w14:paraId="0ED7043B" w14:textId="77777777" w:rsidR="006F3334" w:rsidRPr="00C64064" w:rsidRDefault="006F3334" w:rsidP="00DF0DE2">
            <w:pPr>
              <w:spacing w:after="60"/>
              <w:jc w:val="center"/>
              <w:rPr>
                <w:rFonts w:asciiTheme="majorHAnsi" w:eastAsia="Times New Roman" w:hAnsiTheme="majorHAnsi" w:cstheme="majorHAnsi"/>
                <w:b/>
                <w:color w:val="FFFFFF" w:themeColor="background1"/>
                <w:sz w:val="20"/>
                <w:szCs w:val="20"/>
              </w:rPr>
            </w:pPr>
            <w:r w:rsidRPr="00C64064">
              <w:rPr>
                <w:rFonts w:asciiTheme="majorHAnsi" w:eastAsia="Times New Roman" w:hAnsiTheme="majorHAnsi" w:cstheme="majorHAnsi"/>
                <w:b/>
                <w:color w:val="FFFFFF" w:themeColor="background1"/>
                <w:sz w:val="20"/>
                <w:szCs w:val="20"/>
              </w:rPr>
              <w:t>Additional Details/Related Results</w:t>
            </w:r>
          </w:p>
        </w:tc>
      </w:tr>
      <w:tr w:rsidR="006F3334" w:rsidRPr="00C64064" w14:paraId="19D269FB" w14:textId="77777777" w:rsidTr="7D2E47DB">
        <w:trPr>
          <w:trHeight w:val="58"/>
        </w:trPr>
        <w:tc>
          <w:tcPr>
            <w:tcW w:w="14524" w:type="dxa"/>
            <w:gridSpan w:val="5"/>
          </w:tcPr>
          <w:p w14:paraId="06FFAE67" w14:textId="77777777" w:rsidR="006F3334" w:rsidRPr="00C64064" w:rsidRDefault="006F3334" w:rsidP="006F3334">
            <w:pPr>
              <w:tabs>
                <w:tab w:val="left" w:pos="252"/>
              </w:tabs>
              <w:rPr>
                <w:rFonts w:asciiTheme="majorHAnsi" w:eastAsia="Times New Roman" w:hAnsiTheme="majorHAnsi" w:cstheme="majorHAnsi"/>
                <w:b/>
                <w:color w:val="161719"/>
                <w:sz w:val="20"/>
                <w:szCs w:val="20"/>
              </w:rPr>
            </w:pPr>
            <w:r w:rsidRPr="00DF0DE2">
              <w:rPr>
                <w:rFonts w:asciiTheme="majorHAnsi" w:eastAsia="Times New Roman" w:hAnsiTheme="majorHAnsi" w:cstheme="majorHAnsi"/>
                <w:b/>
                <w:color w:val="272A5F"/>
                <w:sz w:val="20"/>
                <w:szCs w:val="20"/>
              </w:rPr>
              <w:t>Sector-based Initiatives</w:t>
            </w:r>
          </w:p>
        </w:tc>
      </w:tr>
      <w:tr w:rsidR="00040D3F" w:rsidRPr="00C64064" w14:paraId="02FE6551" w14:textId="77777777" w:rsidTr="7D2E47DB">
        <w:trPr>
          <w:trHeight w:val="629"/>
        </w:trPr>
        <w:tc>
          <w:tcPr>
            <w:tcW w:w="2064" w:type="dxa"/>
            <w:vMerge w:val="restart"/>
          </w:tcPr>
          <w:p w14:paraId="38387D61" w14:textId="435CCDB7" w:rsidR="006F3334" w:rsidRPr="00C64064" w:rsidRDefault="006F3334" w:rsidP="006F3334">
            <w:pPr>
              <w:spacing w:after="60"/>
              <w:rPr>
                <w:rFonts w:asciiTheme="majorHAnsi" w:eastAsia="Times New Roman" w:hAnsiTheme="majorHAnsi" w:cstheme="majorHAnsi"/>
                <w:b/>
                <w:color w:val="000000"/>
                <w:sz w:val="20"/>
                <w:szCs w:val="20"/>
              </w:rPr>
            </w:pPr>
            <w:r w:rsidRPr="00C64064">
              <w:rPr>
                <w:rFonts w:asciiTheme="majorHAnsi" w:eastAsia="Times New Roman" w:hAnsiTheme="majorHAnsi" w:cstheme="majorHAnsi"/>
                <w:b/>
                <w:color w:val="000000"/>
                <w:sz w:val="20"/>
                <w:szCs w:val="20"/>
              </w:rPr>
              <w:t xml:space="preserve">Beef: </w:t>
            </w:r>
            <w:r w:rsidR="000C0B03" w:rsidRPr="00C64064">
              <w:rPr>
                <w:rFonts w:asciiTheme="majorHAnsi" w:eastAsia="Times New Roman" w:hAnsiTheme="majorHAnsi" w:cstheme="majorHAnsi"/>
                <w:bCs/>
                <w:color w:val="000000"/>
                <w:sz w:val="20"/>
                <w:szCs w:val="20"/>
              </w:rPr>
              <w:t xml:space="preserve">The </w:t>
            </w:r>
            <w:r w:rsidRPr="00C64064">
              <w:rPr>
                <w:rFonts w:asciiTheme="majorHAnsi" w:eastAsia="Times New Roman" w:hAnsiTheme="majorHAnsi" w:cstheme="majorHAnsi"/>
                <w:color w:val="000000"/>
                <w:sz w:val="20"/>
                <w:szCs w:val="20"/>
              </w:rPr>
              <w:t>Ministry of Agriculture (MoA) reforms and implements the revised cattle feed standards (SNI)</w:t>
            </w:r>
            <w:r w:rsidR="00746EF2"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 </w:t>
            </w:r>
          </w:p>
        </w:tc>
        <w:tc>
          <w:tcPr>
            <w:tcW w:w="3742" w:type="dxa"/>
            <w:vMerge w:val="restart"/>
          </w:tcPr>
          <w:p w14:paraId="6A2EB8BE" w14:textId="68930ABB" w:rsidR="006F3334" w:rsidRPr="00C64064" w:rsidRDefault="006F3334" w:rsidP="006F3334">
            <w:pPr>
              <w:spacing w:afterLines="60" w:after="144"/>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Indonesia’s SNI</w:t>
            </w:r>
            <w:r w:rsidR="0030454E" w:rsidRPr="00C64064">
              <w:rPr>
                <w:rFonts w:asciiTheme="majorHAnsi" w:eastAsia="Times New Roman" w:hAnsiTheme="majorHAnsi" w:cstheme="majorHAnsi"/>
                <w:color w:val="000000"/>
                <w:sz w:val="20"/>
                <w:szCs w:val="20"/>
              </w:rPr>
              <w:t>s</w:t>
            </w:r>
            <w:r w:rsidRPr="00C64064">
              <w:rPr>
                <w:rFonts w:asciiTheme="majorHAnsi" w:eastAsia="Times New Roman" w:hAnsiTheme="majorHAnsi" w:cstheme="majorHAnsi"/>
                <w:color w:val="000000"/>
                <w:sz w:val="20"/>
                <w:szCs w:val="20"/>
              </w:rPr>
              <w:t xml:space="preserve"> make it difficult for feed mills, particularly </w:t>
            </w:r>
            <w:r w:rsidR="000C0B03" w:rsidRPr="00C64064">
              <w:rPr>
                <w:rFonts w:asciiTheme="majorHAnsi" w:eastAsia="Times New Roman" w:hAnsiTheme="majorHAnsi" w:cstheme="majorHAnsi"/>
                <w:color w:val="000000"/>
                <w:sz w:val="20"/>
                <w:szCs w:val="20"/>
              </w:rPr>
              <w:t xml:space="preserve">for </w:t>
            </w:r>
            <w:r w:rsidRPr="00C64064">
              <w:rPr>
                <w:rFonts w:asciiTheme="majorHAnsi" w:eastAsia="Times New Roman" w:hAnsiTheme="majorHAnsi" w:cstheme="majorHAnsi"/>
                <w:color w:val="000000"/>
                <w:sz w:val="20"/>
                <w:szCs w:val="20"/>
              </w:rPr>
              <w:t>micro, small, and medium-sized (MSME) mills</w:t>
            </w:r>
            <w:r w:rsidR="000C0B03"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 xml:space="preserve"> which account for the majority of feed producers, to legally sell more affordable, good-quality cattle feed. This policy bottleneck not only impedes the growth of feed companies but also undermines the potential for smallholder farmers to enhance cattle productivity and income.</w:t>
            </w:r>
          </w:p>
          <w:p w14:paraId="1D724E4E" w14:textId="2A6DF50B" w:rsidR="006F3334" w:rsidRPr="00C64064" w:rsidRDefault="006F3334" w:rsidP="006F3334">
            <w:pPr>
              <w:spacing w:afterLines="60" w:after="144"/>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PRISMA supports </w:t>
            </w:r>
            <w:r w:rsidR="000C0B03" w:rsidRPr="00C64064">
              <w:rPr>
                <w:rFonts w:asciiTheme="majorHAnsi" w:eastAsia="Times New Roman" w:hAnsiTheme="majorHAnsi" w:cstheme="majorHAnsi"/>
                <w:color w:val="000000"/>
                <w:sz w:val="20"/>
                <w:szCs w:val="20"/>
              </w:rPr>
              <w:t xml:space="preserve">the </w:t>
            </w:r>
            <w:r w:rsidRPr="00C64064">
              <w:rPr>
                <w:rFonts w:asciiTheme="majorHAnsi" w:eastAsia="Times New Roman" w:hAnsiTheme="majorHAnsi" w:cstheme="majorHAnsi"/>
                <w:color w:val="000000"/>
                <w:sz w:val="20"/>
                <w:szCs w:val="20"/>
              </w:rPr>
              <w:t xml:space="preserve">MoA </w:t>
            </w:r>
            <w:r w:rsidR="00282A5C" w:rsidRPr="00C64064">
              <w:rPr>
                <w:rFonts w:asciiTheme="majorHAnsi" w:eastAsia="Times New Roman" w:hAnsiTheme="majorHAnsi" w:cstheme="majorHAnsi"/>
                <w:color w:val="000000"/>
                <w:sz w:val="20"/>
                <w:szCs w:val="20"/>
              </w:rPr>
              <w:t>in</w:t>
            </w:r>
            <w:r w:rsidRPr="00C64064">
              <w:rPr>
                <w:rFonts w:asciiTheme="majorHAnsi" w:eastAsia="Times New Roman" w:hAnsiTheme="majorHAnsi" w:cstheme="majorHAnsi"/>
                <w:color w:val="000000"/>
                <w:sz w:val="20"/>
                <w:szCs w:val="20"/>
              </w:rPr>
              <w:t xml:space="preserve"> reform</w:t>
            </w:r>
            <w:r w:rsidR="00282A5C" w:rsidRPr="00C64064">
              <w:rPr>
                <w:rFonts w:asciiTheme="majorHAnsi" w:eastAsia="Times New Roman" w:hAnsiTheme="majorHAnsi" w:cstheme="majorHAnsi"/>
                <w:color w:val="000000"/>
                <w:sz w:val="20"/>
                <w:szCs w:val="20"/>
              </w:rPr>
              <w:t>ing</w:t>
            </w:r>
            <w:r w:rsidRPr="00C64064">
              <w:rPr>
                <w:rFonts w:asciiTheme="majorHAnsi" w:eastAsia="Times New Roman" w:hAnsiTheme="majorHAnsi" w:cstheme="majorHAnsi"/>
                <w:color w:val="000000"/>
                <w:sz w:val="20"/>
                <w:szCs w:val="20"/>
              </w:rPr>
              <w:t xml:space="preserve"> the SNI and ensures that </w:t>
            </w:r>
            <w:r w:rsidR="000C0B03" w:rsidRPr="00C64064">
              <w:rPr>
                <w:rFonts w:asciiTheme="majorHAnsi" w:eastAsia="Times New Roman" w:hAnsiTheme="majorHAnsi" w:cstheme="majorHAnsi"/>
                <w:color w:val="000000"/>
                <w:sz w:val="20"/>
                <w:szCs w:val="20"/>
              </w:rPr>
              <w:t xml:space="preserve">the </w:t>
            </w:r>
            <w:r w:rsidRPr="00C64064">
              <w:rPr>
                <w:rFonts w:asciiTheme="majorHAnsi" w:eastAsia="Times New Roman" w:hAnsiTheme="majorHAnsi" w:cstheme="majorHAnsi"/>
                <w:color w:val="000000"/>
                <w:sz w:val="20"/>
                <w:szCs w:val="20"/>
              </w:rPr>
              <w:t>MoA has the necessary resources to implement and revisit the new standards and regulations and that MSME feed mills have improved capacity to comply with the new SNI. PRISMA does this by:</w:t>
            </w:r>
          </w:p>
          <w:p w14:paraId="4532D4C9" w14:textId="77777777" w:rsidR="006F3334" w:rsidRPr="00C64064" w:rsidRDefault="006F3334" w:rsidP="00D91EA1">
            <w:pPr>
              <w:numPr>
                <w:ilvl w:val="0"/>
                <w:numId w:val="20"/>
              </w:numPr>
              <w:spacing w:afterLines="60" w:after="144"/>
              <w:ind w:left="252" w:hanging="252"/>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lastRenderedPageBreak/>
              <w:t>developing policy briefs and holding policy dialogues to convince the MoA to review the cattle feed SNI and provide the MoA with technical recommendations</w:t>
            </w:r>
          </w:p>
          <w:p w14:paraId="4A1A03AD" w14:textId="5BE3CD0E" w:rsidR="006F3334" w:rsidRPr="00C64064" w:rsidRDefault="006F3334" w:rsidP="00D91EA1">
            <w:pPr>
              <w:numPr>
                <w:ilvl w:val="0"/>
                <w:numId w:val="20"/>
              </w:numPr>
              <w:spacing w:afterLines="60" w:after="144"/>
              <w:ind w:left="252" w:hanging="252"/>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facilitating the development of MoA regulations (on feed registration and distribution, good feed manufacturing practice </w:t>
            </w:r>
            <w:r w:rsidR="0030454E"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GFMP</w:t>
            </w:r>
            <w:r w:rsidR="0030454E"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 and mandatory implementation of SNI) and training guidelines through consultation with industry stakeholders and universities</w:t>
            </w:r>
          </w:p>
          <w:p w14:paraId="630BE9D3" w14:textId="77777777" w:rsidR="006F3334" w:rsidRPr="00C64064" w:rsidRDefault="006F3334" w:rsidP="00D91EA1">
            <w:pPr>
              <w:numPr>
                <w:ilvl w:val="0"/>
                <w:numId w:val="20"/>
              </w:numPr>
              <w:spacing w:afterLines="60" w:after="144"/>
              <w:ind w:left="252" w:hanging="252"/>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socialising the revised SNI for beef and dairy and delivering training sessions and materials to support capacity building of feed mills and government feed supervisors based on the new training guidelines </w:t>
            </w:r>
          </w:p>
        </w:tc>
        <w:tc>
          <w:tcPr>
            <w:tcW w:w="1303" w:type="dxa"/>
            <w:vMerge w:val="restart"/>
          </w:tcPr>
          <w:p w14:paraId="5B1625A8" w14:textId="77777777" w:rsidR="006F3334" w:rsidRPr="00C64064" w:rsidRDefault="006F3334" w:rsidP="006F3334">
            <w:pPr>
              <w:spacing w:after="60"/>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lastRenderedPageBreak/>
              <w:t>Feed Directorate, MoA</w:t>
            </w:r>
          </w:p>
        </w:tc>
        <w:tc>
          <w:tcPr>
            <w:tcW w:w="3598" w:type="dxa"/>
          </w:tcPr>
          <w:p w14:paraId="7BAF8E58" w14:textId="50131993" w:rsidR="006F3334" w:rsidRPr="00C64064" w:rsidRDefault="006F3334" w:rsidP="006F3334">
            <w:pPr>
              <w:rPr>
                <w:rFonts w:asciiTheme="majorHAnsi" w:eastAsia="Times New Roman" w:hAnsiTheme="majorHAnsi" w:cstheme="majorHAnsi"/>
                <w:color w:val="000000"/>
                <w:sz w:val="20"/>
                <w:szCs w:val="20"/>
              </w:rPr>
            </w:pPr>
            <w:r w:rsidRPr="00C64064">
              <w:rPr>
                <w:rFonts w:asciiTheme="majorHAnsi" w:eastAsia="Times New Roman" w:hAnsiTheme="majorHAnsi" w:cstheme="majorHAnsi"/>
                <w:b/>
                <w:color w:val="161719"/>
                <w:sz w:val="20"/>
                <w:szCs w:val="20"/>
              </w:rPr>
              <w:t xml:space="preserve">(a) Completed: </w:t>
            </w:r>
            <w:r w:rsidR="000C0B03" w:rsidRPr="00C64064">
              <w:rPr>
                <w:rFonts w:asciiTheme="majorHAnsi" w:eastAsia="Times New Roman" w:hAnsiTheme="majorHAnsi" w:cstheme="majorHAnsi"/>
                <w:bCs/>
                <w:color w:val="161719"/>
                <w:sz w:val="20"/>
                <w:szCs w:val="20"/>
              </w:rPr>
              <w:t xml:space="preserve">The </w:t>
            </w:r>
            <w:r w:rsidRPr="00C64064">
              <w:rPr>
                <w:rFonts w:asciiTheme="majorHAnsi" w:eastAsia="Times New Roman" w:hAnsiTheme="majorHAnsi" w:cstheme="majorHAnsi"/>
                <w:color w:val="161719"/>
                <w:sz w:val="20"/>
                <w:szCs w:val="20"/>
              </w:rPr>
              <w:t>MoA published new feed standards for beef and dairy in 2022 as a result of the policy briefs and policy dialogues supported by PRISMA. The implementation of the revised SNIs is expected to proceed in July 2024.</w:t>
            </w:r>
          </w:p>
        </w:tc>
        <w:tc>
          <w:tcPr>
            <w:tcW w:w="3817" w:type="dxa"/>
          </w:tcPr>
          <w:p w14:paraId="18F4D0E3" w14:textId="5A92BE96" w:rsidR="006F3334" w:rsidRPr="00C64064" w:rsidRDefault="006F3334"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161719"/>
                <w:sz w:val="20"/>
                <w:szCs w:val="20"/>
              </w:rPr>
              <w:t xml:space="preserve">The new cattle feed SNIs spurred </w:t>
            </w:r>
            <w:r w:rsidR="0030454E" w:rsidRPr="00C64064">
              <w:rPr>
                <w:rFonts w:asciiTheme="majorHAnsi" w:eastAsia="Times New Roman" w:hAnsiTheme="majorHAnsi" w:cstheme="majorHAnsi"/>
                <w:color w:val="161719"/>
                <w:sz w:val="20"/>
                <w:szCs w:val="20"/>
              </w:rPr>
              <w:t xml:space="preserve">the </w:t>
            </w:r>
            <w:r w:rsidRPr="00C64064">
              <w:rPr>
                <w:rFonts w:asciiTheme="majorHAnsi" w:eastAsia="Times New Roman" w:hAnsiTheme="majorHAnsi" w:cstheme="majorHAnsi"/>
                <w:color w:val="161719"/>
                <w:sz w:val="20"/>
                <w:szCs w:val="20"/>
              </w:rPr>
              <w:t>MoA to review the SNIs for other livestock feed (chickens, ducks, pigs, and quail). New SNIs for other livestock were published in December 2022, socialised with the feed industry, and are being implemented.</w:t>
            </w:r>
          </w:p>
        </w:tc>
      </w:tr>
      <w:tr w:rsidR="00040D3F" w:rsidRPr="00C64064" w14:paraId="568D1721" w14:textId="77777777" w:rsidTr="7D2E47DB">
        <w:trPr>
          <w:trHeight w:val="1259"/>
        </w:trPr>
        <w:tc>
          <w:tcPr>
            <w:tcW w:w="2064" w:type="dxa"/>
            <w:vMerge/>
          </w:tcPr>
          <w:p w14:paraId="74818786" w14:textId="77777777" w:rsidR="006F3334" w:rsidRPr="00C64064" w:rsidRDefault="006F3334" w:rsidP="006F3334">
            <w:pPr>
              <w:spacing w:after="60"/>
              <w:rPr>
                <w:rFonts w:asciiTheme="majorHAnsi" w:eastAsia="Times New Roman" w:hAnsiTheme="majorHAnsi" w:cstheme="majorHAnsi"/>
                <w:b/>
                <w:color w:val="000000"/>
                <w:sz w:val="20"/>
                <w:szCs w:val="20"/>
              </w:rPr>
            </w:pPr>
          </w:p>
        </w:tc>
        <w:tc>
          <w:tcPr>
            <w:tcW w:w="3742" w:type="dxa"/>
            <w:vMerge/>
          </w:tcPr>
          <w:p w14:paraId="28391B3E" w14:textId="77777777" w:rsidR="006F3334" w:rsidRPr="00C64064" w:rsidRDefault="006F3334" w:rsidP="006F3334">
            <w:pPr>
              <w:spacing w:afterLines="60" w:after="144"/>
              <w:contextualSpacing/>
              <w:rPr>
                <w:rFonts w:asciiTheme="majorHAnsi" w:eastAsia="Times New Roman" w:hAnsiTheme="majorHAnsi" w:cstheme="majorHAnsi"/>
                <w:color w:val="000000"/>
                <w:sz w:val="20"/>
                <w:szCs w:val="20"/>
              </w:rPr>
            </w:pPr>
          </w:p>
        </w:tc>
        <w:tc>
          <w:tcPr>
            <w:tcW w:w="1303" w:type="dxa"/>
            <w:vMerge/>
          </w:tcPr>
          <w:p w14:paraId="31D6D1CC"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3598" w:type="dxa"/>
          </w:tcPr>
          <w:p w14:paraId="193B4266" w14:textId="77777777" w:rsidR="006F3334" w:rsidRPr="00C64064" w:rsidRDefault="006F3334" w:rsidP="006F3334">
            <w:pPr>
              <w:contextualSpacing/>
              <w:rPr>
                <w:rFonts w:asciiTheme="majorHAnsi" w:eastAsia="Times New Roman" w:hAnsiTheme="majorHAnsi" w:cstheme="majorHAnsi"/>
                <w:b/>
                <w:color w:val="161719"/>
                <w:sz w:val="20"/>
                <w:szCs w:val="20"/>
              </w:rPr>
            </w:pPr>
            <w:r w:rsidRPr="00C64064">
              <w:rPr>
                <w:rFonts w:asciiTheme="majorHAnsi" w:eastAsia="Times New Roman" w:hAnsiTheme="majorHAnsi" w:cstheme="majorHAnsi"/>
                <w:b/>
                <w:color w:val="161719"/>
                <w:sz w:val="20"/>
                <w:szCs w:val="20"/>
              </w:rPr>
              <w:t xml:space="preserve">(b) Completed: </w:t>
            </w:r>
          </w:p>
          <w:p w14:paraId="17AFDCF3" w14:textId="5A9C9A2E" w:rsidR="00042ED7" w:rsidRPr="00C64064" w:rsidRDefault="006F3334" w:rsidP="00042ED7">
            <w:pPr>
              <w:numPr>
                <w:ilvl w:val="0"/>
                <w:numId w:val="21"/>
              </w:numPr>
              <w:ind w:left="252" w:hanging="180"/>
              <w:contextualSpacing/>
              <w:rPr>
                <w:rFonts w:asciiTheme="majorHAnsi" w:eastAsia="Times New Roman" w:hAnsiTheme="majorHAnsi" w:cstheme="majorBidi"/>
                <w:color w:val="161719"/>
                <w:sz w:val="20"/>
                <w:szCs w:val="20"/>
              </w:rPr>
            </w:pPr>
            <w:r w:rsidRPr="4D6E566B">
              <w:rPr>
                <w:rFonts w:asciiTheme="majorHAnsi" w:eastAsia="Times New Roman" w:hAnsiTheme="majorHAnsi" w:cstheme="majorBidi"/>
                <w:color w:val="161719"/>
                <w:sz w:val="20"/>
                <w:szCs w:val="20"/>
              </w:rPr>
              <w:t xml:space="preserve">Drafts for the overarching MoA regulations (Rapermentan) have been completed and are </w:t>
            </w:r>
            <w:r w:rsidRPr="006B64FE">
              <w:rPr>
                <w:rFonts w:asciiTheme="majorHAnsi" w:eastAsia="Times New Roman" w:hAnsiTheme="majorHAnsi" w:cstheme="majorBidi"/>
                <w:color w:val="161719"/>
                <w:sz w:val="20"/>
                <w:szCs w:val="20"/>
              </w:rPr>
              <w:t xml:space="preserve">currently under review by </w:t>
            </w:r>
            <w:r w:rsidR="0030454E" w:rsidRPr="006B64FE">
              <w:rPr>
                <w:rFonts w:asciiTheme="majorHAnsi" w:eastAsia="Times New Roman" w:hAnsiTheme="majorHAnsi" w:cstheme="majorBidi"/>
                <w:color w:val="161719"/>
                <w:sz w:val="20"/>
                <w:szCs w:val="20"/>
              </w:rPr>
              <w:t xml:space="preserve">the </w:t>
            </w:r>
            <w:r w:rsidRPr="006B64FE">
              <w:rPr>
                <w:rFonts w:asciiTheme="majorHAnsi" w:eastAsia="Times New Roman" w:hAnsiTheme="majorHAnsi" w:cstheme="majorBidi"/>
                <w:color w:val="161719"/>
                <w:sz w:val="20"/>
                <w:szCs w:val="20"/>
              </w:rPr>
              <w:t>MoA for release</w:t>
            </w:r>
            <w:r w:rsidR="00042ED7" w:rsidRPr="006B64FE">
              <w:rPr>
                <w:rFonts w:asciiTheme="majorHAnsi" w:eastAsia="Times New Roman" w:hAnsiTheme="majorHAnsi" w:cstheme="majorBidi"/>
                <w:color w:val="161719"/>
                <w:sz w:val="20"/>
                <w:szCs w:val="20"/>
              </w:rPr>
              <w:t xml:space="preserve"> and is targeted to be passed by the end of 2024.</w:t>
            </w:r>
          </w:p>
          <w:p w14:paraId="699B4993" w14:textId="77777777" w:rsidR="006F3334" w:rsidRPr="00C64064" w:rsidRDefault="006F3334" w:rsidP="00042ED7">
            <w:pPr>
              <w:numPr>
                <w:ilvl w:val="0"/>
                <w:numId w:val="21"/>
              </w:numPr>
              <w:ind w:left="252" w:hanging="180"/>
              <w:contextualSpacing/>
              <w:rPr>
                <w:rFonts w:asciiTheme="majorHAnsi" w:eastAsia="Times New Roman" w:hAnsiTheme="majorHAnsi" w:cstheme="majorHAnsi"/>
                <w:color w:val="161719"/>
                <w:sz w:val="20"/>
                <w:szCs w:val="20"/>
              </w:rPr>
            </w:pPr>
            <w:r w:rsidRPr="00C64064">
              <w:rPr>
                <w:rFonts w:asciiTheme="majorHAnsi" w:eastAsia="Times New Roman" w:hAnsiTheme="majorHAnsi" w:cstheme="majorHAnsi"/>
                <w:color w:val="161719"/>
                <w:sz w:val="20"/>
                <w:szCs w:val="20"/>
              </w:rPr>
              <w:t>Training guidelines for government feed quality supervisors (Wastukan) and feed companies were completed.</w:t>
            </w:r>
          </w:p>
        </w:tc>
        <w:tc>
          <w:tcPr>
            <w:tcW w:w="3817" w:type="dxa"/>
          </w:tcPr>
          <w:p w14:paraId="05628351" w14:textId="62E6E264" w:rsidR="006F3334" w:rsidRPr="00C64064" w:rsidRDefault="006F3334" w:rsidP="00D91EA1">
            <w:pPr>
              <w:numPr>
                <w:ilvl w:val="0"/>
                <w:numId w:val="21"/>
              </w:numPr>
              <w:ind w:left="252" w:hanging="180"/>
              <w:contextualSpacing/>
              <w:rPr>
                <w:rFonts w:asciiTheme="majorHAnsi" w:eastAsia="Times New Roman" w:hAnsiTheme="majorHAnsi" w:cstheme="majorHAnsi"/>
                <w:color w:val="161719"/>
                <w:sz w:val="20"/>
                <w:szCs w:val="20"/>
              </w:rPr>
            </w:pPr>
            <w:r w:rsidRPr="00C64064">
              <w:rPr>
                <w:rFonts w:asciiTheme="majorHAnsi" w:eastAsia="Times New Roman" w:hAnsiTheme="majorHAnsi" w:cstheme="majorHAnsi"/>
                <w:color w:val="161719"/>
                <w:sz w:val="20"/>
                <w:szCs w:val="20"/>
              </w:rPr>
              <w:t xml:space="preserve">The cattle feed SNIs spurred </w:t>
            </w:r>
            <w:r w:rsidR="0030454E" w:rsidRPr="00C64064">
              <w:rPr>
                <w:rFonts w:asciiTheme="majorHAnsi" w:eastAsia="Times New Roman" w:hAnsiTheme="majorHAnsi" w:cstheme="majorHAnsi"/>
                <w:color w:val="161719"/>
                <w:sz w:val="20"/>
                <w:szCs w:val="20"/>
              </w:rPr>
              <w:t xml:space="preserve">the </w:t>
            </w:r>
            <w:r w:rsidRPr="00C64064">
              <w:rPr>
                <w:rFonts w:asciiTheme="majorHAnsi" w:eastAsia="Times New Roman" w:hAnsiTheme="majorHAnsi" w:cstheme="majorHAnsi"/>
                <w:color w:val="161719"/>
                <w:sz w:val="20"/>
                <w:szCs w:val="20"/>
              </w:rPr>
              <w:t>MoA to streamline all feed regulations. The MoA is in the process of finalising 3 overarching feed regulations.</w:t>
            </w:r>
          </w:p>
          <w:p w14:paraId="2F547805" w14:textId="18C6BCC6" w:rsidR="006F3334" w:rsidRPr="00C64064" w:rsidRDefault="0030454E"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161719"/>
                <w:sz w:val="20"/>
                <w:szCs w:val="20"/>
              </w:rPr>
              <w:t xml:space="preserve">The </w:t>
            </w:r>
            <w:r w:rsidR="006F3334" w:rsidRPr="00C64064">
              <w:rPr>
                <w:rFonts w:asciiTheme="majorHAnsi" w:eastAsia="Times New Roman" w:hAnsiTheme="majorHAnsi" w:cstheme="majorHAnsi"/>
                <w:color w:val="161719"/>
                <w:sz w:val="20"/>
                <w:szCs w:val="20"/>
              </w:rPr>
              <w:t>MoA used the training guidelines in its Wastukan training in March 2024 and feed company training in May 2024.</w:t>
            </w:r>
          </w:p>
        </w:tc>
      </w:tr>
      <w:tr w:rsidR="00040D3F" w:rsidRPr="00C64064" w14:paraId="1BD19EC9" w14:textId="77777777" w:rsidTr="7D2E47DB">
        <w:trPr>
          <w:trHeight w:val="1984"/>
        </w:trPr>
        <w:tc>
          <w:tcPr>
            <w:tcW w:w="2064" w:type="dxa"/>
            <w:vMerge/>
          </w:tcPr>
          <w:p w14:paraId="7DBD397B" w14:textId="77777777" w:rsidR="006F3334" w:rsidRPr="00C64064" w:rsidRDefault="006F3334" w:rsidP="006F3334">
            <w:pPr>
              <w:spacing w:after="60"/>
              <w:rPr>
                <w:rFonts w:asciiTheme="majorHAnsi" w:eastAsia="Times New Roman" w:hAnsiTheme="majorHAnsi" w:cstheme="majorHAnsi"/>
                <w:b/>
                <w:color w:val="000000"/>
                <w:sz w:val="20"/>
                <w:szCs w:val="20"/>
              </w:rPr>
            </w:pPr>
          </w:p>
        </w:tc>
        <w:tc>
          <w:tcPr>
            <w:tcW w:w="3742" w:type="dxa"/>
            <w:vMerge/>
          </w:tcPr>
          <w:p w14:paraId="5F53247C" w14:textId="77777777" w:rsidR="006F3334" w:rsidRPr="00C64064" w:rsidRDefault="006F3334" w:rsidP="006F3334">
            <w:pPr>
              <w:spacing w:afterLines="60" w:after="144"/>
              <w:contextualSpacing/>
              <w:rPr>
                <w:rFonts w:asciiTheme="majorHAnsi" w:eastAsia="Times New Roman" w:hAnsiTheme="majorHAnsi" w:cstheme="majorHAnsi"/>
                <w:color w:val="000000"/>
                <w:sz w:val="20"/>
                <w:szCs w:val="20"/>
              </w:rPr>
            </w:pPr>
          </w:p>
        </w:tc>
        <w:tc>
          <w:tcPr>
            <w:tcW w:w="1303" w:type="dxa"/>
            <w:vMerge/>
          </w:tcPr>
          <w:p w14:paraId="13AB8C2E"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3598" w:type="dxa"/>
          </w:tcPr>
          <w:p w14:paraId="372D801A" w14:textId="39C2B298" w:rsidR="006F3334" w:rsidRPr="00C64064" w:rsidRDefault="006F3334" w:rsidP="006F3334">
            <w:pPr>
              <w:rPr>
                <w:rFonts w:asciiTheme="majorHAnsi" w:eastAsia="Times New Roman" w:hAnsiTheme="majorHAnsi" w:cstheme="majorHAnsi"/>
                <w:b/>
                <w:color w:val="161719"/>
                <w:sz w:val="20"/>
                <w:szCs w:val="20"/>
              </w:rPr>
            </w:pPr>
            <w:r w:rsidRPr="00C64064">
              <w:rPr>
                <w:rFonts w:asciiTheme="majorHAnsi" w:eastAsia="Times New Roman" w:hAnsiTheme="majorHAnsi" w:cstheme="majorHAnsi"/>
                <w:b/>
                <w:color w:val="161719"/>
                <w:sz w:val="20"/>
                <w:szCs w:val="20"/>
              </w:rPr>
              <w:t xml:space="preserve">(c) Ongoing: </w:t>
            </w:r>
          </w:p>
          <w:p w14:paraId="6798328B" w14:textId="534BBE19" w:rsidR="006F3334" w:rsidRPr="00C64064" w:rsidRDefault="006F3334" w:rsidP="00D91EA1">
            <w:pPr>
              <w:numPr>
                <w:ilvl w:val="0"/>
                <w:numId w:val="21"/>
              </w:numPr>
              <w:ind w:left="252" w:hanging="180"/>
              <w:contextualSpacing/>
              <w:rPr>
                <w:rFonts w:asciiTheme="majorHAnsi" w:eastAsia="Times New Roman" w:hAnsiTheme="majorHAnsi" w:cstheme="majorHAnsi"/>
                <w:color w:val="161719"/>
                <w:sz w:val="20"/>
                <w:szCs w:val="20"/>
              </w:rPr>
            </w:pPr>
            <w:r w:rsidRPr="00C64064">
              <w:rPr>
                <w:rFonts w:asciiTheme="majorHAnsi" w:eastAsia="Times New Roman" w:hAnsiTheme="majorHAnsi" w:cstheme="majorHAnsi"/>
                <w:color w:val="161719"/>
                <w:sz w:val="20"/>
                <w:szCs w:val="20"/>
              </w:rPr>
              <w:t xml:space="preserve">The training was conducted for </w:t>
            </w:r>
            <w:r w:rsidR="0030454E" w:rsidRPr="00C64064">
              <w:rPr>
                <w:rFonts w:asciiTheme="majorHAnsi" w:eastAsia="Times New Roman" w:hAnsiTheme="majorHAnsi" w:cstheme="majorHAnsi"/>
                <w:color w:val="161719"/>
                <w:sz w:val="20"/>
                <w:szCs w:val="20"/>
              </w:rPr>
              <w:t xml:space="preserve">the </w:t>
            </w:r>
            <w:r w:rsidRPr="00C64064">
              <w:rPr>
                <w:rFonts w:asciiTheme="majorHAnsi" w:eastAsia="Times New Roman" w:hAnsiTheme="majorHAnsi" w:cstheme="majorHAnsi"/>
                <w:color w:val="161719"/>
                <w:sz w:val="20"/>
                <w:szCs w:val="20"/>
              </w:rPr>
              <w:t xml:space="preserve">MoA's feed auditors at the national level and government Wastukan at the provincial and district levels across Indonesia. </w:t>
            </w:r>
          </w:p>
          <w:p w14:paraId="54D7FB2D" w14:textId="7D4A3B52" w:rsidR="006F3334" w:rsidRPr="00C64064" w:rsidRDefault="006F3334" w:rsidP="00D91EA1">
            <w:pPr>
              <w:numPr>
                <w:ilvl w:val="0"/>
                <w:numId w:val="21"/>
              </w:numPr>
              <w:ind w:left="252" w:hanging="180"/>
              <w:contextualSpacing/>
              <w:rPr>
                <w:rFonts w:asciiTheme="majorHAnsi" w:eastAsia="Times New Roman" w:hAnsiTheme="majorHAnsi" w:cstheme="majorHAnsi"/>
                <w:color w:val="161719"/>
                <w:sz w:val="20"/>
                <w:szCs w:val="20"/>
              </w:rPr>
            </w:pPr>
            <w:r w:rsidRPr="00C64064">
              <w:rPr>
                <w:rFonts w:asciiTheme="majorHAnsi" w:eastAsia="Times New Roman" w:hAnsiTheme="majorHAnsi" w:cstheme="majorHAnsi"/>
                <w:color w:val="161719"/>
                <w:sz w:val="20"/>
                <w:szCs w:val="20"/>
              </w:rPr>
              <w:t>Auditors and Wastukans provided training (</w:t>
            </w:r>
            <w:r w:rsidR="0030454E" w:rsidRPr="00C64064">
              <w:rPr>
                <w:rFonts w:asciiTheme="majorHAnsi" w:eastAsia="Times New Roman" w:hAnsiTheme="majorHAnsi" w:cstheme="majorHAnsi"/>
                <w:color w:val="161719"/>
                <w:sz w:val="20"/>
                <w:szCs w:val="20"/>
              </w:rPr>
              <w:t>technical guidance</w:t>
            </w:r>
            <w:r w:rsidRPr="00C64064">
              <w:rPr>
                <w:rFonts w:asciiTheme="majorHAnsi" w:eastAsia="Times New Roman" w:hAnsiTheme="majorHAnsi" w:cstheme="majorHAnsi"/>
                <w:color w:val="161719"/>
                <w:sz w:val="20"/>
                <w:szCs w:val="20"/>
              </w:rPr>
              <w:t>) to feed companies to comply with the new SNI and good feed manufacturing practices.</w:t>
            </w:r>
          </w:p>
          <w:p w14:paraId="7CCBD0C6" w14:textId="77777777" w:rsidR="006F3334" w:rsidRPr="00C64064" w:rsidRDefault="006F3334" w:rsidP="00D91EA1">
            <w:pPr>
              <w:numPr>
                <w:ilvl w:val="0"/>
                <w:numId w:val="21"/>
              </w:numPr>
              <w:ind w:left="252" w:hanging="180"/>
              <w:contextualSpacing/>
              <w:rPr>
                <w:rFonts w:asciiTheme="majorHAnsi" w:eastAsia="Times New Roman" w:hAnsiTheme="majorHAnsi" w:cstheme="majorHAnsi"/>
                <w:color w:val="161719"/>
                <w:sz w:val="20"/>
                <w:szCs w:val="20"/>
              </w:rPr>
            </w:pPr>
            <w:r w:rsidRPr="00C64064">
              <w:rPr>
                <w:rFonts w:asciiTheme="majorHAnsi" w:eastAsia="Times New Roman" w:hAnsiTheme="majorHAnsi" w:cstheme="majorHAnsi"/>
                <w:color w:val="161719"/>
                <w:sz w:val="20"/>
                <w:szCs w:val="20"/>
              </w:rPr>
              <w:t>PRISMA is in the process of producing a video on GFMP for MSMEs, which will be released in July 2024. PRISMA also plans to support an event to socialise the revised feed SNI for beef and dairy, which is also scheduled for July 2024.</w:t>
            </w:r>
          </w:p>
          <w:p w14:paraId="32153D8F" w14:textId="77777777" w:rsidR="006F3334" w:rsidRPr="00C64064" w:rsidRDefault="006F3334" w:rsidP="006F3334">
            <w:pPr>
              <w:rPr>
                <w:rFonts w:asciiTheme="majorHAnsi" w:eastAsia="Times New Roman" w:hAnsiTheme="majorHAnsi" w:cstheme="majorHAnsi"/>
                <w:color w:val="161719"/>
                <w:sz w:val="20"/>
                <w:szCs w:val="20"/>
              </w:rPr>
            </w:pPr>
          </w:p>
          <w:p w14:paraId="73E753B7" w14:textId="77777777" w:rsidR="006F3334" w:rsidRPr="00C64064" w:rsidRDefault="006F3334" w:rsidP="006F3334">
            <w:pPr>
              <w:ind w:left="72"/>
              <w:rPr>
                <w:rFonts w:asciiTheme="majorHAnsi" w:eastAsia="Times New Roman" w:hAnsiTheme="majorHAnsi" w:cstheme="majorHAnsi"/>
                <w:color w:val="161719"/>
                <w:sz w:val="20"/>
                <w:szCs w:val="20"/>
              </w:rPr>
            </w:pPr>
          </w:p>
          <w:p w14:paraId="0C83793D" w14:textId="77777777" w:rsidR="006F3334" w:rsidRPr="00C64064" w:rsidRDefault="006F3334" w:rsidP="006F3334">
            <w:pPr>
              <w:ind w:left="72"/>
              <w:rPr>
                <w:rFonts w:asciiTheme="majorHAnsi" w:eastAsia="Times New Roman" w:hAnsiTheme="majorHAnsi" w:cstheme="majorHAnsi"/>
                <w:b/>
                <w:color w:val="161719"/>
                <w:sz w:val="20"/>
                <w:szCs w:val="20"/>
              </w:rPr>
            </w:pPr>
          </w:p>
        </w:tc>
        <w:tc>
          <w:tcPr>
            <w:tcW w:w="3817" w:type="dxa"/>
          </w:tcPr>
          <w:p w14:paraId="2ACEC00D" w14:textId="77777777" w:rsidR="006F3334" w:rsidRPr="00C64064" w:rsidRDefault="006F3334" w:rsidP="00D91EA1">
            <w:pPr>
              <w:numPr>
                <w:ilvl w:val="0"/>
                <w:numId w:val="21"/>
              </w:numPr>
              <w:ind w:left="252" w:hanging="180"/>
              <w:contextualSpacing/>
              <w:rPr>
                <w:rFonts w:asciiTheme="majorHAnsi" w:eastAsia="Times New Roman" w:hAnsiTheme="majorHAnsi" w:cstheme="majorHAnsi"/>
                <w:color w:val="161719"/>
                <w:sz w:val="20"/>
                <w:szCs w:val="20"/>
              </w:rPr>
            </w:pPr>
            <w:r w:rsidRPr="00C64064">
              <w:rPr>
                <w:rFonts w:asciiTheme="majorHAnsi" w:eastAsia="Times New Roman" w:hAnsiTheme="majorHAnsi" w:cstheme="majorHAnsi"/>
                <w:color w:val="161719"/>
                <w:sz w:val="20"/>
                <w:szCs w:val="20"/>
              </w:rPr>
              <w:t>In February 2024, 12 MoA auditors were trained and certified to perform auditing roles for feed companies and to train Wastukan at the provincial and district levels.</w:t>
            </w:r>
          </w:p>
          <w:p w14:paraId="58AA709D" w14:textId="15007E39" w:rsidR="006F3334" w:rsidRPr="00C64064" w:rsidRDefault="006F3334" w:rsidP="00D91EA1">
            <w:pPr>
              <w:numPr>
                <w:ilvl w:val="0"/>
                <w:numId w:val="21"/>
              </w:numPr>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161719"/>
                <w:sz w:val="20"/>
                <w:szCs w:val="20"/>
              </w:rPr>
              <w:t xml:space="preserve">MoA's trainers have trained 350 Wastukans across Indonesia using the training guidelines on 27-28  March 2024. </w:t>
            </w:r>
            <w:r w:rsidR="0030454E" w:rsidRPr="00C64064">
              <w:rPr>
                <w:rFonts w:asciiTheme="majorHAnsi" w:eastAsia="Times New Roman" w:hAnsiTheme="majorHAnsi" w:cstheme="majorHAnsi"/>
                <w:color w:val="161719"/>
                <w:sz w:val="20"/>
                <w:szCs w:val="20"/>
              </w:rPr>
              <w:t xml:space="preserve">Approximately </w:t>
            </w:r>
            <w:r w:rsidRPr="00C64064">
              <w:rPr>
                <w:rFonts w:asciiTheme="majorHAnsi" w:eastAsia="Times New Roman" w:hAnsiTheme="majorHAnsi" w:cstheme="majorHAnsi"/>
                <w:color w:val="161719"/>
                <w:sz w:val="20"/>
                <w:szCs w:val="20"/>
              </w:rPr>
              <w:t xml:space="preserve">84.1% of Wastukans felt more confident with guiding feed producers through the feed registration process, and 94.2% reported that they intend to apply the knowledge </w:t>
            </w:r>
            <w:r w:rsidR="0030454E" w:rsidRPr="00C64064">
              <w:rPr>
                <w:rFonts w:asciiTheme="majorHAnsi" w:eastAsia="Times New Roman" w:hAnsiTheme="majorHAnsi" w:cstheme="majorHAnsi"/>
                <w:color w:val="161719"/>
                <w:sz w:val="20"/>
                <w:szCs w:val="20"/>
              </w:rPr>
              <w:t xml:space="preserve">they </w:t>
            </w:r>
            <w:r w:rsidRPr="00C64064">
              <w:rPr>
                <w:rFonts w:asciiTheme="majorHAnsi" w:eastAsia="Times New Roman" w:hAnsiTheme="majorHAnsi" w:cstheme="majorHAnsi"/>
                <w:color w:val="161719"/>
                <w:sz w:val="20"/>
                <w:szCs w:val="20"/>
              </w:rPr>
              <w:t>gained to enhance their work</w:t>
            </w:r>
            <w:r w:rsidR="000675CA" w:rsidRPr="00C64064">
              <w:rPr>
                <w:rFonts w:asciiTheme="majorHAnsi" w:eastAsia="Times New Roman" w:hAnsiTheme="majorHAnsi" w:cstheme="majorHAnsi"/>
                <w:color w:val="161719"/>
                <w:sz w:val="20"/>
                <w:szCs w:val="20"/>
              </w:rPr>
              <w:t>.</w:t>
            </w:r>
          </w:p>
          <w:p w14:paraId="1DAF123A" w14:textId="52298D75" w:rsidR="006F3334" w:rsidRPr="00C64064" w:rsidRDefault="006F3334" w:rsidP="00D91EA1">
            <w:pPr>
              <w:numPr>
                <w:ilvl w:val="0"/>
                <w:numId w:val="21"/>
              </w:numPr>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161719"/>
                <w:sz w:val="20"/>
                <w:szCs w:val="20"/>
              </w:rPr>
              <w:t xml:space="preserve">After the initial training, Wastukans from Sumatra regions requested that </w:t>
            </w:r>
            <w:r w:rsidR="000675CA" w:rsidRPr="00C64064">
              <w:rPr>
                <w:rFonts w:asciiTheme="majorHAnsi" w:eastAsia="Times New Roman" w:hAnsiTheme="majorHAnsi" w:cstheme="majorHAnsi"/>
                <w:color w:val="161719"/>
                <w:sz w:val="20"/>
                <w:szCs w:val="20"/>
              </w:rPr>
              <w:t xml:space="preserve">the </w:t>
            </w:r>
            <w:r w:rsidRPr="00C64064">
              <w:rPr>
                <w:rFonts w:asciiTheme="majorHAnsi" w:eastAsia="Times New Roman" w:hAnsiTheme="majorHAnsi" w:cstheme="majorHAnsi"/>
                <w:color w:val="161719"/>
                <w:sz w:val="20"/>
                <w:szCs w:val="20"/>
              </w:rPr>
              <w:t>MoA deliver a follow-up offline training in their regions, scheduled for 2025.</w:t>
            </w:r>
          </w:p>
          <w:p w14:paraId="605AF0B8" w14:textId="23D2AB48" w:rsidR="006F3334" w:rsidRPr="00C64064" w:rsidRDefault="006F3334"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161719"/>
                <w:sz w:val="20"/>
                <w:szCs w:val="20"/>
              </w:rPr>
              <w:t xml:space="preserve">A 2-day training was provided for MSME feed producers on 28-29 May 2024. Over 200 feed producers from across the country participated in the training. </w:t>
            </w:r>
            <w:r w:rsidR="000675CA" w:rsidRPr="00C64064">
              <w:rPr>
                <w:rFonts w:asciiTheme="majorHAnsi" w:eastAsia="Times New Roman" w:hAnsiTheme="majorHAnsi" w:cstheme="majorHAnsi"/>
                <w:color w:val="161719"/>
                <w:sz w:val="20"/>
                <w:szCs w:val="20"/>
              </w:rPr>
              <w:t xml:space="preserve">Approximately </w:t>
            </w:r>
            <w:r w:rsidRPr="00C64064">
              <w:rPr>
                <w:rFonts w:asciiTheme="majorHAnsi" w:eastAsia="Times New Roman" w:hAnsiTheme="majorHAnsi" w:cstheme="majorHAnsi"/>
                <w:color w:val="161719"/>
                <w:sz w:val="20"/>
                <w:szCs w:val="20"/>
              </w:rPr>
              <w:t xml:space="preserve">83.3% found the training helpful for their work, and 70.2% felt more confident guiding their company through the feed registration process after the training. The </w:t>
            </w:r>
            <w:r w:rsidR="000675CA" w:rsidRPr="00C64064">
              <w:rPr>
                <w:rFonts w:asciiTheme="majorHAnsi" w:eastAsia="Times New Roman" w:hAnsiTheme="majorHAnsi" w:cstheme="majorHAnsi"/>
                <w:color w:val="161719"/>
                <w:sz w:val="20"/>
                <w:szCs w:val="20"/>
              </w:rPr>
              <w:t>technical guidance</w:t>
            </w:r>
            <w:r w:rsidRPr="00C64064">
              <w:rPr>
                <w:rFonts w:asciiTheme="majorHAnsi" w:eastAsia="Times New Roman" w:hAnsiTheme="majorHAnsi" w:cstheme="majorHAnsi"/>
                <w:color w:val="161719"/>
                <w:sz w:val="20"/>
                <w:szCs w:val="20"/>
              </w:rPr>
              <w:t xml:space="preserve"> video was also on YouTube and had 897 views as of June 2024.</w:t>
            </w:r>
          </w:p>
        </w:tc>
      </w:tr>
      <w:tr w:rsidR="00040D3F" w:rsidRPr="00C64064" w14:paraId="3B313A5A" w14:textId="77777777" w:rsidTr="7D2E47DB">
        <w:trPr>
          <w:trHeight w:val="3140"/>
        </w:trPr>
        <w:tc>
          <w:tcPr>
            <w:tcW w:w="2064" w:type="dxa"/>
            <w:vMerge w:val="restart"/>
          </w:tcPr>
          <w:p w14:paraId="53C533A0" w14:textId="46BE7941" w:rsidR="006F3334" w:rsidRPr="00C64064" w:rsidRDefault="006F3334" w:rsidP="006F3334">
            <w:pPr>
              <w:spacing w:after="60"/>
              <w:rPr>
                <w:rFonts w:asciiTheme="majorHAnsi" w:eastAsia="Times New Roman" w:hAnsiTheme="majorHAnsi" w:cstheme="majorHAnsi"/>
                <w:b/>
                <w:color w:val="000000"/>
                <w:sz w:val="20"/>
                <w:szCs w:val="20"/>
              </w:rPr>
            </w:pPr>
            <w:r w:rsidRPr="00C64064">
              <w:rPr>
                <w:rFonts w:asciiTheme="majorHAnsi" w:eastAsia="Times New Roman" w:hAnsiTheme="majorHAnsi" w:cstheme="majorHAnsi"/>
                <w:b/>
                <w:color w:val="000000"/>
                <w:sz w:val="20"/>
                <w:szCs w:val="20"/>
              </w:rPr>
              <w:lastRenderedPageBreak/>
              <w:t xml:space="preserve">Dairy: </w:t>
            </w:r>
            <w:r w:rsidR="00746EF2" w:rsidRPr="00C64064">
              <w:rPr>
                <w:rFonts w:asciiTheme="majorHAnsi" w:eastAsia="Times New Roman" w:hAnsiTheme="majorHAnsi" w:cstheme="majorHAnsi"/>
                <w:bCs/>
                <w:color w:val="000000"/>
                <w:sz w:val="20"/>
                <w:szCs w:val="20"/>
              </w:rPr>
              <w:t xml:space="preserve">The </w:t>
            </w:r>
            <w:r w:rsidRPr="00C64064">
              <w:rPr>
                <w:rFonts w:asciiTheme="majorHAnsi" w:eastAsia="Times New Roman" w:hAnsiTheme="majorHAnsi" w:cstheme="majorHAnsi"/>
                <w:color w:val="000000"/>
                <w:sz w:val="20"/>
                <w:szCs w:val="20"/>
              </w:rPr>
              <w:t>MoA develops and implements a dairy recovery strategy to accelerate sector recovery and build resilience</w:t>
            </w:r>
            <w:r w:rsidR="00746EF2" w:rsidRPr="00C64064">
              <w:rPr>
                <w:rFonts w:asciiTheme="majorHAnsi" w:eastAsia="Times New Roman" w:hAnsiTheme="majorHAnsi" w:cstheme="majorHAnsi"/>
                <w:color w:val="000000"/>
                <w:sz w:val="20"/>
                <w:szCs w:val="20"/>
              </w:rPr>
              <w:t>.</w:t>
            </w:r>
          </w:p>
        </w:tc>
        <w:tc>
          <w:tcPr>
            <w:tcW w:w="3742" w:type="dxa"/>
            <w:vMerge w:val="restart"/>
          </w:tcPr>
          <w:p w14:paraId="4F5A5A37" w14:textId="67244DB2" w:rsidR="006F3334" w:rsidRPr="00C64064" w:rsidRDefault="006F3334" w:rsidP="006F3334">
            <w:pPr>
              <w:spacing w:afterLines="60" w:after="144"/>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With national milk production dropping by 29% and </w:t>
            </w:r>
            <w:r w:rsidR="00746EF2" w:rsidRPr="00C64064">
              <w:rPr>
                <w:rFonts w:asciiTheme="majorHAnsi" w:eastAsia="Times New Roman" w:hAnsiTheme="majorHAnsi" w:cstheme="majorHAnsi"/>
                <w:color w:val="000000"/>
                <w:sz w:val="20"/>
                <w:szCs w:val="20"/>
              </w:rPr>
              <w:t xml:space="preserve">with mandatory slaughtering of </w:t>
            </w:r>
            <w:r w:rsidRPr="00C64064">
              <w:rPr>
                <w:rFonts w:asciiTheme="majorHAnsi" w:eastAsia="Times New Roman" w:hAnsiTheme="majorHAnsi" w:cstheme="majorHAnsi"/>
                <w:color w:val="000000"/>
                <w:sz w:val="20"/>
                <w:szCs w:val="20"/>
              </w:rPr>
              <w:t xml:space="preserve">over 10% of the cattle population to prevent the spread of disease, there was an urgent need to repopulate the sector with dairy cows and increase milk production as part of the recovery from the 2022 outbreaks of </w:t>
            </w:r>
            <w:r w:rsidR="00746EF2" w:rsidRPr="00C64064">
              <w:rPr>
                <w:rFonts w:asciiTheme="majorHAnsi" w:eastAsia="Times New Roman" w:hAnsiTheme="majorHAnsi" w:cstheme="majorHAnsi"/>
                <w:color w:val="000000"/>
                <w:sz w:val="20"/>
                <w:szCs w:val="20"/>
              </w:rPr>
              <w:t>f</w:t>
            </w:r>
            <w:r w:rsidRPr="00C64064">
              <w:rPr>
                <w:rFonts w:asciiTheme="majorHAnsi" w:eastAsia="Times New Roman" w:hAnsiTheme="majorHAnsi" w:cstheme="majorHAnsi"/>
                <w:color w:val="000000"/>
                <w:sz w:val="20"/>
                <w:szCs w:val="20"/>
              </w:rPr>
              <w:t xml:space="preserve">oot and </w:t>
            </w:r>
            <w:r w:rsidR="00746EF2" w:rsidRPr="00C64064">
              <w:rPr>
                <w:rFonts w:asciiTheme="majorHAnsi" w:eastAsia="Times New Roman" w:hAnsiTheme="majorHAnsi" w:cstheme="majorHAnsi"/>
                <w:color w:val="000000"/>
                <w:sz w:val="20"/>
                <w:szCs w:val="20"/>
              </w:rPr>
              <w:t>m</w:t>
            </w:r>
            <w:r w:rsidRPr="00C64064">
              <w:rPr>
                <w:rFonts w:asciiTheme="majorHAnsi" w:eastAsia="Times New Roman" w:hAnsiTheme="majorHAnsi" w:cstheme="majorHAnsi"/>
                <w:color w:val="000000"/>
                <w:sz w:val="20"/>
                <w:szCs w:val="20"/>
              </w:rPr>
              <w:t xml:space="preserve">outh </w:t>
            </w:r>
            <w:r w:rsidR="00746EF2" w:rsidRPr="00C64064">
              <w:rPr>
                <w:rFonts w:asciiTheme="majorHAnsi" w:eastAsia="Times New Roman" w:hAnsiTheme="majorHAnsi" w:cstheme="majorHAnsi"/>
                <w:color w:val="000000"/>
                <w:sz w:val="20"/>
                <w:szCs w:val="20"/>
              </w:rPr>
              <w:t>d</w:t>
            </w:r>
            <w:r w:rsidRPr="00C64064">
              <w:rPr>
                <w:rFonts w:asciiTheme="majorHAnsi" w:eastAsia="Times New Roman" w:hAnsiTheme="majorHAnsi" w:cstheme="majorHAnsi"/>
                <w:color w:val="000000"/>
                <w:sz w:val="20"/>
                <w:szCs w:val="20"/>
              </w:rPr>
              <w:t xml:space="preserve">isease (FMD) and </w:t>
            </w:r>
            <w:r w:rsidR="00746EF2" w:rsidRPr="00C64064">
              <w:rPr>
                <w:rFonts w:asciiTheme="majorHAnsi" w:eastAsia="Times New Roman" w:hAnsiTheme="majorHAnsi" w:cstheme="majorHAnsi"/>
                <w:color w:val="000000"/>
                <w:sz w:val="20"/>
                <w:szCs w:val="20"/>
              </w:rPr>
              <w:t>l</w:t>
            </w:r>
            <w:r w:rsidRPr="00C64064">
              <w:rPr>
                <w:rFonts w:asciiTheme="majorHAnsi" w:eastAsia="Times New Roman" w:hAnsiTheme="majorHAnsi" w:cstheme="majorHAnsi"/>
                <w:color w:val="000000"/>
                <w:sz w:val="20"/>
                <w:szCs w:val="20"/>
              </w:rPr>
              <w:t xml:space="preserve">umpy </w:t>
            </w:r>
            <w:r w:rsidR="00746EF2" w:rsidRPr="00C64064">
              <w:rPr>
                <w:rFonts w:asciiTheme="majorHAnsi" w:eastAsia="Times New Roman" w:hAnsiTheme="majorHAnsi" w:cstheme="majorHAnsi"/>
                <w:color w:val="000000"/>
                <w:sz w:val="20"/>
                <w:szCs w:val="20"/>
              </w:rPr>
              <w:t>s</w:t>
            </w:r>
            <w:r w:rsidRPr="00C64064">
              <w:rPr>
                <w:rFonts w:asciiTheme="majorHAnsi" w:eastAsia="Times New Roman" w:hAnsiTheme="majorHAnsi" w:cstheme="majorHAnsi"/>
                <w:color w:val="000000"/>
                <w:sz w:val="20"/>
                <w:szCs w:val="20"/>
              </w:rPr>
              <w:t xml:space="preserve">kin </w:t>
            </w:r>
            <w:r w:rsidR="00746EF2" w:rsidRPr="00C64064">
              <w:rPr>
                <w:rFonts w:asciiTheme="majorHAnsi" w:eastAsia="Times New Roman" w:hAnsiTheme="majorHAnsi" w:cstheme="majorHAnsi"/>
                <w:color w:val="000000"/>
                <w:sz w:val="20"/>
                <w:szCs w:val="20"/>
              </w:rPr>
              <w:t>d</w:t>
            </w:r>
            <w:r w:rsidRPr="00C64064">
              <w:rPr>
                <w:rFonts w:asciiTheme="majorHAnsi" w:eastAsia="Times New Roman" w:hAnsiTheme="majorHAnsi" w:cstheme="majorHAnsi"/>
                <w:color w:val="000000"/>
                <w:sz w:val="20"/>
                <w:szCs w:val="20"/>
              </w:rPr>
              <w:t>isease (LSD). However, as of 2022, the government had yet to develop a dairy recovery strategy. There were also no farm-level dairy guidelines and existing regulations on breeding policy</w:t>
            </w:r>
            <w:r w:rsidR="00BC4A2F"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 xml:space="preserve"> and dairy farming practices were outdated or impractical. Furthermore, there was a lack of data on the impact of FMD on the market and on alternative solutions to accelerate sector recovery. </w:t>
            </w:r>
          </w:p>
          <w:p w14:paraId="5843C8B2" w14:textId="1753A901" w:rsidR="006F3334" w:rsidRPr="00C64064" w:rsidRDefault="006F3334" w:rsidP="006F3334">
            <w:pPr>
              <w:spacing w:afterLines="60" w:after="144"/>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PRISMA supports </w:t>
            </w:r>
            <w:r w:rsidR="00D63C67" w:rsidRPr="00C64064">
              <w:rPr>
                <w:rFonts w:asciiTheme="majorHAnsi" w:eastAsia="Times New Roman" w:hAnsiTheme="majorHAnsi" w:cstheme="majorHAnsi"/>
                <w:color w:val="000000"/>
                <w:sz w:val="20"/>
                <w:szCs w:val="20"/>
              </w:rPr>
              <w:t xml:space="preserve">the </w:t>
            </w:r>
            <w:r w:rsidRPr="00C64064">
              <w:rPr>
                <w:rFonts w:asciiTheme="majorHAnsi" w:eastAsia="Times New Roman" w:hAnsiTheme="majorHAnsi" w:cstheme="majorHAnsi"/>
                <w:color w:val="000000"/>
                <w:sz w:val="20"/>
                <w:szCs w:val="20"/>
              </w:rPr>
              <w:t xml:space="preserve">MoA’s Directorate of </w:t>
            </w:r>
            <w:r w:rsidR="00D63C67" w:rsidRPr="00C64064">
              <w:rPr>
                <w:rFonts w:asciiTheme="majorHAnsi" w:eastAsia="Times New Roman" w:hAnsiTheme="majorHAnsi" w:cstheme="majorHAnsi"/>
                <w:color w:val="000000"/>
                <w:sz w:val="20"/>
                <w:szCs w:val="20"/>
              </w:rPr>
              <w:t xml:space="preserve">Livestock </w:t>
            </w:r>
            <w:r w:rsidRPr="00C64064">
              <w:rPr>
                <w:rFonts w:asciiTheme="majorHAnsi" w:eastAsia="Times New Roman" w:hAnsiTheme="majorHAnsi" w:cstheme="majorHAnsi"/>
                <w:color w:val="000000"/>
                <w:sz w:val="20"/>
                <w:szCs w:val="20"/>
              </w:rPr>
              <w:t xml:space="preserve">Breeding and Production (Bitpro) </w:t>
            </w:r>
            <w:r w:rsidR="00BC4A2F" w:rsidRPr="00C64064">
              <w:rPr>
                <w:rFonts w:asciiTheme="majorHAnsi" w:eastAsia="Times New Roman" w:hAnsiTheme="majorHAnsi" w:cstheme="majorHAnsi"/>
                <w:color w:val="000000"/>
                <w:sz w:val="20"/>
                <w:szCs w:val="20"/>
              </w:rPr>
              <w:t>in</w:t>
            </w:r>
            <w:r w:rsidRPr="00C64064">
              <w:rPr>
                <w:rFonts w:asciiTheme="majorHAnsi" w:eastAsia="Times New Roman" w:hAnsiTheme="majorHAnsi" w:cstheme="majorHAnsi"/>
                <w:color w:val="000000"/>
                <w:sz w:val="20"/>
                <w:szCs w:val="20"/>
              </w:rPr>
              <w:t xml:space="preserve"> develop</w:t>
            </w:r>
            <w:r w:rsidR="00BC4A2F" w:rsidRPr="00C64064">
              <w:rPr>
                <w:rFonts w:asciiTheme="majorHAnsi" w:eastAsia="Times New Roman" w:hAnsiTheme="majorHAnsi" w:cstheme="majorHAnsi"/>
                <w:color w:val="000000"/>
                <w:sz w:val="20"/>
                <w:szCs w:val="20"/>
              </w:rPr>
              <w:t>ing</w:t>
            </w:r>
            <w:r w:rsidRPr="00C64064">
              <w:rPr>
                <w:rFonts w:asciiTheme="majorHAnsi" w:eastAsia="Times New Roman" w:hAnsiTheme="majorHAnsi" w:cstheme="majorHAnsi"/>
                <w:color w:val="000000"/>
                <w:sz w:val="20"/>
                <w:szCs w:val="20"/>
              </w:rPr>
              <w:t xml:space="preserve"> and implement</w:t>
            </w:r>
            <w:r w:rsidR="00BC4A2F" w:rsidRPr="00C64064">
              <w:rPr>
                <w:rFonts w:asciiTheme="majorHAnsi" w:eastAsia="Times New Roman" w:hAnsiTheme="majorHAnsi" w:cstheme="majorHAnsi"/>
                <w:color w:val="000000"/>
                <w:sz w:val="20"/>
                <w:szCs w:val="20"/>
              </w:rPr>
              <w:t>ing</w:t>
            </w:r>
            <w:r w:rsidRPr="00C64064">
              <w:rPr>
                <w:rFonts w:asciiTheme="majorHAnsi" w:eastAsia="Times New Roman" w:hAnsiTheme="majorHAnsi" w:cstheme="majorHAnsi"/>
                <w:color w:val="000000"/>
                <w:sz w:val="20"/>
                <w:szCs w:val="20"/>
              </w:rPr>
              <w:t xml:space="preserve"> a dairy recovery strategy to accelerate sector recovery and build resilience. PRISMA does this by:</w:t>
            </w:r>
          </w:p>
          <w:p w14:paraId="3B7730E7" w14:textId="04BBB62D" w:rsidR="006F3334" w:rsidRPr="00C64064" w:rsidRDefault="006F3334" w:rsidP="00D91EA1">
            <w:pPr>
              <w:numPr>
                <w:ilvl w:val="0"/>
                <w:numId w:val="25"/>
              </w:numPr>
              <w:spacing w:after="6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assisting </w:t>
            </w:r>
            <w:r w:rsidR="00D63C67" w:rsidRPr="00C64064">
              <w:rPr>
                <w:rFonts w:asciiTheme="majorHAnsi" w:eastAsia="Times New Roman" w:hAnsiTheme="majorHAnsi" w:cstheme="majorHAnsi"/>
                <w:color w:val="000000"/>
                <w:sz w:val="20"/>
                <w:szCs w:val="20"/>
              </w:rPr>
              <w:t xml:space="preserve">the </w:t>
            </w:r>
            <w:r w:rsidRPr="00C64064">
              <w:rPr>
                <w:rFonts w:asciiTheme="majorHAnsi" w:eastAsia="Times New Roman" w:hAnsiTheme="majorHAnsi" w:cstheme="majorHAnsi"/>
                <w:color w:val="000000"/>
                <w:sz w:val="20"/>
                <w:szCs w:val="20"/>
              </w:rPr>
              <w:t xml:space="preserve">MoA </w:t>
            </w:r>
            <w:r w:rsidR="00D63C67" w:rsidRPr="00C64064">
              <w:rPr>
                <w:rFonts w:asciiTheme="majorHAnsi" w:eastAsia="Times New Roman" w:hAnsiTheme="majorHAnsi" w:cstheme="majorHAnsi"/>
                <w:color w:val="000000"/>
                <w:sz w:val="20"/>
                <w:szCs w:val="20"/>
              </w:rPr>
              <w:t>in</w:t>
            </w:r>
            <w:r w:rsidRPr="00C64064">
              <w:rPr>
                <w:rFonts w:asciiTheme="majorHAnsi" w:eastAsia="Times New Roman" w:hAnsiTheme="majorHAnsi" w:cstheme="majorHAnsi"/>
                <w:color w:val="000000"/>
                <w:sz w:val="20"/>
                <w:szCs w:val="20"/>
              </w:rPr>
              <w:t xml:space="preserve"> conducting a study on cattle repopulation after the FMD outbreak and developing </w:t>
            </w:r>
            <w:r w:rsidR="00C47517" w:rsidRPr="00C64064">
              <w:rPr>
                <w:rFonts w:asciiTheme="majorHAnsi" w:eastAsia="Times New Roman" w:hAnsiTheme="majorHAnsi" w:cstheme="majorHAnsi"/>
                <w:color w:val="000000"/>
                <w:sz w:val="20"/>
                <w:szCs w:val="20"/>
              </w:rPr>
              <w:t>2</w:t>
            </w:r>
            <w:r w:rsidRPr="00C64064">
              <w:rPr>
                <w:rFonts w:asciiTheme="majorHAnsi" w:eastAsia="Times New Roman" w:hAnsiTheme="majorHAnsi" w:cstheme="majorHAnsi"/>
                <w:color w:val="000000"/>
                <w:sz w:val="20"/>
                <w:szCs w:val="20"/>
              </w:rPr>
              <w:t xml:space="preserve"> resulting reports to provide recommendations for cattle repopulation and for introducing Jersey cows to Indonesia</w:t>
            </w:r>
          </w:p>
          <w:p w14:paraId="669BD865" w14:textId="77777777" w:rsidR="006F3334" w:rsidRPr="00C64064" w:rsidRDefault="006F3334" w:rsidP="00D91EA1">
            <w:pPr>
              <w:numPr>
                <w:ilvl w:val="0"/>
                <w:numId w:val="25"/>
              </w:numPr>
              <w:spacing w:after="6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lastRenderedPageBreak/>
              <w:t>reviewing and updating existing regulations, as well as developing guidelines for good dairy farming (GDF) practices for farmers</w:t>
            </w:r>
          </w:p>
          <w:p w14:paraId="03C989AA"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1303" w:type="dxa"/>
            <w:vMerge w:val="restart"/>
          </w:tcPr>
          <w:p w14:paraId="65B2F29B" w14:textId="6FA0E559" w:rsidR="006F3334" w:rsidRPr="00C64064" w:rsidRDefault="006F3334" w:rsidP="006F3334">
            <w:pPr>
              <w:spacing w:after="120"/>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lastRenderedPageBreak/>
              <w:t xml:space="preserve">Bitpro, </w:t>
            </w:r>
            <w:r w:rsidR="000675CA" w:rsidRPr="00C64064">
              <w:rPr>
                <w:rFonts w:asciiTheme="majorHAnsi" w:eastAsia="Times New Roman" w:hAnsiTheme="majorHAnsi" w:cstheme="majorHAnsi"/>
                <w:color w:val="000000"/>
                <w:sz w:val="20"/>
                <w:szCs w:val="20"/>
              </w:rPr>
              <w:t xml:space="preserve">the </w:t>
            </w:r>
            <w:r w:rsidRPr="00C64064">
              <w:rPr>
                <w:rFonts w:asciiTheme="majorHAnsi" w:eastAsia="Times New Roman" w:hAnsiTheme="majorHAnsi" w:cstheme="majorHAnsi"/>
                <w:color w:val="000000"/>
                <w:sz w:val="20"/>
                <w:szCs w:val="20"/>
              </w:rPr>
              <w:t>MoA</w:t>
            </w:r>
          </w:p>
        </w:tc>
        <w:tc>
          <w:tcPr>
            <w:tcW w:w="3598" w:type="dxa"/>
          </w:tcPr>
          <w:p w14:paraId="1D1218D3" w14:textId="07ABF8A1" w:rsidR="006F3334" w:rsidRPr="00C64064" w:rsidRDefault="006F3334" w:rsidP="006F3334">
            <w:pPr>
              <w:tabs>
                <w:tab w:val="center" w:pos="1692"/>
              </w:tabs>
              <w:rPr>
                <w:rFonts w:asciiTheme="majorHAnsi" w:eastAsia="Times New Roman" w:hAnsiTheme="majorHAnsi" w:cstheme="majorHAnsi"/>
                <w:color w:val="000000"/>
                <w:sz w:val="20"/>
                <w:szCs w:val="20"/>
              </w:rPr>
            </w:pPr>
            <w:r w:rsidRPr="00C64064">
              <w:rPr>
                <w:rFonts w:asciiTheme="majorHAnsi" w:eastAsia="Times New Roman" w:hAnsiTheme="majorHAnsi" w:cstheme="majorHAnsi"/>
                <w:b/>
                <w:color w:val="000000"/>
                <w:sz w:val="20"/>
                <w:szCs w:val="20"/>
              </w:rPr>
              <w:t>(a)</w:t>
            </w:r>
            <w:r w:rsidRPr="00C64064">
              <w:rPr>
                <w:rFonts w:asciiTheme="majorHAnsi" w:eastAsia="Times New Roman" w:hAnsiTheme="majorHAnsi" w:cstheme="majorHAnsi"/>
                <w:color w:val="000000"/>
                <w:sz w:val="20"/>
                <w:szCs w:val="20"/>
              </w:rPr>
              <w:t xml:space="preserve"> </w:t>
            </w:r>
            <w:r w:rsidRPr="00C64064">
              <w:rPr>
                <w:rFonts w:asciiTheme="majorHAnsi" w:eastAsia="Times New Roman" w:hAnsiTheme="majorHAnsi" w:cstheme="majorHAnsi"/>
                <w:b/>
                <w:color w:val="000000"/>
                <w:sz w:val="20"/>
                <w:szCs w:val="20"/>
              </w:rPr>
              <w:t xml:space="preserve">Completed: </w:t>
            </w:r>
            <w:r w:rsidRPr="00C64064">
              <w:rPr>
                <w:rFonts w:asciiTheme="majorHAnsi" w:eastAsia="Times New Roman" w:hAnsiTheme="majorHAnsi" w:cstheme="majorHAnsi"/>
                <w:color w:val="000000"/>
                <w:sz w:val="20"/>
                <w:szCs w:val="20"/>
              </w:rPr>
              <w:t xml:space="preserve">The cattle repopulation study was completed in 2022. Two reports resulting from the study were presented to </w:t>
            </w:r>
            <w:r w:rsidR="00D63C67" w:rsidRPr="00C64064">
              <w:rPr>
                <w:rFonts w:asciiTheme="majorHAnsi" w:eastAsia="Times New Roman" w:hAnsiTheme="majorHAnsi" w:cstheme="majorHAnsi"/>
                <w:color w:val="000000"/>
                <w:sz w:val="20"/>
                <w:szCs w:val="20"/>
              </w:rPr>
              <w:t xml:space="preserve">the </w:t>
            </w:r>
            <w:r w:rsidRPr="00C64064">
              <w:rPr>
                <w:rFonts w:asciiTheme="majorHAnsi" w:eastAsia="Times New Roman" w:hAnsiTheme="majorHAnsi" w:cstheme="majorHAnsi"/>
                <w:color w:val="000000"/>
                <w:sz w:val="20"/>
                <w:szCs w:val="20"/>
              </w:rPr>
              <w:t xml:space="preserve">MoA in February 2023. </w:t>
            </w:r>
          </w:p>
          <w:p w14:paraId="5A4F1B6F" w14:textId="77777777" w:rsidR="006F3334" w:rsidRPr="00C64064" w:rsidRDefault="006F3334" w:rsidP="006F3334">
            <w:pPr>
              <w:tabs>
                <w:tab w:val="left" w:pos="252"/>
              </w:tabs>
              <w:ind w:left="72"/>
              <w:rPr>
                <w:rFonts w:asciiTheme="majorHAnsi" w:eastAsia="Times New Roman" w:hAnsiTheme="majorHAnsi" w:cstheme="majorHAnsi"/>
                <w:color w:val="000000"/>
                <w:sz w:val="20"/>
                <w:szCs w:val="20"/>
              </w:rPr>
            </w:pPr>
          </w:p>
        </w:tc>
        <w:tc>
          <w:tcPr>
            <w:tcW w:w="3817" w:type="dxa"/>
          </w:tcPr>
          <w:p w14:paraId="27DC67CA" w14:textId="77777777" w:rsidR="006F3334" w:rsidRPr="00C64064" w:rsidRDefault="006F3334"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The cattle repopulation study included an assessment of Bitpro’s breeding centre’s capacity to produce breeding materials and seedstock.</w:t>
            </w:r>
          </w:p>
          <w:p w14:paraId="4D866A87" w14:textId="2ED679D3" w:rsidR="006F3334" w:rsidRPr="00C64064" w:rsidRDefault="006F3334"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The two reports were titled (1) </w:t>
            </w:r>
            <w:r w:rsidR="00736075"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 xml:space="preserve">Production Improvement Strategy of Livestock Breeding Materials and Seedstock for Dairy Cattle after FMD </w:t>
            </w:r>
            <w:r w:rsidR="0023594D" w:rsidRPr="00C64064">
              <w:rPr>
                <w:rFonts w:asciiTheme="majorHAnsi" w:eastAsia="Times New Roman" w:hAnsiTheme="majorHAnsi" w:cstheme="majorHAnsi"/>
                <w:color w:val="000000"/>
                <w:sz w:val="20"/>
                <w:szCs w:val="20"/>
              </w:rPr>
              <w:t>O</w:t>
            </w:r>
            <w:r w:rsidRPr="00C64064">
              <w:rPr>
                <w:rFonts w:asciiTheme="majorHAnsi" w:eastAsia="Times New Roman" w:hAnsiTheme="majorHAnsi" w:cstheme="majorHAnsi"/>
                <w:color w:val="000000"/>
                <w:sz w:val="20"/>
                <w:szCs w:val="20"/>
              </w:rPr>
              <w:t>utbreak</w:t>
            </w:r>
            <w:r w:rsidR="0023594D" w:rsidRPr="00C64064">
              <w:rPr>
                <w:rFonts w:asciiTheme="majorHAnsi" w:eastAsia="Times New Roman" w:hAnsiTheme="majorHAnsi" w:cstheme="majorHAnsi"/>
                <w:color w:val="000000"/>
                <w:sz w:val="20"/>
                <w:szCs w:val="20"/>
              </w:rPr>
              <w:t>s</w:t>
            </w:r>
            <w:r w:rsidR="00736075"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 xml:space="preserve"> and (2) </w:t>
            </w:r>
            <w:r w:rsidR="00736075"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 xml:space="preserve">Development </w:t>
            </w:r>
            <w:r w:rsidR="0023594D" w:rsidRPr="00C64064">
              <w:rPr>
                <w:rFonts w:asciiTheme="majorHAnsi" w:eastAsia="Times New Roman" w:hAnsiTheme="majorHAnsi" w:cstheme="majorHAnsi"/>
                <w:color w:val="000000"/>
                <w:sz w:val="20"/>
                <w:szCs w:val="20"/>
              </w:rPr>
              <w:t>R</w:t>
            </w:r>
            <w:r w:rsidRPr="00C64064">
              <w:rPr>
                <w:rFonts w:asciiTheme="majorHAnsi" w:eastAsia="Times New Roman" w:hAnsiTheme="majorHAnsi" w:cstheme="majorHAnsi"/>
                <w:color w:val="000000"/>
                <w:sz w:val="20"/>
                <w:szCs w:val="20"/>
              </w:rPr>
              <w:t xml:space="preserve">oadmap and </w:t>
            </w:r>
            <w:r w:rsidR="0023594D" w:rsidRPr="00C64064">
              <w:rPr>
                <w:rFonts w:asciiTheme="majorHAnsi" w:eastAsia="Times New Roman" w:hAnsiTheme="majorHAnsi" w:cstheme="majorHAnsi"/>
                <w:color w:val="000000"/>
                <w:sz w:val="20"/>
                <w:szCs w:val="20"/>
              </w:rPr>
              <w:t>R</w:t>
            </w:r>
            <w:r w:rsidRPr="00C64064">
              <w:rPr>
                <w:rFonts w:asciiTheme="majorHAnsi" w:eastAsia="Times New Roman" w:hAnsiTheme="majorHAnsi" w:cstheme="majorHAnsi"/>
                <w:color w:val="000000"/>
                <w:sz w:val="20"/>
                <w:szCs w:val="20"/>
              </w:rPr>
              <w:t xml:space="preserve">earing </w:t>
            </w:r>
            <w:r w:rsidR="0023594D" w:rsidRPr="00C64064">
              <w:rPr>
                <w:rFonts w:asciiTheme="majorHAnsi" w:eastAsia="Times New Roman" w:hAnsiTheme="majorHAnsi" w:cstheme="majorHAnsi"/>
                <w:color w:val="000000"/>
                <w:sz w:val="20"/>
                <w:szCs w:val="20"/>
              </w:rPr>
              <w:t>G</w:t>
            </w:r>
            <w:r w:rsidRPr="00C64064">
              <w:rPr>
                <w:rFonts w:asciiTheme="majorHAnsi" w:eastAsia="Times New Roman" w:hAnsiTheme="majorHAnsi" w:cstheme="majorHAnsi"/>
                <w:color w:val="000000"/>
                <w:sz w:val="20"/>
                <w:szCs w:val="20"/>
              </w:rPr>
              <w:t>uidelines for Jersey Cows</w:t>
            </w:r>
            <w:r w:rsidR="00736075"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w:t>
            </w:r>
          </w:p>
          <w:p w14:paraId="38B19516" w14:textId="034D2A68" w:rsidR="006F3334" w:rsidRPr="00C64064" w:rsidRDefault="006F3334"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Bitpro has shared both reports with various directorates </w:t>
            </w:r>
            <w:r w:rsidR="0023594D" w:rsidRPr="00C64064">
              <w:rPr>
                <w:rFonts w:asciiTheme="majorHAnsi" w:eastAsia="Times New Roman" w:hAnsiTheme="majorHAnsi" w:cstheme="majorHAnsi"/>
                <w:color w:val="000000"/>
                <w:sz w:val="20"/>
                <w:szCs w:val="20"/>
              </w:rPr>
              <w:t>with</w:t>
            </w:r>
            <w:r w:rsidRPr="00C64064">
              <w:rPr>
                <w:rFonts w:asciiTheme="majorHAnsi" w:eastAsia="Times New Roman" w:hAnsiTheme="majorHAnsi" w:cstheme="majorHAnsi"/>
                <w:color w:val="000000"/>
                <w:sz w:val="20"/>
                <w:szCs w:val="20"/>
              </w:rPr>
              <w:t xml:space="preserve">in </w:t>
            </w:r>
            <w:r w:rsidR="0023594D" w:rsidRPr="00C64064">
              <w:rPr>
                <w:rFonts w:asciiTheme="majorHAnsi" w:eastAsia="Times New Roman" w:hAnsiTheme="majorHAnsi" w:cstheme="majorHAnsi"/>
                <w:color w:val="000000"/>
                <w:sz w:val="20"/>
                <w:szCs w:val="20"/>
              </w:rPr>
              <w:t xml:space="preserve">the </w:t>
            </w:r>
            <w:r w:rsidRPr="00C64064">
              <w:rPr>
                <w:rFonts w:asciiTheme="majorHAnsi" w:eastAsia="Times New Roman" w:hAnsiTheme="majorHAnsi" w:cstheme="majorHAnsi"/>
                <w:color w:val="000000"/>
                <w:sz w:val="20"/>
                <w:szCs w:val="20"/>
              </w:rPr>
              <w:t>MoA and utilised them to formulate policies, programs, and budgets for 2023 and 2024, including the dairy repopulation program.</w:t>
            </w:r>
          </w:p>
          <w:p w14:paraId="0FB130E1" w14:textId="750C6CD0" w:rsidR="006F3334" w:rsidRPr="00C64064" w:rsidRDefault="006F3334"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Bitpro is now executing the dairy repopulation program, which aims to make 1,400 cows, including Jersey cows, available through Bitpro’s breeding centres. Based on another report recommendation, the program also set a new target for the Artificial Insemination Centre to achieve a 40% increase in dairy heifer production and to improve the quality of their semen production.</w:t>
            </w:r>
          </w:p>
          <w:p w14:paraId="1BACF0F2" w14:textId="29E43A97" w:rsidR="006F3334" w:rsidRPr="00C64064" w:rsidRDefault="006F3334"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Another recommendation </w:t>
            </w:r>
            <w:r w:rsidR="00BC4A2F" w:rsidRPr="00C64064">
              <w:rPr>
                <w:rFonts w:asciiTheme="majorHAnsi" w:eastAsia="Times New Roman" w:hAnsiTheme="majorHAnsi" w:cstheme="majorHAnsi"/>
                <w:color w:val="000000"/>
                <w:sz w:val="20"/>
                <w:szCs w:val="20"/>
              </w:rPr>
              <w:t>to</w:t>
            </w:r>
            <w:r w:rsidRPr="00C64064">
              <w:rPr>
                <w:rFonts w:asciiTheme="majorHAnsi" w:eastAsia="Times New Roman" w:hAnsiTheme="majorHAnsi" w:cstheme="majorHAnsi"/>
                <w:color w:val="000000"/>
                <w:sz w:val="20"/>
                <w:szCs w:val="20"/>
              </w:rPr>
              <w:t xml:space="preserve"> streamlin</w:t>
            </w:r>
            <w:r w:rsidR="00BC4A2F" w:rsidRPr="00C64064">
              <w:rPr>
                <w:rFonts w:asciiTheme="majorHAnsi" w:eastAsia="Times New Roman" w:hAnsiTheme="majorHAnsi" w:cstheme="majorHAnsi"/>
                <w:color w:val="000000"/>
                <w:sz w:val="20"/>
                <w:szCs w:val="20"/>
              </w:rPr>
              <w:t>e</w:t>
            </w:r>
            <w:r w:rsidRPr="00C64064">
              <w:rPr>
                <w:rFonts w:asciiTheme="majorHAnsi" w:eastAsia="Times New Roman" w:hAnsiTheme="majorHAnsi" w:cstheme="majorHAnsi"/>
                <w:color w:val="000000"/>
                <w:sz w:val="20"/>
                <w:szCs w:val="20"/>
              </w:rPr>
              <w:t xml:space="preserve"> the importation process of dairy cows was also adopted, which led to Bitpro recommend</w:t>
            </w:r>
            <w:r w:rsidR="0023594D" w:rsidRPr="00C64064">
              <w:rPr>
                <w:rFonts w:asciiTheme="majorHAnsi" w:eastAsia="Times New Roman" w:hAnsiTheme="majorHAnsi" w:cstheme="majorHAnsi"/>
                <w:color w:val="000000"/>
                <w:sz w:val="20"/>
                <w:szCs w:val="20"/>
              </w:rPr>
              <w:t>ing</w:t>
            </w:r>
            <w:r w:rsidRPr="00C64064">
              <w:rPr>
                <w:rFonts w:asciiTheme="majorHAnsi" w:eastAsia="Times New Roman" w:hAnsiTheme="majorHAnsi" w:cstheme="majorHAnsi"/>
                <w:color w:val="000000"/>
                <w:sz w:val="20"/>
                <w:szCs w:val="20"/>
              </w:rPr>
              <w:t xml:space="preserve"> </w:t>
            </w:r>
            <w:r w:rsidR="00BC4A2F" w:rsidRPr="00C64064">
              <w:rPr>
                <w:rFonts w:asciiTheme="majorHAnsi" w:eastAsia="Times New Roman" w:hAnsiTheme="majorHAnsi" w:cstheme="majorHAnsi"/>
                <w:color w:val="000000"/>
                <w:sz w:val="20"/>
                <w:szCs w:val="20"/>
              </w:rPr>
              <w:t xml:space="preserve">that </w:t>
            </w:r>
            <w:r w:rsidRPr="00C64064">
              <w:rPr>
                <w:rFonts w:asciiTheme="majorHAnsi" w:eastAsia="Times New Roman" w:hAnsiTheme="majorHAnsi" w:cstheme="majorHAnsi"/>
                <w:color w:val="000000"/>
                <w:sz w:val="20"/>
                <w:szCs w:val="20"/>
              </w:rPr>
              <w:t>4 breeding farms import 2,000 dairy cows.</w:t>
            </w:r>
          </w:p>
          <w:p w14:paraId="54A43926" w14:textId="33A87FBC" w:rsidR="006F3334" w:rsidRPr="00C64064" w:rsidRDefault="006F3334"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The team from Indonesia’s newly elected </w:t>
            </w:r>
            <w:r w:rsidR="0023594D" w:rsidRPr="00C64064">
              <w:rPr>
                <w:rFonts w:asciiTheme="majorHAnsi" w:eastAsia="Times New Roman" w:hAnsiTheme="majorHAnsi" w:cstheme="majorHAnsi"/>
                <w:color w:val="000000"/>
                <w:sz w:val="20"/>
                <w:szCs w:val="20"/>
              </w:rPr>
              <w:t>vice president</w:t>
            </w:r>
            <w:r w:rsidRPr="00C64064">
              <w:rPr>
                <w:rFonts w:asciiTheme="majorHAnsi" w:eastAsia="Times New Roman" w:hAnsiTheme="majorHAnsi" w:cstheme="majorHAnsi"/>
                <w:color w:val="000000"/>
                <w:sz w:val="20"/>
                <w:szCs w:val="20"/>
              </w:rPr>
              <w:t xml:space="preserve"> acknowledged that the reports were </w:t>
            </w:r>
            <w:r w:rsidRPr="00C64064">
              <w:rPr>
                <w:rFonts w:asciiTheme="majorHAnsi" w:eastAsia="Times New Roman" w:hAnsiTheme="majorHAnsi" w:cstheme="majorHAnsi"/>
                <w:color w:val="000000"/>
                <w:sz w:val="20"/>
                <w:szCs w:val="20"/>
              </w:rPr>
              <w:lastRenderedPageBreak/>
              <w:t xml:space="preserve">used as a reference for the free milk program and the dairy farming blueprint for 2025-2045. The team also approached PRISMA to support the new administration/government in realising its vision, mission, and programs for free milk. </w:t>
            </w:r>
          </w:p>
        </w:tc>
      </w:tr>
      <w:tr w:rsidR="00040D3F" w:rsidRPr="00C64064" w14:paraId="6993E7BB" w14:textId="77777777" w:rsidTr="7D2E47DB">
        <w:trPr>
          <w:trHeight w:val="791"/>
        </w:trPr>
        <w:tc>
          <w:tcPr>
            <w:tcW w:w="2064" w:type="dxa"/>
            <w:vMerge/>
          </w:tcPr>
          <w:p w14:paraId="6A985679" w14:textId="77777777" w:rsidR="006F3334" w:rsidRPr="00C64064" w:rsidRDefault="006F3334" w:rsidP="006F3334">
            <w:pPr>
              <w:spacing w:after="60"/>
              <w:rPr>
                <w:rFonts w:asciiTheme="majorHAnsi" w:eastAsia="Times New Roman" w:hAnsiTheme="majorHAnsi" w:cstheme="majorHAnsi"/>
                <w:b/>
                <w:color w:val="000000"/>
                <w:sz w:val="20"/>
                <w:szCs w:val="20"/>
              </w:rPr>
            </w:pPr>
          </w:p>
        </w:tc>
        <w:tc>
          <w:tcPr>
            <w:tcW w:w="3742" w:type="dxa"/>
            <w:vMerge/>
          </w:tcPr>
          <w:p w14:paraId="713A609B"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1303" w:type="dxa"/>
            <w:vMerge/>
          </w:tcPr>
          <w:p w14:paraId="679915CA"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3598" w:type="dxa"/>
          </w:tcPr>
          <w:p w14:paraId="76E5CD68" w14:textId="623910B5" w:rsidR="006F3334" w:rsidRPr="00C64064" w:rsidRDefault="006F3334" w:rsidP="006F3334">
            <w:pPr>
              <w:rPr>
                <w:rFonts w:asciiTheme="majorHAnsi" w:eastAsia="Times New Roman" w:hAnsiTheme="majorHAnsi" w:cstheme="majorHAnsi"/>
                <w:color w:val="000000"/>
                <w:sz w:val="20"/>
                <w:szCs w:val="20"/>
              </w:rPr>
            </w:pPr>
            <w:r w:rsidRPr="00C64064">
              <w:rPr>
                <w:rFonts w:asciiTheme="majorHAnsi" w:eastAsia="Times New Roman" w:hAnsiTheme="majorHAnsi" w:cstheme="majorHAnsi"/>
                <w:b/>
                <w:color w:val="000000"/>
                <w:sz w:val="20"/>
                <w:szCs w:val="20"/>
              </w:rPr>
              <w:t>(b)</w:t>
            </w:r>
            <w:r w:rsidRPr="00C64064">
              <w:rPr>
                <w:rFonts w:asciiTheme="majorHAnsi" w:eastAsia="Times New Roman" w:hAnsiTheme="majorHAnsi" w:cstheme="majorHAnsi"/>
                <w:color w:val="000000"/>
                <w:sz w:val="20"/>
                <w:szCs w:val="20"/>
              </w:rPr>
              <w:t xml:space="preserve"> </w:t>
            </w:r>
            <w:r w:rsidRPr="00C64064">
              <w:rPr>
                <w:rFonts w:asciiTheme="majorHAnsi" w:eastAsia="Times New Roman" w:hAnsiTheme="majorHAnsi" w:cstheme="majorHAnsi"/>
                <w:b/>
                <w:color w:val="000000"/>
                <w:sz w:val="20"/>
                <w:szCs w:val="20"/>
              </w:rPr>
              <w:t xml:space="preserve">Ongoing: </w:t>
            </w:r>
          </w:p>
          <w:p w14:paraId="6906059E" w14:textId="4242DF8C" w:rsidR="006F3334" w:rsidRPr="00C64064" w:rsidRDefault="00176DF9"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The </w:t>
            </w:r>
            <w:r w:rsidR="006F3334" w:rsidRPr="00C64064">
              <w:rPr>
                <w:rFonts w:asciiTheme="majorHAnsi" w:eastAsia="Times New Roman" w:hAnsiTheme="majorHAnsi" w:cstheme="majorHAnsi"/>
                <w:color w:val="000000"/>
                <w:sz w:val="20"/>
                <w:szCs w:val="20"/>
              </w:rPr>
              <w:t xml:space="preserve">MoA's draft regulation on good dairy farming practices is complete. The regulation is currently under review by </w:t>
            </w:r>
            <w:r w:rsidRPr="00C64064">
              <w:rPr>
                <w:rFonts w:asciiTheme="majorHAnsi" w:eastAsia="Times New Roman" w:hAnsiTheme="majorHAnsi" w:cstheme="majorHAnsi"/>
                <w:color w:val="000000"/>
                <w:sz w:val="20"/>
                <w:szCs w:val="20"/>
              </w:rPr>
              <w:t xml:space="preserve">the </w:t>
            </w:r>
            <w:r w:rsidR="006F3334" w:rsidRPr="00C64064">
              <w:rPr>
                <w:rFonts w:asciiTheme="majorHAnsi" w:eastAsia="Times New Roman" w:hAnsiTheme="majorHAnsi" w:cstheme="majorHAnsi"/>
                <w:color w:val="000000"/>
                <w:sz w:val="20"/>
                <w:szCs w:val="20"/>
              </w:rPr>
              <w:t xml:space="preserve">MoA’s legal bureau and is expected to be released in 2024 after approval by the Minister. </w:t>
            </w:r>
          </w:p>
          <w:p w14:paraId="27125B89" w14:textId="6D0D8AE8" w:rsidR="006F3334" w:rsidRPr="00C64064" w:rsidRDefault="00176DF9"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The </w:t>
            </w:r>
            <w:r w:rsidR="006F3334" w:rsidRPr="00C64064">
              <w:rPr>
                <w:rFonts w:asciiTheme="majorHAnsi" w:eastAsia="Times New Roman" w:hAnsiTheme="majorHAnsi" w:cstheme="majorHAnsi"/>
                <w:color w:val="000000"/>
                <w:sz w:val="20"/>
                <w:szCs w:val="20"/>
              </w:rPr>
              <w:t xml:space="preserve">MoA expects to disseminate the guidelines in the form of pocketbooks to industry stakeholders in a socialisation event in August 2024. The pocketbook for </w:t>
            </w:r>
            <w:r w:rsidRPr="00C64064">
              <w:rPr>
                <w:rFonts w:asciiTheme="majorHAnsi" w:eastAsia="Times New Roman" w:hAnsiTheme="majorHAnsi" w:cstheme="majorHAnsi"/>
                <w:color w:val="000000"/>
                <w:sz w:val="20"/>
                <w:szCs w:val="20"/>
              </w:rPr>
              <w:t xml:space="preserve">GDF </w:t>
            </w:r>
            <w:r w:rsidR="006F3334" w:rsidRPr="00C64064">
              <w:rPr>
                <w:rFonts w:asciiTheme="majorHAnsi" w:eastAsia="Times New Roman" w:hAnsiTheme="majorHAnsi" w:cstheme="majorHAnsi"/>
                <w:color w:val="000000"/>
                <w:sz w:val="20"/>
                <w:szCs w:val="20"/>
              </w:rPr>
              <w:t>practices has been finalised</w:t>
            </w:r>
            <w:r w:rsidR="00736075" w:rsidRPr="00C64064">
              <w:rPr>
                <w:rFonts w:asciiTheme="majorHAnsi" w:eastAsia="Times New Roman" w:hAnsiTheme="majorHAnsi" w:cstheme="majorHAnsi"/>
                <w:color w:val="000000"/>
                <w:sz w:val="20"/>
                <w:szCs w:val="20"/>
              </w:rPr>
              <w:t>,</w:t>
            </w:r>
            <w:r w:rsidR="006F3334" w:rsidRPr="00C64064">
              <w:rPr>
                <w:rFonts w:asciiTheme="majorHAnsi" w:eastAsia="Times New Roman" w:hAnsiTheme="majorHAnsi" w:cstheme="majorHAnsi"/>
                <w:color w:val="000000"/>
                <w:sz w:val="20"/>
                <w:szCs w:val="20"/>
              </w:rPr>
              <w:t xml:space="preserve"> and the pocketbook for Jersey cows will be finalised in July 2024.</w:t>
            </w:r>
          </w:p>
        </w:tc>
        <w:tc>
          <w:tcPr>
            <w:tcW w:w="3817" w:type="dxa"/>
          </w:tcPr>
          <w:p w14:paraId="064E6825" w14:textId="3B96CA50" w:rsidR="006F3334" w:rsidRPr="00C64064" w:rsidRDefault="00176DF9"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The </w:t>
            </w:r>
            <w:r w:rsidR="006F3334" w:rsidRPr="00C64064">
              <w:rPr>
                <w:rFonts w:asciiTheme="majorHAnsi" w:eastAsia="Times New Roman" w:hAnsiTheme="majorHAnsi" w:cstheme="majorHAnsi"/>
                <w:color w:val="000000"/>
                <w:sz w:val="20"/>
                <w:szCs w:val="20"/>
              </w:rPr>
              <w:t>MoA has consolidated 3 existing regulations (Guidelines</w:t>
            </w:r>
            <w:r w:rsidRPr="00C64064">
              <w:rPr>
                <w:rFonts w:asciiTheme="majorHAnsi" w:eastAsia="Times New Roman" w:hAnsiTheme="majorHAnsi" w:cstheme="majorHAnsi"/>
                <w:color w:val="000000"/>
                <w:sz w:val="20"/>
                <w:szCs w:val="20"/>
              </w:rPr>
              <w:t xml:space="preserve"> on</w:t>
            </w:r>
            <w:r w:rsidR="006F3334" w:rsidRPr="00C64064">
              <w:rPr>
                <w:rFonts w:asciiTheme="majorHAnsi" w:eastAsia="Times New Roman" w:hAnsiTheme="majorHAnsi" w:cstheme="majorHAnsi"/>
                <w:color w:val="000000"/>
                <w:sz w:val="20"/>
                <w:szCs w:val="20"/>
              </w:rPr>
              <w:t xml:space="preserve"> Dairy Farming Practices, Guidelines</w:t>
            </w:r>
            <w:r w:rsidRPr="00C64064">
              <w:rPr>
                <w:rFonts w:asciiTheme="majorHAnsi" w:eastAsia="Times New Roman" w:hAnsiTheme="majorHAnsi" w:cstheme="majorHAnsi"/>
                <w:color w:val="000000"/>
                <w:sz w:val="20"/>
                <w:szCs w:val="20"/>
              </w:rPr>
              <w:t xml:space="preserve"> on</w:t>
            </w:r>
            <w:r w:rsidR="006F3334" w:rsidRPr="00C64064">
              <w:rPr>
                <w:rFonts w:asciiTheme="majorHAnsi" w:eastAsia="Times New Roman" w:hAnsiTheme="majorHAnsi" w:cstheme="majorHAnsi"/>
                <w:color w:val="000000"/>
                <w:sz w:val="20"/>
                <w:szCs w:val="20"/>
              </w:rPr>
              <w:t xml:space="preserve"> Dairy Breeding Practices, and Organic Farming) into one comprehensive regulation</w:t>
            </w:r>
            <w:r w:rsidRPr="00C64064">
              <w:rPr>
                <w:rFonts w:asciiTheme="majorHAnsi" w:eastAsia="Times New Roman" w:hAnsiTheme="majorHAnsi" w:cstheme="majorHAnsi"/>
                <w:color w:val="000000"/>
                <w:sz w:val="20"/>
                <w:szCs w:val="20"/>
              </w:rPr>
              <w:t>, namely</w:t>
            </w:r>
            <w:r w:rsidR="006F3334" w:rsidRPr="00C64064">
              <w:rPr>
                <w:rFonts w:asciiTheme="majorHAnsi" w:eastAsia="Times New Roman" w:hAnsiTheme="majorHAnsi" w:cstheme="majorHAnsi"/>
                <w:color w:val="000000"/>
                <w:sz w:val="20"/>
                <w:szCs w:val="20"/>
              </w:rPr>
              <w:t xml:space="preserve"> Good Dairy Breeding and Farming Practices.</w:t>
            </w:r>
          </w:p>
          <w:p w14:paraId="08FE10F6" w14:textId="72946936" w:rsidR="006F3334" w:rsidRPr="00C64064" w:rsidRDefault="006F3334"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Based on the revised regulation, </w:t>
            </w:r>
            <w:r w:rsidR="00C47517" w:rsidRPr="00C64064">
              <w:rPr>
                <w:rFonts w:asciiTheme="majorHAnsi" w:eastAsia="Times New Roman" w:hAnsiTheme="majorHAnsi" w:cstheme="majorHAnsi"/>
                <w:color w:val="000000"/>
                <w:sz w:val="20"/>
                <w:szCs w:val="20"/>
              </w:rPr>
              <w:t>2</w:t>
            </w:r>
            <w:r w:rsidRPr="00C64064">
              <w:rPr>
                <w:rFonts w:asciiTheme="majorHAnsi" w:eastAsia="Times New Roman" w:hAnsiTheme="majorHAnsi" w:cstheme="majorHAnsi"/>
                <w:color w:val="000000"/>
                <w:sz w:val="20"/>
                <w:szCs w:val="20"/>
              </w:rPr>
              <w:t xml:space="preserve"> farm-level guidelines are being developed and will be disseminated in the form of pocketbooks: (1) </w:t>
            </w:r>
            <w:r w:rsidR="00176DF9" w:rsidRPr="00C64064">
              <w:rPr>
                <w:rFonts w:asciiTheme="majorHAnsi" w:eastAsia="Times New Roman" w:hAnsiTheme="majorHAnsi" w:cstheme="majorHAnsi"/>
                <w:color w:val="000000"/>
                <w:sz w:val="20"/>
                <w:szCs w:val="20"/>
              </w:rPr>
              <w:t xml:space="preserve">a </w:t>
            </w:r>
            <w:r w:rsidRPr="00C64064">
              <w:rPr>
                <w:rFonts w:asciiTheme="majorHAnsi" w:eastAsia="Times New Roman" w:hAnsiTheme="majorHAnsi" w:cstheme="majorHAnsi"/>
                <w:color w:val="000000"/>
                <w:sz w:val="20"/>
                <w:szCs w:val="20"/>
              </w:rPr>
              <w:t xml:space="preserve">pocketbook for GDF practices and (2) </w:t>
            </w:r>
            <w:r w:rsidR="00176DF9" w:rsidRPr="00C64064">
              <w:rPr>
                <w:rFonts w:asciiTheme="majorHAnsi" w:eastAsia="Times New Roman" w:hAnsiTheme="majorHAnsi" w:cstheme="majorHAnsi"/>
                <w:color w:val="000000"/>
                <w:sz w:val="20"/>
                <w:szCs w:val="20"/>
              </w:rPr>
              <w:t xml:space="preserve">a </w:t>
            </w:r>
            <w:r w:rsidRPr="00C64064">
              <w:rPr>
                <w:rFonts w:asciiTheme="majorHAnsi" w:eastAsia="Times New Roman" w:hAnsiTheme="majorHAnsi" w:cstheme="majorHAnsi"/>
                <w:color w:val="000000"/>
                <w:sz w:val="20"/>
                <w:szCs w:val="20"/>
              </w:rPr>
              <w:t>pocketbook for Jersey cow</w:t>
            </w:r>
            <w:r w:rsidR="00176DF9" w:rsidRPr="00C64064">
              <w:rPr>
                <w:rFonts w:asciiTheme="majorHAnsi" w:eastAsia="Times New Roman" w:hAnsiTheme="majorHAnsi" w:cstheme="majorHAnsi"/>
                <w:color w:val="000000"/>
                <w:sz w:val="20"/>
                <w:szCs w:val="20"/>
              </w:rPr>
              <w:t>s</w:t>
            </w:r>
            <w:r w:rsidRPr="00C64064">
              <w:rPr>
                <w:rFonts w:asciiTheme="majorHAnsi" w:eastAsia="Times New Roman" w:hAnsiTheme="majorHAnsi" w:cstheme="majorHAnsi"/>
                <w:color w:val="000000"/>
                <w:sz w:val="20"/>
                <w:szCs w:val="20"/>
              </w:rPr>
              <w:t>.</w:t>
            </w:r>
          </w:p>
          <w:p w14:paraId="15DD65B7" w14:textId="77777777" w:rsidR="006F3334" w:rsidRPr="00C64064" w:rsidRDefault="006F3334"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The pocketbook for Jersey cows was also informed by the smallholder Jersey trial, which ran from October 2023 to March 2024 and was implemented by SGM-Danone with PRISMA’s support.</w:t>
            </w:r>
          </w:p>
        </w:tc>
      </w:tr>
      <w:tr w:rsidR="00040D3F" w:rsidRPr="00C64064" w14:paraId="424BC9EB" w14:textId="77777777" w:rsidTr="7D2E47DB">
        <w:trPr>
          <w:trHeight w:val="170"/>
        </w:trPr>
        <w:tc>
          <w:tcPr>
            <w:tcW w:w="2064" w:type="dxa"/>
            <w:vMerge w:val="restart"/>
          </w:tcPr>
          <w:p w14:paraId="6A2DF15C" w14:textId="429539AC" w:rsidR="006F3334" w:rsidRPr="00C64064" w:rsidRDefault="006F3334" w:rsidP="006F3334">
            <w:pPr>
              <w:spacing w:after="60"/>
              <w:rPr>
                <w:rFonts w:asciiTheme="majorHAnsi" w:eastAsia="Times New Roman" w:hAnsiTheme="majorHAnsi" w:cstheme="majorHAnsi"/>
                <w:b/>
                <w:color w:val="000000"/>
                <w:sz w:val="20"/>
                <w:szCs w:val="20"/>
              </w:rPr>
            </w:pPr>
            <w:r w:rsidRPr="00C64064">
              <w:rPr>
                <w:rFonts w:asciiTheme="majorHAnsi" w:eastAsia="Times New Roman" w:hAnsiTheme="majorHAnsi" w:cstheme="majorHAnsi"/>
                <w:b/>
                <w:color w:val="000000"/>
                <w:sz w:val="20"/>
                <w:szCs w:val="20"/>
              </w:rPr>
              <w:t>Maize:</w:t>
            </w:r>
            <w:r w:rsidRPr="00C64064">
              <w:rPr>
                <w:rFonts w:asciiTheme="majorHAnsi" w:eastAsia="Times New Roman" w:hAnsiTheme="majorHAnsi" w:cstheme="majorHAnsi"/>
                <w:color w:val="000000"/>
                <w:sz w:val="20"/>
                <w:szCs w:val="20"/>
              </w:rPr>
              <w:t xml:space="preserve"> Central Java provincial government and </w:t>
            </w:r>
            <w:r w:rsidR="00176DF9" w:rsidRPr="00C64064">
              <w:rPr>
                <w:rFonts w:asciiTheme="majorHAnsi" w:eastAsia="Times New Roman" w:hAnsiTheme="majorHAnsi" w:cstheme="majorHAnsi"/>
                <w:color w:val="000000"/>
                <w:sz w:val="20"/>
                <w:szCs w:val="20"/>
              </w:rPr>
              <w:t xml:space="preserve">the </w:t>
            </w:r>
            <w:r w:rsidRPr="00C64064">
              <w:rPr>
                <w:rFonts w:asciiTheme="majorHAnsi" w:eastAsia="Times New Roman" w:hAnsiTheme="majorHAnsi" w:cstheme="majorHAnsi"/>
                <w:color w:val="000000"/>
                <w:sz w:val="20"/>
                <w:szCs w:val="20"/>
              </w:rPr>
              <w:t xml:space="preserve">Sumenep </w:t>
            </w:r>
            <w:r w:rsidR="00176DF9" w:rsidRPr="00C64064">
              <w:rPr>
                <w:rFonts w:asciiTheme="majorHAnsi" w:eastAsia="Times New Roman" w:hAnsiTheme="majorHAnsi" w:cstheme="majorHAnsi"/>
                <w:color w:val="000000"/>
                <w:sz w:val="20"/>
                <w:szCs w:val="20"/>
              </w:rPr>
              <w:t xml:space="preserve">Office </w:t>
            </w:r>
            <w:r w:rsidRPr="00C64064">
              <w:rPr>
                <w:rFonts w:asciiTheme="majorHAnsi" w:eastAsia="Times New Roman" w:hAnsiTheme="majorHAnsi" w:cstheme="majorHAnsi"/>
                <w:color w:val="000000"/>
                <w:sz w:val="20"/>
                <w:szCs w:val="20"/>
              </w:rPr>
              <w:lastRenderedPageBreak/>
              <w:t>improve their maize seed subsidy planning systems</w:t>
            </w:r>
          </w:p>
        </w:tc>
        <w:tc>
          <w:tcPr>
            <w:tcW w:w="3742" w:type="dxa"/>
            <w:vMerge w:val="restart"/>
          </w:tcPr>
          <w:p w14:paraId="7F913CFF" w14:textId="77777777" w:rsidR="006F3334" w:rsidRPr="00C64064" w:rsidRDefault="006F3334" w:rsidP="006F3334">
            <w:pPr>
              <w:spacing w:afterLines="60" w:after="144"/>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lastRenderedPageBreak/>
              <w:t xml:space="preserve">While provincial and local governments have promoted hybrid seed through their seed subsidy programs, subsidy planning has </w:t>
            </w:r>
            <w:r w:rsidRPr="00C64064">
              <w:rPr>
                <w:rFonts w:asciiTheme="majorHAnsi" w:eastAsia="Times New Roman" w:hAnsiTheme="majorHAnsi" w:cstheme="majorHAnsi"/>
                <w:color w:val="000000"/>
                <w:sz w:val="20"/>
                <w:szCs w:val="20"/>
              </w:rPr>
              <w:lastRenderedPageBreak/>
              <w:t>been inefficient, often resulting in high overlaps between the subsidy recipients and existing commercial seed users. This is a disincentive for seed companies to add investment and continue serving or expanding into certain geographies. As a result, in Phase 1, PRISMA facilitated a proof of concept pilot in Sumenep from 2016-2018. This pilot significantly reduced the overlap of subsidy recipients and commercial farmers and proved that smart subsidy planning works.</w:t>
            </w:r>
          </w:p>
          <w:p w14:paraId="01DDF608" w14:textId="71D25B77" w:rsidR="006F3334" w:rsidRPr="00C64064" w:rsidRDefault="006F3334" w:rsidP="006F3334">
            <w:pPr>
              <w:spacing w:afterLines="60" w:after="144"/>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PRISMA now supports the Central Java provincial government and the Sumenep Food Security and Agriculture Agency to ensure the smart subsidy practice is institutionalised, thereby increasing their willingness and capacity to continue implementing smart subsidy planning. PRISMA does this by: </w:t>
            </w:r>
          </w:p>
          <w:p w14:paraId="3B3439E5" w14:textId="77777777" w:rsidR="006F3334" w:rsidRPr="00C64064" w:rsidRDefault="006F3334" w:rsidP="00D91EA1">
            <w:pPr>
              <w:numPr>
                <w:ilvl w:val="0"/>
                <w:numId w:val="27"/>
              </w:numPr>
              <w:spacing w:afterLines="60" w:after="144"/>
              <w:ind w:left="253" w:hanging="253"/>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developing databases and analysis tools for Sumenep and Central Java to show the level of hybrid seed adoption in different areas and providing training and coaching for government staff to utilise and regularly update the database </w:t>
            </w:r>
          </w:p>
          <w:p w14:paraId="5D9DC761" w14:textId="77777777" w:rsidR="006F3334" w:rsidRPr="00C64064" w:rsidRDefault="006F3334" w:rsidP="00D91EA1">
            <w:pPr>
              <w:numPr>
                <w:ilvl w:val="0"/>
                <w:numId w:val="27"/>
              </w:numPr>
              <w:spacing w:afterLines="60" w:after="144"/>
              <w:ind w:left="253" w:hanging="253"/>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establishing guidelines for Sumenep and Central Java on how to identify target areas for subsidies based on the analysis of database results and improve </w:t>
            </w:r>
            <w:r w:rsidRPr="00C64064">
              <w:rPr>
                <w:rFonts w:asciiTheme="majorHAnsi" w:eastAsia="Times New Roman" w:hAnsiTheme="majorHAnsi" w:cstheme="majorHAnsi"/>
                <w:color w:val="000000"/>
                <w:sz w:val="20"/>
                <w:szCs w:val="20"/>
              </w:rPr>
              <w:lastRenderedPageBreak/>
              <w:t>the delivery of seed subsidy programs</w:t>
            </w:r>
          </w:p>
          <w:p w14:paraId="08F6C622" w14:textId="77777777" w:rsidR="006F3334" w:rsidRPr="00C64064" w:rsidRDefault="006F3334" w:rsidP="00D91EA1">
            <w:pPr>
              <w:numPr>
                <w:ilvl w:val="0"/>
                <w:numId w:val="27"/>
              </w:numPr>
              <w:spacing w:afterLines="60" w:after="144"/>
              <w:ind w:left="253" w:hanging="253"/>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capturing and promoting the benefits of smart subsidy planning to the national government through a study and policy brief based on the practices adopted in Sumenep and Central Java</w:t>
            </w:r>
          </w:p>
        </w:tc>
        <w:tc>
          <w:tcPr>
            <w:tcW w:w="1303" w:type="dxa"/>
            <w:vMerge w:val="restart"/>
          </w:tcPr>
          <w:p w14:paraId="7E1BBD6C" w14:textId="27CC6EDA" w:rsidR="006F3334" w:rsidRPr="00C64064" w:rsidRDefault="006F3334" w:rsidP="006F3334">
            <w:pPr>
              <w:spacing w:afterLines="60" w:after="144"/>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lastRenderedPageBreak/>
              <w:t xml:space="preserve">Food Security and Agriculture Office </w:t>
            </w:r>
            <w:r w:rsidR="00040D3F" w:rsidRPr="00C64064">
              <w:rPr>
                <w:rFonts w:asciiTheme="majorHAnsi" w:eastAsia="Times New Roman" w:hAnsiTheme="majorHAnsi" w:cstheme="majorHAnsi"/>
                <w:color w:val="000000"/>
                <w:sz w:val="20"/>
                <w:szCs w:val="20"/>
              </w:rPr>
              <w:t xml:space="preserve">Sumenep </w:t>
            </w:r>
            <w:r w:rsidR="00040D3F" w:rsidRPr="00C64064">
              <w:rPr>
                <w:rFonts w:asciiTheme="majorHAnsi" w:eastAsia="Times New Roman" w:hAnsiTheme="majorHAnsi" w:cstheme="majorHAnsi"/>
                <w:color w:val="000000"/>
                <w:sz w:val="20"/>
                <w:szCs w:val="20"/>
              </w:rPr>
              <w:lastRenderedPageBreak/>
              <w:t>Food and Agriculture</w:t>
            </w:r>
            <w:r w:rsidRPr="00C64064">
              <w:rPr>
                <w:rFonts w:asciiTheme="majorHAnsi" w:eastAsia="Times New Roman" w:hAnsiTheme="majorHAnsi" w:cstheme="majorHAnsi"/>
                <w:color w:val="000000"/>
                <w:sz w:val="20"/>
                <w:szCs w:val="20"/>
              </w:rPr>
              <w:t xml:space="preserve">/DKPP) </w:t>
            </w:r>
          </w:p>
          <w:p w14:paraId="093EC57C" w14:textId="75E9552B" w:rsidR="006F3334" w:rsidRPr="00C64064" w:rsidRDefault="00040D3F" w:rsidP="006F3334">
            <w:pPr>
              <w:spacing w:afterLines="60" w:after="144"/>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Central Java </w:t>
            </w:r>
            <w:r w:rsidR="006F3334" w:rsidRPr="00C64064">
              <w:rPr>
                <w:rFonts w:asciiTheme="majorHAnsi" w:eastAsia="Times New Roman" w:hAnsiTheme="majorHAnsi" w:cstheme="majorHAnsi"/>
                <w:color w:val="000000"/>
                <w:sz w:val="20"/>
                <w:szCs w:val="20"/>
              </w:rPr>
              <w:t xml:space="preserve">Provincial Agriculture and Plantation Office </w:t>
            </w:r>
          </w:p>
        </w:tc>
        <w:tc>
          <w:tcPr>
            <w:tcW w:w="3598" w:type="dxa"/>
          </w:tcPr>
          <w:p w14:paraId="482AD33A" w14:textId="77777777" w:rsidR="006F3334" w:rsidRPr="00C64064" w:rsidRDefault="006F3334" w:rsidP="006F3334">
            <w:pPr>
              <w:spacing w:after="60"/>
              <w:rPr>
                <w:rFonts w:asciiTheme="majorHAnsi" w:eastAsia="Times New Roman" w:hAnsiTheme="majorHAnsi" w:cstheme="majorHAnsi"/>
                <w:bCs/>
                <w:color w:val="000000"/>
                <w:sz w:val="20"/>
                <w:szCs w:val="20"/>
              </w:rPr>
            </w:pPr>
            <w:r w:rsidRPr="00C64064">
              <w:rPr>
                <w:rFonts w:asciiTheme="majorHAnsi" w:eastAsia="Times New Roman" w:hAnsiTheme="majorHAnsi" w:cstheme="majorHAnsi"/>
                <w:b/>
                <w:color w:val="000000"/>
                <w:sz w:val="20"/>
                <w:szCs w:val="20"/>
              </w:rPr>
              <w:lastRenderedPageBreak/>
              <w:t xml:space="preserve">(a) Completed: </w:t>
            </w:r>
            <w:r w:rsidRPr="00C64064">
              <w:rPr>
                <w:rFonts w:asciiTheme="majorHAnsi" w:eastAsia="Times New Roman" w:hAnsiTheme="majorHAnsi" w:cstheme="majorHAnsi"/>
                <w:color w:val="000000"/>
                <w:sz w:val="20"/>
                <w:szCs w:val="20"/>
              </w:rPr>
              <w:t xml:space="preserve">PRISMA has developed databases and analysis tools for Sumenep and Central Java. Government staff have also </w:t>
            </w:r>
            <w:r w:rsidRPr="00C64064">
              <w:rPr>
                <w:rFonts w:asciiTheme="majorHAnsi" w:eastAsia="Times New Roman" w:hAnsiTheme="majorHAnsi" w:cstheme="majorHAnsi"/>
                <w:color w:val="000000"/>
                <w:sz w:val="20"/>
                <w:szCs w:val="20"/>
              </w:rPr>
              <w:lastRenderedPageBreak/>
              <w:t>been trained and coached on the database.</w:t>
            </w:r>
            <w:r w:rsidRPr="00C64064">
              <w:rPr>
                <w:rFonts w:asciiTheme="majorHAnsi" w:eastAsia="Times New Roman" w:hAnsiTheme="majorHAnsi" w:cstheme="majorHAnsi"/>
                <w:bCs/>
                <w:color w:val="000000"/>
                <w:sz w:val="20"/>
                <w:szCs w:val="20"/>
              </w:rPr>
              <w:t xml:space="preserve"> </w:t>
            </w:r>
          </w:p>
        </w:tc>
        <w:tc>
          <w:tcPr>
            <w:tcW w:w="3817" w:type="dxa"/>
          </w:tcPr>
          <w:p w14:paraId="2DF64637" w14:textId="77777777"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lastRenderedPageBreak/>
              <w:t xml:space="preserve">The database and analysis tool uses Microsoft Excel and Microsoft PowerBI Desktop to consolidate </w:t>
            </w:r>
            <w:r w:rsidRPr="00C64064">
              <w:rPr>
                <w:rFonts w:asciiTheme="majorHAnsi" w:eastAsia="Times New Roman" w:hAnsiTheme="majorHAnsi" w:cstheme="majorHAnsi"/>
                <w:color w:val="000000"/>
                <w:sz w:val="20"/>
                <w:szCs w:val="20"/>
              </w:rPr>
              <w:lastRenderedPageBreak/>
              <w:t>field-level data from public extension workers into visual mappings.</w:t>
            </w:r>
          </w:p>
          <w:p w14:paraId="5BF08645" w14:textId="180B2DFD"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The database in Sumenep captures up to the village level</w:t>
            </w:r>
            <w:r w:rsidR="00736075"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 xml:space="preserve"> while Central Java captures up to the sub-district level. The databases need to be updated annually to maintain their accuracy for planning.</w:t>
            </w:r>
          </w:p>
          <w:p w14:paraId="355BDA30" w14:textId="7FEFF0EA"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In Sumenep, a training session was conducted in September 2023, followed by several coaching sessions. In December 2023, the head of Dinas Sumenep appointed a task force to complete the database and use the analysis result for subsidy allocations (</w:t>
            </w:r>
            <w:r w:rsidR="00770F1D" w:rsidRPr="00C64064">
              <w:rPr>
                <w:rFonts w:asciiTheme="majorHAnsi" w:eastAsia="Times New Roman" w:hAnsiTheme="majorHAnsi" w:cstheme="majorHAnsi"/>
                <w:color w:val="000000"/>
                <w:sz w:val="20"/>
                <w:szCs w:val="20"/>
              </w:rPr>
              <w:t>Prospective Farmers and Location Candidates</w:t>
            </w:r>
            <w:r w:rsidRPr="00C64064">
              <w:rPr>
                <w:rFonts w:asciiTheme="majorHAnsi" w:eastAsia="Times New Roman" w:hAnsiTheme="majorHAnsi" w:cstheme="majorHAnsi"/>
                <w:color w:val="000000"/>
                <w:sz w:val="20"/>
                <w:szCs w:val="20"/>
              </w:rPr>
              <w:t>/CPCL</w:t>
            </w:r>
            <w:r w:rsidR="00074BCC" w:rsidRPr="00C64064">
              <w:rPr>
                <w:rFonts w:asciiTheme="majorHAnsi" w:eastAsia="Times New Roman" w:hAnsiTheme="majorHAnsi" w:cstheme="majorHAnsi"/>
                <w:color w:val="000000"/>
                <w:sz w:val="20"/>
                <w:szCs w:val="20"/>
              </w:rPr>
              <w:t xml:space="preserve"> mechanism</w:t>
            </w:r>
            <w:r w:rsidRPr="00C64064">
              <w:rPr>
                <w:rFonts w:asciiTheme="majorHAnsi" w:eastAsia="Times New Roman" w:hAnsiTheme="majorHAnsi" w:cstheme="majorHAnsi"/>
                <w:color w:val="000000"/>
                <w:sz w:val="20"/>
                <w:szCs w:val="20"/>
              </w:rPr>
              <w:t>) in 2024. The Sumenep database was completed by June 2024.</w:t>
            </w:r>
          </w:p>
          <w:p w14:paraId="1FCE241A" w14:textId="666A2D53"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In Central Java, </w:t>
            </w:r>
            <w:r w:rsidR="00074BCC" w:rsidRPr="00C64064">
              <w:rPr>
                <w:rFonts w:asciiTheme="majorHAnsi" w:eastAsia="Times New Roman" w:hAnsiTheme="majorHAnsi" w:cstheme="majorHAnsi"/>
                <w:color w:val="000000"/>
                <w:sz w:val="20"/>
                <w:szCs w:val="20"/>
              </w:rPr>
              <w:t xml:space="preserve">the </w:t>
            </w:r>
            <w:r w:rsidRPr="00C64064">
              <w:rPr>
                <w:rFonts w:asciiTheme="majorHAnsi" w:eastAsia="Times New Roman" w:hAnsiTheme="majorHAnsi" w:cstheme="majorHAnsi"/>
                <w:color w:val="000000"/>
                <w:sz w:val="20"/>
                <w:szCs w:val="20"/>
              </w:rPr>
              <w:t xml:space="preserve">district-level Dinas had completed </w:t>
            </w:r>
            <w:r w:rsidR="00074BCC" w:rsidRPr="00C64064">
              <w:rPr>
                <w:rFonts w:asciiTheme="majorHAnsi" w:eastAsia="Times New Roman" w:hAnsiTheme="majorHAnsi" w:cstheme="majorHAnsi"/>
                <w:color w:val="000000"/>
                <w:sz w:val="20"/>
                <w:szCs w:val="20"/>
              </w:rPr>
              <w:t xml:space="preserve">around 80% of </w:t>
            </w:r>
            <w:r w:rsidR="007E1774" w:rsidRPr="00C64064">
              <w:rPr>
                <w:rFonts w:asciiTheme="majorHAnsi" w:eastAsia="Times New Roman" w:hAnsiTheme="majorHAnsi" w:cstheme="majorHAnsi"/>
                <w:color w:val="000000"/>
                <w:sz w:val="20"/>
                <w:szCs w:val="20"/>
              </w:rPr>
              <w:t xml:space="preserve">the database </w:t>
            </w:r>
            <w:r w:rsidRPr="00C64064">
              <w:rPr>
                <w:rFonts w:asciiTheme="majorHAnsi" w:eastAsia="Times New Roman" w:hAnsiTheme="majorHAnsi" w:cstheme="majorHAnsi"/>
                <w:color w:val="000000"/>
                <w:sz w:val="20"/>
                <w:szCs w:val="20"/>
              </w:rPr>
              <w:t xml:space="preserve">data collection </w:t>
            </w:r>
            <w:r w:rsidR="00074BCC" w:rsidRPr="00C64064">
              <w:rPr>
                <w:rFonts w:asciiTheme="majorHAnsi" w:eastAsia="Times New Roman" w:hAnsiTheme="majorHAnsi" w:cstheme="majorHAnsi"/>
                <w:color w:val="000000"/>
                <w:sz w:val="20"/>
                <w:szCs w:val="20"/>
              </w:rPr>
              <w:t>by June 2024</w:t>
            </w:r>
            <w:r w:rsidRPr="00C64064">
              <w:rPr>
                <w:rFonts w:asciiTheme="majorHAnsi" w:eastAsia="Times New Roman" w:hAnsiTheme="majorHAnsi" w:cstheme="majorHAnsi"/>
                <w:color w:val="000000"/>
                <w:sz w:val="20"/>
                <w:szCs w:val="20"/>
              </w:rPr>
              <w:t xml:space="preserve">, and the </w:t>
            </w:r>
            <w:r w:rsidR="00074BCC" w:rsidRPr="00C64064">
              <w:rPr>
                <w:rFonts w:asciiTheme="majorHAnsi" w:eastAsia="Times New Roman" w:hAnsiTheme="majorHAnsi" w:cstheme="majorHAnsi"/>
                <w:color w:val="000000"/>
                <w:sz w:val="20"/>
                <w:szCs w:val="20"/>
              </w:rPr>
              <w:t>p</w:t>
            </w:r>
            <w:r w:rsidRPr="00C64064">
              <w:rPr>
                <w:rFonts w:asciiTheme="majorHAnsi" w:eastAsia="Times New Roman" w:hAnsiTheme="majorHAnsi" w:cstheme="majorHAnsi"/>
                <w:color w:val="000000"/>
                <w:sz w:val="20"/>
                <w:szCs w:val="20"/>
              </w:rPr>
              <w:t xml:space="preserve">rovincial Dinas are following up on the remaining 20%. PRISMA  provided several coaching sessions to </w:t>
            </w:r>
            <w:r w:rsidR="00074BCC" w:rsidRPr="00C64064">
              <w:rPr>
                <w:rFonts w:asciiTheme="majorHAnsi" w:eastAsia="Times New Roman" w:hAnsiTheme="majorHAnsi" w:cstheme="majorHAnsi"/>
                <w:color w:val="000000"/>
                <w:sz w:val="20"/>
                <w:szCs w:val="20"/>
              </w:rPr>
              <w:t>the p</w:t>
            </w:r>
            <w:r w:rsidRPr="00C64064">
              <w:rPr>
                <w:rFonts w:asciiTheme="majorHAnsi" w:eastAsia="Times New Roman" w:hAnsiTheme="majorHAnsi" w:cstheme="majorHAnsi"/>
                <w:color w:val="000000"/>
                <w:sz w:val="20"/>
                <w:szCs w:val="20"/>
              </w:rPr>
              <w:t>rovincial Dinas throughout this period.</w:t>
            </w:r>
          </w:p>
        </w:tc>
      </w:tr>
      <w:tr w:rsidR="00040D3F" w:rsidRPr="00C64064" w14:paraId="66E845E3" w14:textId="77777777" w:rsidTr="7D2E47DB">
        <w:trPr>
          <w:trHeight w:val="56"/>
        </w:trPr>
        <w:tc>
          <w:tcPr>
            <w:tcW w:w="2064" w:type="dxa"/>
            <w:vMerge/>
          </w:tcPr>
          <w:p w14:paraId="708E195B" w14:textId="77777777" w:rsidR="006F3334" w:rsidRPr="00C64064" w:rsidRDefault="006F3334" w:rsidP="006F3334">
            <w:pPr>
              <w:spacing w:after="60"/>
              <w:rPr>
                <w:rFonts w:asciiTheme="majorHAnsi" w:eastAsia="Times New Roman" w:hAnsiTheme="majorHAnsi" w:cstheme="majorHAnsi"/>
                <w:b/>
                <w:color w:val="000000"/>
                <w:sz w:val="20"/>
                <w:szCs w:val="20"/>
              </w:rPr>
            </w:pPr>
          </w:p>
        </w:tc>
        <w:tc>
          <w:tcPr>
            <w:tcW w:w="3742" w:type="dxa"/>
            <w:vMerge/>
          </w:tcPr>
          <w:p w14:paraId="166FA1DC"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1303" w:type="dxa"/>
            <w:vMerge/>
          </w:tcPr>
          <w:p w14:paraId="53A13AAE"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3598" w:type="dxa"/>
          </w:tcPr>
          <w:p w14:paraId="6B55032B" w14:textId="77777777" w:rsidR="006F3334" w:rsidRPr="00C64064" w:rsidRDefault="006F3334" w:rsidP="006F3334">
            <w:pPr>
              <w:spacing w:after="60"/>
              <w:rPr>
                <w:rFonts w:asciiTheme="majorHAnsi" w:eastAsia="Times New Roman" w:hAnsiTheme="majorHAnsi" w:cstheme="majorHAnsi"/>
                <w:b/>
                <w:color w:val="000000"/>
                <w:sz w:val="20"/>
                <w:szCs w:val="20"/>
              </w:rPr>
            </w:pPr>
            <w:r w:rsidRPr="00C64064">
              <w:rPr>
                <w:rFonts w:asciiTheme="majorHAnsi" w:eastAsia="Times New Roman" w:hAnsiTheme="majorHAnsi" w:cstheme="majorHAnsi"/>
                <w:b/>
                <w:color w:val="000000"/>
                <w:sz w:val="20"/>
                <w:szCs w:val="20"/>
              </w:rPr>
              <w:t>(b) Ongoing:</w:t>
            </w:r>
          </w:p>
          <w:p w14:paraId="37678048" w14:textId="77777777"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In Sumenep, DKPP Sumenep expects to publish the guideline in July 2024.</w:t>
            </w:r>
          </w:p>
          <w:p w14:paraId="18B12725" w14:textId="77777777"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In Central Java, the guideline was released in April 2023 and socialised to 18 maize-producing districts in June 2023.</w:t>
            </w:r>
          </w:p>
          <w:p w14:paraId="5F3779E0" w14:textId="77777777" w:rsidR="006F3334" w:rsidRPr="00C64064" w:rsidRDefault="006F3334" w:rsidP="006F3334">
            <w:pPr>
              <w:spacing w:after="60"/>
              <w:rPr>
                <w:rFonts w:asciiTheme="majorHAnsi" w:eastAsia="Times New Roman" w:hAnsiTheme="majorHAnsi" w:cstheme="majorHAnsi"/>
                <w:b/>
                <w:color w:val="000000"/>
                <w:sz w:val="20"/>
                <w:szCs w:val="20"/>
              </w:rPr>
            </w:pPr>
          </w:p>
        </w:tc>
        <w:tc>
          <w:tcPr>
            <w:tcW w:w="3817" w:type="dxa"/>
          </w:tcPr>
          <w:p w14:paraId="6E4B727E" w14:textId="50B756B2" w:rsidR="006F3334" w:rsidRPr="00C64064" w:rsidRDefault="006F3334" w:rsidP="00D91EA1">
            <w:pPr>
              <w:numPr>
                <w:ilvl w:val="0"/>
                <w:numId w:val="26"/>
              </w:numPr>
              <w:tabs>
                <w:tab w:val="left" w:pos="252"/>
              </w:tabs>
              <w:spacing w:afterLines="60" w:after="144"/>
              <w:ind w:left="236" w:hanging="142"/>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The guideline</w:t>
            </w:r>
            <w:r w:rsidR="00074BCC" w:rsidRPr="00C64064">
              <w:rPr>
                <w:rFonts w:asciiTheme="majorHAnsi" w:eastAsia="Times New Roman" w:hAnsiTheme="majorHAnsi" w:cstheme="majorHAnsi"/>
                <w:color w:val="000000"/>
                <w:sz w:val="20"/>
                <w:szCs w:val="20"/>
              </w:rPr>
              <w:t>s</w:t>
            </w:r>
            <w:r w:rsidRPr="00C64064">
              <w:rPr>
                <w:rFonts w:asciiTheme="majorHAnsi" w:eastAsia="Times New Roman" w:hAnsiTheme="majorHAnsi" w:cstheme="majorHAnsi"/>
                <w:color w:val="000000"/>
                <w:sz w:val="20"/>
                <w:szCs w:val="20"/>
              </w:rPr>
              <w:t xml:space="preserve"> in Sumenep can be applied to seed subsidies from the provincial or national budgets. However, the delivery mechanism, seed varieties, requirements of assistance from seed companies, and program evaluation will need to follow the guidelines provided by the budget owner. </w:t>
            </w:r>
          </w:p>
          <w:p w14:paraId="5F745018" w14:textId="1259B367" w:rsidR="006F3334" w:rsidRPr="00C64064" w:rsidRDefault="006F3334" w:rsidP="00D91EA1">
            <w:pPr>
              <w:numPr>
                <w:ilvl w:val="0"/>
                <w:numId w:val="26"/>
              </w:numPr>
              <w:tabs>
                <w:tab w:val="left" w:pos="252"/>
              </w:tabs>
              <w:spacing w:afterLines="60" w:after="144"/>
              <w:ind w:left="236" w:hanging="142"/>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The guideline</w:t>
            </w:r>
            <w:r w:rsidR="00256003" w:rsidRPr="00C64064">
              <w:rPr>
                <w:rFonts w:asciiTheme="majorHAnsi" w:eastAsia="Times New Roman" w:hAnsiTheme="majorHAnsi" w:cstheme="majorHAnsi"/>
                <w:color w:val="000000"/>
                <w:sz w:val="20"/>
                <w:szCs w:val="20"/>
              </w:rPr>
              <w:t>s</w:t>
            </w:r>
            <w:r w:rsidRPr="00C64064">
              <w:rPr>
                <w:rFonts w:asciiTheme="majorHAnsi" w:eastAsia="Times New Roman" w:hAnsiTheme="majorHAnsi" w:cstheme="majorHAnsi"/>
                <w:color w:val="000000"/>
                <w:sz w:val="20"/>
                <w:szCs w:val="20"/>
              </w:rPr>
              <w:t xml:space="preserve"> in Central Java focus on the seed subsidy that uses the </w:t>
            </w:r>
            <w:r w:rsidRPr="00C64064">
              <w:rPr>
                <w:rFonts w:asciiTheme="majorHAnsi" w:eastAsia="Times New Roman" w:hAnsiTheme="majorHAnsi" w:cstheme="majorHAnsi"/>
                <w:color w:val="000000"/>
                <w:sz w:val="20"/>
                <w:szCs w:val="20"/>
              </w:rPr>
              <w:lastRenderedPageBreak/>
              <w:t>provincial government’s budget. It provides 3 options for the delivery mechanisms (free seeds, price discount, and grant) as well as the suitable conditions for each mechanism. The guideline also covers criteria for seed varieties, mandatory variety testing and information on its characteristics by seed companies in the subsidy target area, and program evaluation.</w:t>
            </w:r>
          </w:p>
          <w:p w14:paraId="0C31A088" w14:textId="77777777" w:rsidR="006F3334" w:rsidRPr="00C64064" w:rsidRDefault="006F3334" w:rsidP="00D91EA1">
            <w:pPr>
              <w:numPr>
                <w:ilvl w:val="0"/>
                <w:numId w:val="26"/>
              </w:numPr>
              <w:tabs>
                <w:tab w:val="left" w:pos="252"/>
              </w:tabs>
              <w:spacing w:afterLines="60" w:after="144"/>
              <w:ind w:left="236" w:hanging="142"/>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Provincial Dinas also independently socialised the guidelines to 12 more districts.</w:t>
            </w:r>
          </w:p>
        </w:tc>
      </w:tr>
      <w:tr w:rsidR="00040D3F" w:rsidRPr="00C64064" w14:paraId="2534977E" w14:textId="77777777" w:rsidTr="7D2E47DB">
        <w:trPr>
          <w:trHeight w:val="683"/>
        </w:trPr>
        <w:tc>
          <w:tcPr>
            <w:tcW w:w="2064" w:type="dxa"/>
            <w:vMerge/>
          </w:tcPr>
          <w:p w14:paraId="77CE166A" w14:textId="77777777" w:rsidR="006F3334" w:rsidRPr="00C64064" w:rsidRDefault="006F3334" w:rsidP="006F3334">
            <w:pPr>
              <w:spacing w:after="60"/>
              <w:rPr>
                <w:rFonts w:asciiTheme="majorHAnsi" w:eastAsia="Times New Roman" w:hAnsiTheme="majorHAnsi" w:cstheme="majorHAnsi"/>
                <w:b/>
                <w:color w:val="000000"/>
                <w:sz w:val="20"/>
                <w:szCs w:val="20"/>
              </w:rPr>
            </w:pPr>
          </w:p>
        </w:tc>
        <w:tc>
          <w:tcPr>
            <w:tcW w:w="3742" w:type="dxa"/>
            <w:vMerge/>
          </w:tcPr>
          <w:p w14:paraId="383ED180"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1303" w:type="dxa"/>
            <w:vMerge/>
          </w:tcPr>
          <w:p w14:paraId="5CF7F20A"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3598" w:type="dxa"/>
          </w:tcPr>
          <w:p w14:paraId="2F0D61F8" w14:textId="4AE676F7" w:rsidR="006F3334" w:rsidRPr="00C64064" w:rsidRDefault="006F3334" w:rsidP="006F3334">
            <w:pPr>
              <w:spacing w:after="60"/>
              <w:rPr>
                <w:rFonts w:asciiTheme="majorHAnsi" w:eastAsia="Times New Roman" w:hAnsiTheme="majorHAnsi" w:cstheme="majorHAnsi"/>
                <w:color w:val="000000"/>
                <w:sz w:val="20"/>
                <w:szCs w:val="20"/>
              </w:rPr>
            </w:pPr>
            <w:r w:rsidRPr="00C64064">
              <w:rPr>
                <w:rFonts w:asciiTheme="majorHAnsi" w:eastAsia="Times New Roman" w:hAnsiTheme="majorHAnsi" w:cstheme="majorHAnsi"/>
                <w:b/>
                <w:color w:val="000000"/>
                <w:sz w:val="20"/>
                <w:szCs w:val="20"/>
              </w:rPr>
              <w:t xml:space="preserve">(c) Ongoing: </w:t>
            </w:r>
            <w:r w:rsidRPr="00C64064">
              <w:rPr>
                <w:rFonts w:asciiTheme="majorHAnsi" w:eastAsia="Times New Roman" w:hAnsiTheme="majorHAnsi" w:cstheme="majorHAnsi"/>
                <w:color w:val="000000"/>
                <w:sz w:val="20"/>
                <w:szCs w:val="20"/>
              </w:rPr>
              <w:t xml:space="preserve">PRISMA is in the process of developing the study and policy briefs. </w:t>
            </w:r>
            <w:r w:rsidR="00736075" w:rsidRPr="00C64064">
              <w:rPr>
                <w:rFonts w:asciiTheme="majorHAnsi" w:eastAsia="Times New Roman" w:hAnsiTheme="majorHAnsi" w:cstheme="majorHAnsi"/>
                <w:color w:val="000000"/>
                <w:sz w:val="20"/>
                <w:szCs w:val="20"/>
              </w:rPr>
              <w:t>To gain additional insights, t</w:t>
            </w:r>
            <w:r w:rsidRPr="00C64064">
              <w:rPr>
                <w:rFonts w:asciiTheme="majorHAnsi" w:eastAsia="Times New Roman" w:hAnsiTheme="majorHAnsi" w:cstheme="majorHAnsi"/>
                <w:color w:val="000000"/>
                <w:sz w:val="20"/>
                <w:szCs w:val="20"/>
              </w:rPr>
              <w:t xml:space="preserve">he initial </w:t>
            </w:r>
            <w:r w:rsidR="007E1774" w:rsidRPr="00C64064">
              <w:rPr>
                <w:rFonts w:asciiTheme="majorHAnsi" w:eastAsia="Times New Roman" w:hAnsiTheme="majorHAnsi" w:cstheme="majorHAnsi"/>
                <w:color w:val="000000"/>
                <w:sz w:val="20"/>
                <w:szCs w:val="20"/>
              </w:rPr>
              <w:t xml:space="preserve">study </w:t>
            </w:r>
            <w:r w:rsidRPr="00C64064">
              <w:rPr>
                <w:rFonts w:asciiTheme="majorHAnsi" w:eastAsia="Times New Roman" w:hAnsiTheme="majorHAnsi" w:cstheme="majorHAnsi"/>
                <w:color w:val="000000"/>
                <w:sz w:val="20"/>
                <w:szCs w:val="20"/>
              </w:rPr>
              <w:t>results will be shared in a multi-stakeholder policy dialogue planned for August 2024. The final study report and policy brief will be disseminated in a policy seminar by the end of August or early September 2024.</w:t>
            </w:r>
          </w:p>
        </w:tc>
        <w:tc>
          <w:tcPr>
            <w:tcW w:w="3817" w:type="dxa"/>
          </w:tcPr>
          <w:p w14:paraId="2F7435FF" w14:textId="066ECFE1" w:rsidR="006F3334" w:rsidRPr="00C64064" w:rsidRDefault="006F3334" w:rsidP="00D91EA1">
            <w:pPr>
              <w:numPr>
                <w:ilvl w:val="0"/>
                <w:numId w:val="26"/>
              </w:numPr>
              <w:tabs>
                <w:tab w:val="left" w:pos="252"/>
              </w:tabs>
              <w:spacing w:afterLines="60" w:after="144"/>
              <w:ind w:left="236" w:hanging="142"/>
              <w:contextualSpacing/>
              <w:rPr>
                <w:rFonts w:asciiTheme="majorHAnsi" w:eastAsia="Times New Roman" w:hAnsiTheme="majorHAnsi" w:cstheme="majorHAnsi"/>
                <w:bCs/>
                <w:color w:val="000000"/>
                <w:sz w:val="20"/>
                <w:szCs w:val="20"/>
              </w:rPr>
            </w:pPr>
            <w:r w:rsidRPr="00C64064">
              <w:rPr>
                <w:rFonts w:asciiTheme="majorHAnsi" w:eastAsia="Times New Roman" w:hAnsiTheme="majorHAnsi" w:cstheme="majorHAnsi"/>
                <w:bCs/>
                <w:color w:val="000000"/>
                <w:sz w:val="20"/>
                <w:szCs w:val="20"/>
              </w:rPr>
              <w:t>In February 2024,</w:t>
            </w:r>
            <w:r w:rsidRPr="00C64064">
              <w:rPr>
                <w:rFonts w:asciiTheme="majorHAnsi" w:eastAsia="Times New Roman" w:hAnsiTheme="majorHAnsi" w:cstheme="majorHAnsi"/>
                <w:b/>
                <w:color w:val="000000"/>
                <w:sz w:val="20"/>
                <w:szCs w:val="20"/>
              </w:rPr>
              <w:t xml:space="preserve"> </w:t>
            </w:r>
            <w:r w:rsidRPr="00C64064">
              <w:rPr>
                <w:rFonts w:asciiTheme="majorHAnsi" w:eastAsia="Times New Roman" w:hAnsiTheme="majorHAnsi" w:cstheme="majorHAnsi"/>
                <w:bCs/>
                <w:color w:val="000000"/>
                <w:sz w:val="20"/>
                <w:szCs w:val="20"/>
              </w:rPr>
              <w:t xml:space="preserve">PRISMA contracted a research institute (CIPS) to </w:t>
            </w:r>
            <w:r w:rsidRPr="00C64064">
              <w:rPr>
                <w:rFonts w:asciiTheme="majorHAnsi" w:eastAsia="Times New Roman" w:hAnsiTheme="majorHAnsi" w:cstheme="majorHAnsi"/>
                <w:color w:val="000000"/>
                <w:sz w:val="20"/>
                <w:szCs w:val="20"/>
              </w:rPr>
              <w:t>conduct</w:t>
            </w:r>
            <w:r w:rsidRPr="00C64064">
              <w:rPr>
                <w:rFonts w:asciiTheme="majorHAnsi" w:eastAsia="Times New Roman" w:hAnsiTheme="majorHAnsi" w:cstheme="majorHAnsi"/>
                <w:bCs/>
                <w:color w:val="000000"/>
                <w:sz w:val="20"/>
                <w:szCs w:val="20"/>
              </w:rPr>
              <w:t xml:space="preserve"> the study. As of May 2024, CIPS has completed the literature review and interviews with market players</w:t>
            </w:r>
            <w:r w:rsidR="00256003" w:rsidRPr="00C64064">
              <w:rPr>
                <w:rFonts w:asciiTheme="majorHAnsi" w:eastAsia="Times New Roman" w:hAnsiTheme="majorHAnsi" w:cstheme="majorHAnsi"/>
                <w:bCs/>
                <w:color w:val="000000"/>
                <w:sz w:val="20"/>
                <w:szCs w:val="20"/>
              </w:rPr>
              <w:t>,</w:t>
            </w:r>
            <w:r w:rsidRPr="00C64064">
              <w:rPr>
                <w:rFonts w:asciiTheme="majorHAnsi" w:eastAsia="Times New Roman" w:hAnsiTheme="majorHAnsi" w:cstheme="majorHAnsi"/>
                <w:bCs/>
                <w:color w:val="000000"/>
                <w:sz w:val="20"/>
                <w:szCs w:val="20"/>
              </w:rPr>
              <w:t xml:space="preserve"> and is currently analysing the results. </w:t>
            </w:r>
          </w:p>
          <w:p w14:paraId="18483561" w14:textId="77777777" w:rsidR="006F3334" w:rsidRPr="00C64064" w:rsidRDefault="006F3334" w:rsidP="006F3334">
            <w:pPr>
              <w:tabs>
                <w:tab w:val="left" w:pos="252"/>
              </w:tabs>
              <w:spacing w:afterLines="60" w:after="144"/>
              <w:rPr>
                <w:rFonts w:asciiTheme="majorHAnsi" w:eastAsia="Times New Roman" w:hAnsiTheme="majorHAnsi" w:cstheme="majorHAnsi"/>
                <w:color w:val="000000"/>
                <w:sz w:val="20"/>
                <w:szCs w:val="20"/>
              </w:rPr>
            </w:pPr>
          </w:p>
        </w:tc>
      </w:tr>
      <w:tr w:rsidR="00040D3F" w:rsidRPr="00C64064" w14:paraId="7DB65A44" w14:textId="77777777" w:rsidTr="7D2E47DB">
        <w:trPr>
          <w:trHeight w:val="3338"/>
        </w:trPr>
        <w:tc>
          <w:tcPr>
            <w:tcW w:w="2064" w:type="dxa"/>
            <w:vMerge w:val="restart"/>
          </w:tcPr>
          <w:p w14:paraId="6DA47AA9" w14:textId="67FFDC66" w:rsidR="006F3334" w:rsidRPr="00C64064" w:rsidRDefault="006F3334" w:rsidP="006F3334">
            <w:pPr>
              <w:spacing w:after="60"/>
              <w:rPr>
                <w:rFonts w:asciiTheme="majorHAnsi" w:eastAsia="Times New Roman" w:hAnsiTheme="majorHAnsi" w:cstheme="majorHAnsi"/>
                <w:b/>
                <w:color w:val="000000"/>
                <w:sz w:val="20"/>
                <w:szCs w:val="20"/>
              </w:rPr>
            </w:pPr>
            <w:r w:rsidRPr="00C64064">
              <w:rPr>
                <w:rFonts w:asciiTheme="majorHAnsi" w:eastAsia="Times New Roman" w:hAnsiTheme="majorHAnsi" w:cstheme="majorHAnsi"/>
                <w:b/>
                <w:color w:val="000000"/>
                <w:sz w:val="20"/>
                <w:szCs w:val="20"/>
              </w:rPr>
              <w:lastRenderedPageBreak/>
              <w:t xml:space="preserve">Pigs: </w:t>
            </w:r>
            <w:r w:rsidR="00025E6D" w:rsidRPr="00C64064">
              <w:rPr>
                <w:rFonts w:asciiTheme="majorHAnsi" w:eastAsia="Times New Roman" w:hAnsiTheme="majorHAnsi" w:cstheme="majorHAnsi"/>
                <w:bCs/>
                <w:color w:val="000000"/>
                <w:sz w:val="20"/>
                <w:szCs w:val="20"/>
              </w:rPr>
              <w:t xml:space="preserve">The </w:t>
            </w:r>
            <w:r w:rsidRPr="00C64064">
              <w:rPr>
                <w:rFonts w:asciiTheme="majorHAnsi" w:eastAsia="Times New Roman" w:hAnsiTheme="majorHAnsi" w:cstheme="majorHAnsi"/>
                <w:color w:val="000000"/>
                <w:sz w:val="20"/>
                <w:szCs w:val="20"/>
              </w:rPr>
              <w:t xml:space="preserve">MoA accelerates the adoption of </w:t>
            </w:r>
            <w:r w:rsidR="00DC445B" w:rsidRPr="00C64064">
              <w:rPr>
                <w:rFonts w:asciiTheme="majorHAnsi" w:eastAsia="Times New Roman" w:hAnsiTheme="majorHAnsi" w:cstheme="majorHAnsi"/>
                <w:color w:val="000000"/>
                <w:sz w:val="20"/>
                <w:szCs w:val="20"/>
              </w:rPr>
              <w:t>a</w:t>
            </w:r>
            <w:r w:rsidRPr="00C64064">
              <w:rPr>
                <w:rFonts w:asciiTheme="majorHAnsi" w:eastAsia="Times New Roman" w:hAnsiTheme="majorHAnsi" w:cstheme="majorHAnsi"/>
                <w:color w:val="000000"/>
                <w:sz w:val="20"/>
                <w:szCs w:val="20"/>
              </w:rPr>
              <w:t xml:space="preserve">rtificial </w:t>
            </w:r>
            <w:r w:rsidR="00DC445B" w:rsidRPr="00C64064">
              <w:rPr>
                <w:rFonts w:asciiTheme="majorHAnsi" w:eastAsia="Times New Roman" w:hAnsiTheme="majorHAnsi" w:cstheme="majorHAnsi"/>
                <w:color w:val="000000"/>
                <w:sz w:val="20"/>
                <w:szCs w:val="20"/>
              </w:rPr>
              <w:t>i</w:t>
            </w:r>
            <w:r w:rsidRPr="00C64064">
              <w:rPr>
                <w:rFonts w:asciiTheme="majorHAnsi" w:eastAsia="Times New Roman" w:hAnsiTheme="majorHAnsi" w:cstheme="majorHAnsi"/>
                <w:color w:val="000000"/>
                <w:sz w:val="20"/>
                <w:szCs w:val="20"/>
              </w:rPr>
              <w:t>nsemination (AI) in the pig sector by improving standards and operating procedures for pig semen and standardising AI training and certification for inseminators</w:t>
            </w:r>
            <w:r w:rsidR="00DC445B" w:rsidRPr="00C64064">
              <w:rPr>
                <w:rFonts w:asciiTheme="majorHAnsi" w:eastAsia="Times New Roman" w:hAnsiTheme="majorHAnsi" w:cstheme="majorHAnsi"/>
                <w:color w:val="000000"/>
                <w:sz w:val="20"/>
                <w:szCs w:val="20"/>
              </w:rPr>
              <w:t>.</w:t>
            </w:r>
          </w:p>
        </w:tc>
        <w:tc>
          <w:tcPr>
            <w:tcW w:w="3742" w:type="dxa"/>
            <w:vMerge w:val="restart"/>
          </w:tcPr>
          <w:p w14:paraId="5A02A6F2" w14:textId="571BA6D0" w:rsidR="006F3334" w:rsidRPr="00C64064" w:rsidRDefault="006F3334" w:rsidP="006F3334">
            <w:pPr>
              <w:spacing w:afterLines="60" w:after="144"/>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As Indonesia recovers from African </w:t>
            </w:r>
            <w:r w:rsidR="00DC445B" w:rsidRPr="00C64064">
              <w:rPr>
                <w:rFonts w:asciiTheme="majorHAnsi" w:eastAsia="Times New Roman" w:hAnsiTheme="majorHAnsi" w:cstheme="majorHAnsi"/>
                <w:color w:val="000000"/>
                <w:sz w:val="20"/>
                <w:szCs w:val="20"/>
              </w:rPr>
              <w:t>s</w:t>
            </w:r>
            <w:r w:rsidRPr="00C64064">
              <w:rPr>
                <w:rFonts w:asciiTheme="majorHAnsi" w:eastAsia="Times New Roman" w:hAnsiTheme="majorHAnsi" w:cstheme="majorHAnsi"/>
                <w:color w:val="000000"/>
                <w:sz w:val="20"/>
                <w:szCs w:val="20"/>
              </w:rPr>
              <w:t xml:space="preserve">wine </w:t>
            </w:r>
            <w:r w:rsidR="00DC445B" w:rsidRPr="00C64064">
              <w:rPr>
                <w:rFonts w:asciiTheme="majorHAnsi" w:eastAsia="Times New Roman" w:hAnsiTheme="majorHAnsi" w:cstheme="majorHAnsi"/>
                <w:color w:val="000000"/>
                <w:sz w:val="20"/>
                <w:szCs w:val="20"/>
              </w:rPr>
              <w:t>f</w:t>
            </w:r>
            <w:r w:rsidRPr="00C64064">
              <w:rPr>
                <w:rFonts w:asciiTheme="majorHAnsi" w:eastAsia="Times New Roman" w:hAnsiTheme="majorHAnsi" w:cstheme="majorHAnsi"/>
                <w:color w:val="000000"/>
                <w:sz w:val="20"/>
                <w:szCs w:val="20"/>
              </w:rPr>
              <w:t>ever (ASF), there is an urgent need to restock the pig population. AI, which offers several advantages over natural mating (including faster expansion of herds and minimal risk of disease transmission), can help accelerate repopulation. However, widespread adoption of AI faces a number of challenges in Indonesia, including the lack of skilled pig inseminators and the absence of regulatory standards or operating procedures for certain types of pig semen.</w:t>
            </w:r>
          </w:p>
          <w:p w14:paraId="32CB6E01" w14:textId="160B2E76" w:rsidR="006F3334" w:rsidRPr="00C64064" w:rsidRDefault="006F3334" w:rsidP="006F3334">
            <w:pPr>
              <w:spacing w:afterLines="60" w:after="144"/>
              <w:rPr>
                <w:rFonts w:asciiTheme="majorHAnsi" w:eastAsia="Times New Roman" w:hAnsiTheme="majorHAnsi" w:cstheme="majorHAnsi"/>
                <w:color w:val="000000"/>
                <w:sz w:val="20"/>
                <w:szCs w:val="20"/>
              </w:rPr>
            </w:pPr>
            <w:r w:rsidRPr="00C64064" w:rsidDel="00480DB3">
              <w:rPr>
                <w:rFonts w:asciiTheme="majorHAnsi" w:eastAsia="Times New Roman" w:hAnsiTheme="majorHAnsi" w:cstheme="majorHAnsi"/>
                <w:color w:val="000000"/>
                <w:sz w:val="20"/>
                <w:szCs w:val="20"/>
              </w:rPr>
              <w:t>PRISMA support</w:t>
            </w:r>
            <w:r w:rsidRPr="00C64064">
              <w:rPr>
                <w:rFonts w:asciiTheme="majorHAnsi" w:eastAsia="Times New Roman" w:hAnsiTheme="majorHAnsi" w:cstheme="majorHAnsi"/>
                <w:color w:val="000000"/>
                <w:sz w:val="20"/>
                <w:szCs w:val="20"/>
              </w:rPr>
              <w:t>s</w:t>
            </w:r>
            <w:r w:rsidRPr="00C64064" w:rsidDel="00480DB3">
              <w:rPr>
                <w:rFonts w:asciiTheme="majorHAnsi" w:eastAsia="Times New Roman" w:hAnsiTheme="majorHAnsi" w:cstheme="majorHAnsi"/>
                <w:color w:val="000000"/>
                <w:sz w:val="20"/>
                <w:szCs w:val="20"/>
              </w:rPr>
              <w:t xml:space="preserve"> </w:t>
            </w:r>
            <w:r w:rsidR="00DC445B" w:rsidRPr="00C64064">
              <w:rPr>
                <w:rFonts w:asciiTheme="majorHAnsi" w:eastAsia="Times New Roman" w:hAnsiTheme="majorHAnsi" w:cstheme="majorHAnsi"/>
                <w:color w:val="000000"/>
                <w:sz w:val="20"/>
                <w:szCs w:val="20"/>
              </w:rPr>
              <w:t xml:space="preserve">the </w:t>
            </w:r>
            <w:r w:rsidRPr="00C64064">
              <w:rPr>
                <w:rFonts w:asciiTheme="majorHAnsi" w:eastAsia="Times New Roman" w:hAnsiTheme="majorHAnsi" w:cstheme="majorHAnsi"/>
                <w:color w:val="000000"/>
                <w:sz w:val="20"/>
                <w:szCs w:val="20"/>
              </w:rPr>
              <w:t xml:space="preserve">MoA </w:t>
            </w:r>
            <w:r w:rsidR="00736075" w:rsidRPr="00C64064">
              <w:rPr>
                <w:rFonts w:asciiTheme="majorHAnsi" w:eastAsia="Times New Roman" w:hAnsiTheme="majorHAnsi" w:cstheme="majorHAnsi"/>
                <w:color w:val="000000"/>
                <w:sz w:val="20"/>
                <w:szCs w:val="20"/>
              </w:rPr>
              <w:t>in</w:t>
            </w:r>
            <w:r w:rsidRPr="00C64064">
              <w:rPr>
                <w:rFonts w:asciiTheme="majorHAnsi" w:eastAsia="Times New Roman" w:hAnsiTheme="majorHAnsi" w:cstheme="majorHAnsi"/>
                <w:color w:val="000000"/>
                <w:sz w:val="20"/>
                <w:szCs w:val="20"/>
              </w:rPr>
              <w:t xml:space="preserve"> improv</w:t>
            </w:r>
            <w:r w:rsidR="00736075" w:rsidRPr="00C64064">
              <w:rPr>
                <w:rFonts w:asciiTheme="majorHAnsi" w:eastAsia="Times New Roman" w:hAnsiTheme="majorHAnsi" w:cstheme="majorHAnsi"/>
                <w:color w:val="000000"/>
                <w:sz w:val="20"/>
                <w:szCs w:val="20"/>
              </w:rPr>
              <w:t>ing</w:t>
            </w:r>
            <w:r w:rsidRPr="00C64064">
              <w:rPr>
                <w:rFonts w:asciiTheme="majorHAnsi" w:eastAsia="Times New Roman" w:hAnsiTheme="majorHAnsi" w:cstheme="majorHAnsi"/>
                <w:color w:val="000000"/>
                <w:sz w:val="20"/>
                <w:szCs w:val="20"/>
              </w:rPr>
              <w:t xml:space="preserve"> farmers’ access to skilled inseminators and stimulat</w:t>
            </w:r>
            <w:r w:rsidR="00736075" w:rsidRPr="00C64064">
              <w:rPr>
                <w:rFonts w:asciiTheme="majorHAnsi" w:eastAsia="Times New Roman" w:hAnsiTheme="majorHAnsi" w:cstheme="majorHAnsi"/>
                <w:color w:val="000000"/>
                <w:sz w:val="20"/>
                <w:szCs w:val="20"/>
              </w:rPr>
              <w:t>ing</w:t>
            </w:r>
            <w:r w:rsidRPr="00C64064">
              <w:rPr>
                <w:rFonts w:asciiTheme="majorHAnsi" w:eastAsia="Times New Roman" w:hAnsiTheme="majorHAnsi" w:cstheme="majorHAnsi"/>
                <w:color w:val="000000"/>
                <w:sz w:val="20"/>
                <w:szCs w:val="20"/>
              </w:rPr>
              <w:t xml:space="preserve"> pig breeding companies to produce high-quality pig semen for farmers. PRISMA does this by facilitating the process of developing: </w:t>
            </w:r>
          </w:p>
          <w:p w14:paraId="4147D8E8" w14:textId="77777777" w:rsidR="006F3334" w:rsidRPr="00C64064" w:rsidRDefault="006F3334" w:rsidP="00D91EA1">
            <w:pPr>
              <w:numPr>
                <w:ilvl w:val="0"/>
                <w:numId w:val="19"/>
              </w:numPr>
              <w:spacing w:after="60"/>
              <w:ind w:left="252" w:hanging="252"/>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a national curriculum and modules for pig inseminator training, as well as operational guidelines for educational and training institutions</w:t>
            </w:r>
          </w:p>
          <w:p w14:paraId="7C590D20" w14:textId="46020FCD" w:rsidR="006F3334" w:rsidRPr="00C64064" w:rsidRDefault="006F3334" w:rsidP="00D91EA1">
            <w:pPr>
              <w:numPr>
                <w:ilvl w:val="0"/>
                <w:numId w:val="19"/>
              </w:numPr>
              <w:spacing w:after="60"/>
              <w:ind w:left="252" w:hanging="252"/>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bCs/>
                <w:color w:val="000000"/>
                <w:sz w:val="20"/>
                <w:szCs w:val="20"/>
              </w:rPr>
              <w:t xml:space="preserve">specific work competency standards for inseminators </w:t>
            </w:r>
            <w:r w:rsidR="00DC445B" w:rsidRPr="00C64064">
              <w:rPr>
                <w:rFonts w:asciiTheme="majorHAnsi" w:eastAsia="Times New Roman" w:hAnsiTheme="majorHAnsi" w:cstheme="majorHAnsi"/>
                <w:bCs/>
                <w:color w:val="000000"/>
                <w:sz w:val="20"/>
                <w:szCs w:val="20"/>
              </w:rPr>
              <w:t>(</w:t>
            </w:r>
            <w:r w:rsidRPr="00C64064">
              <w:rPr>
                <w:rFonts w:asciiTheme="majorHAnsi" w:eastAsia="Times New Roman" w:hAnsiTheme="majorHAnsi" w:cstheme="majorHAnsi"/>
                <w:bCs/>
                <w:color w:val="000000"/>
                <w:sz w:val="20"/>
                <w:szCs w:val="20"/>
              </w:rPr>
              <w:t>SKK Khusus)</w:t>
            </w:r>
            <w:r w:rsidR="00736075" w:rsidRPr="00C64064">
              <w:rPr>
                <w:rFonts w:asciiTheme="majorHAnsi" w:eastAsia="Times New Roman" w:hAnsiTheme="majorHAnsi" w:cstheme="majorHAnsi"/>
                <w:bCs/>
                <w:color w:val="000000"/>
                <w:sz w:val="20"/>
                <w:szCs w:val="20"/>
              </w:rPr>
              <w:t>,</w:t>
            </w:r>
            <w:r w:rsidRPr="00C64064">
              <w:rPr>
                <w:rFonts w:asciiTheme="majorHAnsi" w:eastAsia="Times New Roman" w:hAnsiTheme="majorHAnsi" w:cstheme="majorHAnsi"/>
                <w:bCs/>
                <w:color w:val="000000"/>
                <w:sz w:val="20"/>
                <w:szCs w:val="20"/>
              </w:rPr>
              <w:t xml:space="preserve"> </w:t>
            </w:r>
            <w:r w:rsidRPr="00C64064">
              <w:rPr>
                <w:rFonts w:asciiTheme="majorHAnsi" w:eastAsia="Times New Roman" w:hAnsiTheme="majorHAnsi" w:cstheme="majorHAnsi"/>
                <w:color w:val="000000"/>
                <w:sz w:val="20"/>
                <w:szCs w:val="20"/>
              </w:rPr>
              <w:t>which will be used to certify inseminators across Indonesia</w:t>
            </w:r>
          </w:p>
          <w:p w14:paraId="7F598473" w14:textId="0FC8BE35" w:rsidR="006F3334" w:rsidRPr="00C64064" w:rsidRDefault="006F3334" w:rsidP="00D91EA1">
            <w:pPr>
              <w:numPr>
                <w:ilvl w:val="0"/>
                <w:numId w:val="19"/>
              </w:numPr>
              <w:spacing w:after="60"/>
              <w:ind w:left="252" w:hanging="252"/>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the SNI for frozen pig semen and standard operating procedures (SOP) to certify chilled pig semen from semen producers</w:t>
            </w:r>
            <w:r w:rsidR="00AD15A1" w:rsidRPr="00C64064">
              <w:rPr>
                <w:rFonts w:asciiTheme="majorHAnsi" w:eastAsia="Times New Roman" w:hAnsiTheme="majorHAnsi" w:cstheme="majorHAnsi"/>
                <w:color w:val="000000"/>
                <w:sz w:val="20"/>
                <w:szCs w:val="20"/>
              </w:rPr>
              <w:t>.</w:t>
            </w:r>
          </w:p>
        </w:tc>
        <w:tc>
          <w:tcPr>
            <w:tcW w:w="1303" w:type="dxa"/>
            <w:vMerge w:val="restart"/>
          </w:tcPr>
          <w:p w14:paraId="283B2B7C" w14:textId="2335AE7A" w:rsidR="006F3334" w:rsidRPr="00C64064" w:rsidRDefault="00DC445B" w:rsidP="006F3334">
            <w:pPr>
              <w:spacing w:afterLines="60" w:after="144"/>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The </w:t>
            </w:r>
            <w:r w:rsidR="006F3334" w:rsidRPr="00C64064">
              <w:rPr>
                <w:rFonts w:asciiTheme="majorHAnsi" w:eastAsia="Times New Roman" w:hAnsiTheme="majorHAnsi" w:cstheme="majorHAnsi"/>
                <w:color w:val="000000"/>
                <w:sz w:val="20"/>
                <w:szCs w:val="20"/>
              </w:rPr>
              <w:t>MoA (</w:t>
            </w:r>
            <w:r w:rsidR="00752DEE" w:rsidRPr="00C64064">
              <w:rPr>
                <w:rFonts w:asciiTheme="majorHAnsi" w:eastAsia="Times New Roman" w:hAnsiTheme="majorHAnsi" w:cstheme="majorHAnsi"/>
                <w:color w:val="000000"/>
                <w:sz w:val="20"/>
                <w:szCs w:val="20"/>
              </w:rPr>
              <w:t>the Kupang</w:t>
            </w:r>
            <w:r w:rsidR="00752DEE" w:rsidRPr="00C64064">
              <w:rPr>
                <w:rFonts w:asciiTheme="majorHAnsi" w:eastAsia="Times New Roman" w:hAnsiTheme="majorHAnsi" w:cstheme="majorHAnsi"/>
                <w:color w:val="000000"/>
                <w:sz w:val="20"/>
                <w:szCs w:val="20"/>
                <w:lang w:val="en-ID" w:eastAsia="en-ID"/>
              </w:rPr>
              <w:t xml:space="preserve"> </w:t>
            </w:r>
            <w:r w:rsidR="00752DEE" w:rsidRPr="00C64064">
              <w:rPr>
                <w:rFonts w:asciiTheme="majorHAnsi" w:eastAsia="Times New Roman" w:hAnsiTheme="majorHAnsi" w:cstheme="majorHAnsi"/>
                <w:color w:val="000000"/>
                <w:sz w:val="20"/>
                <w:szCs w:val="20"/>
                <w:lang w:val="en-ID"/>
              </w:rPr>
              <w:t>Animal Husbandry Training Center</w:t>
            </w:r>
            <w:r w:rsidR="00752DEE" w:rsidRPr="00C64064">
              <w:rPr>
                <w:rFonts w:asciiTheme="majorHAnsi" w:eastAsia="Times New Roman" w:hAnsiTheme="majorHAnsi" w:cstheme="majorHAnsi"/>
                <w:color w:val="000000"/>
                <w:sz w:val="20"/>
                <w:szCs w:val="20"/>
              </w:rPr>
              <w:t xml:space="preserve"> [</w:t>
            </w:r>
            <w:r w:rsidR="006F3334" w:rsidRPr="00C64064">
              <w:rPr>
                <w:rFonts w:asciiTheme="majorHAnsi" w:eastAsia="Times New Roman" w:hAnsiTheme="majorHAnsi" w:cstheme="majorHAnsi"/>
                <w:color w:val="000000"/>
                <w:sz w:val="20"/>
                <w:szCs w:val="20"/>
              </w:rPr>
              <w:t>BBPP</w:t>
            </w:r>
            <w:r w:rsidR="00752DEE" w:rsidRPr="00C64064">
              <w:rPr>
                <w:rFonts w:asciiTheme="majorHAnsi" w:eastAsia="Times New Roman" w:hAnsiTheme="majorHAnsi" w:cstheme="majorHAnsi"/>
                <w:color w:val="000000"/>
                <w:sz w:val="20"/>
                <w:szCs w:val="20"/>
              </w:rPr>
              <w:t>]</w:t>
            </w:r>
            <w:r w:rsidR="006F3334" w:rsidRPr="00C64064">
              <w:rPr>
                <w:rFonts w:asciiTheme="majorHAnsi" w:eastAsia="Times New Roman" w:hAnsiTheme="majorHAnsi" w:cstheme="majorHAnsi"/>
                <w:color w:val="000000"/>
                <w:sz w:val="20"/>
                <w:szCs w:val="20"/>
              </w:rPr>
              <w:t xml:space="preserve">, </w:t>
            </w:r>
            <w:r w:rsidRPr="00C64064">
              <w:rPr>
                <w:rFonts w:asciiTheme="majorHAnsi" w:eastAsia="Times New Roman" w:hAnsiTheme="majorHAnsi" w:cstheme="majorHAnsi"/>
                <w:color w:val="000000"/>
                <w:sz w:val="20"/>
                <w:szCs w:val="20"/>
                <w:lang w:val="en-ID"/>
              </w:rPr>
              <w:t>the</w:t>
            </w:r>
            <w:r w:rsidRPr="00C64064">
              <w:rPr>
                <w:rFonts w:asciiTheme="majorHAnsi" w:eastAsia="Times New Roman" w:hAnsiTheme="majorHAnsi" w:cstheme="majorHAnsi"/>
                <w:color w:val="000000"/>
                <w:sz w:val="20"/>
                <w:szCs w:val="20"/>
                <w:lang w:val="en-US"/>
              </w:rPr>
              <w:t xml:space="preserve"> </w:t>
            </w:r>
            <w:r w:rsidR="00862FE1" w:rsidRPr="00C64064">
              <w:rPr>
                <w:rFonts w:asciiTheme="majorHAnsi" w:eastAsia="Times New Roman" w:hAnsiTheme="majorHAnsi" w:cstheme="majorHAnsi"/>
                <w:color w:val="000000"/>
                <w:sz w:val="20"/>
                <w:szCs w:val="20"/>
                <w:lang w:val="en-US"/>
              </w:rPr>
              <w:t xml:space="preserve">Livestock and </w:t>
            </w:r>
            <w:r w:rsidRPr="00C64064">
              <w:rPr>
                <w:rFonts w:asciiTheme="majorHAnsi" w:eastAsia="Times New Roman" w:hAnsiTheme="majorHAnsi" w:cstheme="majorHAnsi"/>
                <w:color w:val="000000"/>
                <w:sz w:val="20"/>
                <w:szCs w:val="20"/>
                <w:lang w:val="en-US"/>
              </w:rPr>
              <w:t xml:space="preserve">Animal Health Instrument </w:t>
            </w:r>
            <w:r w:rsidR="0094158A" w:rsidRPr="00C64064">
              <w:rPr>
                <w:rFonts w:asciiTheme="majorHAnsi" w:eastAsia="Times New Roman" w:hAnsiTheme="majorHAnsi" w:cstheme="majorHAnsi"/>
                <w:color w:val="000000"/>
                <w:sz w:val="20"/>
                <w:szCs w:val="20"/>
                <w:lang w:val="en-US"/>
              </w:rPr>
              <w:t>Certification Agency</w:t>
            </w:r>
            <w:r w:rsidRPr="00C64064">
              <w:rPr>
                <w:rFonts w:asciiTheme="majorHAnsi" w:eastAsia="Times New Roman" w:hAnsiTheme="majorHAnsi" w:cstheme="majorHAnsi"/>
                <w:color w:val="000000"/>
                <w:sz w:val="20"/>
                <w:szCs w:val="20"/>
                <w:lang w:val="en-US"/>
              </w:rPr>
              <w:t xml:space="preserve"> [</w:t>
            </w:r>
            <w:r w:rsidR="006F3334" w:rsidRPr="00C64064">
              <w:rPr>
                <w:rFonts w:asciiTheme="majorHAnsi" w:eastAsia="Times New Roman" w:hAnsiTheme="majorHAnsi" w:cstheme="majorHAnsi"/>
                <w:color w:val="000000"/>
                <w:sz w:val="20"/>
                <w:szCs w:val="20"/>
              </w:rPr>
              <w:t>PSIPKH</w:t>
            </w:r>
            <w:r w:rsidRPr="00C64064">
              <w:rPr>
                <w:rFonts w:asciiTheme="majorHAnsi" w:eastAsia="Times New Roman" w:hAnsiTheme="majorHAnsi" w:cstheme="majorHAnsi"/>
                <w:color w:val="000000"/>
                <w:sz w:val="20"/>
                <w:szCs w:val="20"/>
              </w:rPr>
              <w:t>]</w:t>
            </w:r>
            <w:r w:rsidR="006F3334" w:rsidRPr="00C64064">
              <w:rPr>
                <w:rFonts w:asciiTheme="majorHAnsi" w:eastAsia="Times New Roman" w:hAnsiTheme="majorHAnsi" w:cstheme="majorHAnsi"/>
                <w:color w:val="000000"/>
                <w:sz w:val="20"/>
                <w:szCs w:val="20"/>
              </w:rPr>
              <w:t xml:space="preserve">, and </w:t>
            </w:r>
            <w:r w:rsidR="00752DEE" w:rsidRPr="00C64064">
              <w:rPr>
                <w:rFonts w:asciiTheme="majorHAnsi" w:eastAsia="Times New Roman" w:hAnsiTheme="majorHAnsi" w:cstheme="majorHAnsi"/>
                <w:color w:val="000000"/>
                <w:sz w:val="20"/>
                <w:szCs w:val="20"/>
              </w:rPr>
              <w:t>the Agricultural Extension and Human Resources Development Agency</w:t>
            </w:r>
            <w:r w:rsidR="00752DEE" w:rsidRPr="00C64064">
              <w:rPr>
                <w:rFonts w:asciiTheme="majorHAnsi" w:eastAsia="Times New Roman" w:hAnsiTheme="majorHAnsi" w:cstheme="majorHAnsi"/>
                <w:color w:val="000000"/>
                <w:sz w:val="20"/>
                <w:szCs w:val="20"/>
                <w:lang w:val="en-ID"/>
              </w:rPr>
              <w:t xml:space="preserve"> [</w:t>
            </w:r>
            <w:r w:rsidR="006F3334" w:rsidRPr="00C64064">
              <w:rPr>
                <w:rFonts w:asciiTheme="majorHAnsi" w:eastAsia="Times New Roman" w:hAnsiTheme="majorHAnsi" w:cstheme="majorHAnsi"/>
                <w:color w:val="000000"/>
                <w:sz w:val="20"/>
                <w:szCs w:val="20"/>
              </w:rPr>
              <w:t>BPPSDMP</w:t>
            </w:r>
            <w:r w:rsidR="00752DEE" w:rsidRPr="00C64064">
              <w:rPr>
                <w:rFonts w:asciiTheme="majorHAnsi" w:eastAsia="Times New Roman" w:hAnsiTheme="majorHAnsi" w:cstheme="majorHAnsi"/>
                <w:color w:val="000000"/>
                <w:sz w:val="20"/>
                <w:szCs w:val="20"/>
              </w:rPr>
              <w:t>]</w:t>
            </w:r>
            <w:r w:rsidR="006F3334" w:rsidRPr="00C64064">
              <w:rPr>
                <w:rFonts w:asciiTheme="majorHAnsi" w:eastAsia="Times New Roman" w:hAnsiTheme="majorHAnsi" w:cstheme="majorHAnsi"/>
                <w:color w:val="000000"/>
                <w:sz w:val="20"/>
                <w:szCs w:val="20"/>
              </w:rPr>
              <w:t>)</w:t>
            </w:r>
          </w:p>
          <w:p w14:paraId="010009B2" w14:textId="77777777" w:rsidR="006F3334" w:rsidRPr="00C64064" w:rsidRDefault="006F3334" w:rsidP="006F3334">
            <w:pPr>
              <w:spacing w:afterLines="60" w:after="144"/>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NTT Provincial Animal Husbandry Office</w:t>
            </w:r>
          </w:p>
        </w:tc>
        <w:tc>
          <w:tcPr>
            <w:tcW w:w="3598" w:type="dxa"/>
          </w:tcPr>
          <w:p w14:paraId="79809660" w14:textId="77777777" w:rsidR="006F3334" w:rsidRPr="00C64064" w:rsidRDefault="006F3334" w:rsidP="006F3334">
            <w:pPr>
              <w:rPr>
                <w:rFonts w:asciiTheme="majorHAnsi" w:eastAsia="Times New Roman" w:hAnsiTheme="majorHAnsi" w:cstheme="majorHAnsi"/>
                <w:b/>
                <w:color w:val="000000"/>
                <w:sz w:val="20"/>
                <w:szCs w:val="20"/>
              </w:rPr>
            </w:pPr>
            <w:r w:rsidRPr="00C64064">
              <w:rPr>
                <w:rFonts w:asciiTheme="majorHAnsi" w:eastAsia="Times New Roman" w:hAnsiTheme="majorHAnsi" w:cstheme="majorHAnsi"/>
                <w:b/>
                <w:color w:val="000000"/>
                <w:sz w:val="20"/>
                <w:szCs w:val="20"/>
              </w:rPr>
              <w:t>(a)</w:t>
            </w:r>
            <w:r w:rsidRPr="00C64064">
              <w:rPr>
                <w:rFonts w:asciiTheme="majorHAnsi" w:eastAsia="Times New Roman" w:hAnsiTheme="majorHAnsi" w:cstheme="majorHAnsi"/>
                <w:color w:val="000000"/>
                <w:sz w:val="20"/>
                <w:szCs w:val="20"/>
              </w:rPr>
              <w:t xml:space="preserve"> </w:t>
            </w:r>
            <w:r w:rsidRPr="00C64064">
              <w:rPr>
                <w:rFonts w:asciiTheme="majorHAnsi" w:eastAsia="Times New Roman" w:hAnsiTheme="majorHAnsi" w:cstheme="majorHAnsi"/>
                <w:b/>
                <w:color w:val="000000"/>
                <w:sz w:val="20"/>
                <w:szCs w:val="20"/>
              </w:rPr>
              <w:t xml:space="preserve">Completed: </w:t>
            </w:r>
          </w:p>
          <w:p w14:paraId="5515E13A" w14:textId="77777777" w:rsidR="006F3334" w:rsidRPr="00C64064" w:rsidRDefault="006F3334"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The AI training curriculum and modules were developed </w:t>
            </w:r>
            <w:r w:rsidRPr="00C64064">
              <w:rPr>
                <w:rFonts w:asciiTheme="majorHAnsi" w:eastAsia="Times New Roman" w:hAnsiTheme="majorHAnsi" w:cstheme="majorHAnsi"/>
                <w:color w:val="161719"/>
                <w:sz w:val="20"/>
                <w:szCs w:val="20"/>
              </w:rPr>
              <w:t>and</w:t>
            </w:r>
            <w:r w:rsidRPr="00C64064">
              <w:rPr>
                <w:rFonts w:asciiTheme="majorHAnsi" w:eastAsia="Times New Roman" w:hAnsiTheme="majorHAnsi" w:cstheme="majorHAnsi"/>
                <w:color w:val="000000"/>
                <w:sz w:val="20"/>
                <w:szCs w:val="20"/>
              </w:rPr>
              <w:t xml:space="preserve"> piloted with a cohort of inseminators in NTT. The final curriculum and modules have been presented to the technical committee as the basis for developing the work competency standards. Once the registration number for the work competency standards is issued, this will officially be recognised as a national curriculum. </w:t>
            </w:r>
          </w:p>
          <w:p w14:paraId="436E594B" w14:textId="2C49573C" w:rsidR="006F3334" w:rsidRPr="00C64064" w:rsidRDefault="006F3334"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The operational </w:t>
            </w:r>
            <w:r w:rsidRPr="00C64064">
              <w:rPr>
                <w:rFonts w:asciiTheme="majorHAnsi" w:eastAsia="Times New Roman" w:hAnsiTheme="majorHAnsi" w:cstheme="majorHAnsi"/>
                <w:color w:val="161719"/>
                <w:sz w:val="20"/>
                <w:szCs w:val="20"/>
              </w:rPr>
              <w:t>guidelines</w:t>
            </w:r>
            <w:r w:rsidRPr="00C64064">
              <w:rPr>
                <w:rFonts w:asciiTheme="majorHAnsi" w:eastAsia="Times New Roman" w:hAnsiTheme="majorHAnsi" w:cstheme="majorHAnsi"/>
                <w:color w:val="000000"/>
                <w:sz w:val="20"/>
                <w:szCs w:val="20"/>
              </w:rPr>
              <w:t xml:space="preserve"> for educational and training institutions to use the AI training curriculum and modules were developed and approved in November 2023. The guidelines can now be used by BBPP</w:t>
            </w:r>
            <w:r w:rsidR="005C0D4E"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 xml:space="preserve"> universities</w:t>
            </w:r>
            <w:r w:rsidR="005C0D4E"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 xml:space="preserve"> and other training institutions to conduct the AI training.</w:t>
            </w:r>
          </w:p>
        </w:tc>
        <w:tc>
          <w:tcPr>
            <w:tcW w:w="3817" w:type="dxa"/>
          </w:tcPr>
          <w:p w14:paraId="7B64694F" w14:textId="77FD2C3A" w:rsidR="006F3334" w:rsidRPr="00C64064" w:rsidRDefault="00752DEE"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The </w:t>
            </w:r>
            <w:r w:rsidR="006F3334" w:rsidRPr="00C64064">
              <w:rPr>
                <w:rFonts w:asciiTheme="majorHAnsi" w:eastAsia="Times New Roman" w:hAnsiTheme="majorHAnsi" w:cstheme="majorHAnsi"/>
                <w:color w:val="000000"/>
                <w:sz w:val="20"/>
                <w:szCs w:val="20"/>
              </w:rPr>
              <w:t>BBPP piloted the AI training for 32 inseminators from 10 districts in NTT, a government</w:t>
            </w:r>
            <w:r w:rsidR="007E1774" w:rsidRPr="00C64064">
              <w:rPr>
                <w:rFonts w:asciiTheme="majorHAnsi" w:eastAsia="Times New Roman" w:hAnsiTheme="majorHAnsi" w:cstheme="majorHAnsi"/>
                <w:color w:val="000000"/>
                <w:sz w:val="20"/>
                <w:szCs w:val="20"/>
              </w:rPr>
              <w:t>-</w:t>
            </w:r>
            <w:r w:rsidR="006F3334" w:rsidRPr="00C64064">
              <w:rPr>
                <w:rFonts w:asciiTheme="majorHAnsi" w:eastAsia="Times New Roman" w:hAnsiTheme="majorHAnsi" w:cstheme="majorHAnsi"/>
                <w:color w:val="000000"/>
                <w:sz w:val="20"/>
                <w:szCs w:val="20"/>
              </w:rPr>
              <w:t>owned</w:t>
            </w:r>
            <w:r w:rsidR="007E1774" w:rsidRPr="00C64064">
              <w:rPr>
                <w:rFonts w:asciiTheme="majorHAnsi" w:eastAsia="Times New Roman" w:hAnsiTheme="majorHAnsi" w:cstheme="majorHAnsi"/>
                <w:color w:val="000000"/>
                <w:sz w:val="20"/>
                <w:szCs w:val="20"/>
              </w:rPr>
              <w:t xml:space="preserve"> </w:t>
            </w:r>
            <w:r w:rsidR="006F3334" w:rsidRPr="00C64064">
              <w:rPr>
                <w:rFonts w:asciiTheme="majorHAnsi" w:eastAsia="Times New Roman" w:hAnsiTheme="majorHAnsi" w:cstheme="majorHAnsi"/>
                <w:color w:val="000000"/>
                <w:sz w:val="20"/>
                <w:szCs w:val="20"/>
              </w:rPr>
              <w:t>farm in Kupang</w:t>
            </w:r>
            <w:r w:rsidR="007E1774" w:rsidRPr="00C64064">
              <w:rPr>
                <w:rFonts w:asciiTheme="majorHAnsi" w:eastAsia="Times New Roman" w:hAnsiTheme="majorHAnsi" w:cstheme="majorHAnsi"/>
                <w:color w:val="000000"/>
                <w:sz w:val="20"/>
                <w:szCs w:val="20"/>
              </w:rPr>
              <w:t>,</w:t>
            </w:r>
            <w:r w:rsidR="006F3334" w:rsidRPr="00C64064">
              <w:rPr>
                <w:rFonts w:asciiTheme="majorHAnsi" w:eastAsia="Times New Roman" w:hAnsiTheme="majorHAnsi" w:cstheme="majorHAnsi"/>
                <w:color w:val="000000"/>
                <w:sz w:val="20"/>
                <w:szCs w:val="20"/>
              </w:rPr>
              <w:t xml:space="preserve"> and the Regional Artificial Insemination Centre in Bali.</w:t>
            </w:r>
            <w:r w:rsidR="006F3334" w:rsidRPr="00C64064" w:rsidDel="000633DE">
              <w:rPr>
                <w:rFonts w:asciiTheme="majorHAnsi" w:eastAsia="Times New Roman" w:hAnsiTheme="majorHAnsi" w:cstheme="majorHAnsi"/>
                <w:color w:val="000000"/>
                <w:sz w:val="20"/>
                <w:szCs w:val="20"/>
              </w:rPr>
              <w:t xml:space="preserve"> </w:t>
            </w:r>
            <w:r w:rsidR="006F3334" w:rsidRPr="00C64064">
              <w:rPr>
                <w:rFonts w:asciiTheme="majorHAnsi" w:eastAsia="Times New Roman" w:hAnsiTheme="majorHAnsi" w:cstheme="majorHAnsi"/>
                <w:color w:val="000000"/>
                <w:sz w:val="20"/>
                <w:szCs w:val="20"/>
              </w:rPr>
              <w:t>The pilot results were used to improve the curriculum and modules.</w:t>
            </w:r>
            <w:r w:rsidR="006F3334" w:rsidRPr="00C64064">
              <w:rPr>
                <w:rFonts w:asciiTheme="majorHAnsi" w:eastAsia="Times New Roman" w:hAnsiTheme="majorHAnsi" w:cstheme="majorHAnsi"/>
                <w:color w:val="000000"/>
                <w:sz w:val="20"/>
                <w:szCs w:val="20"/>
                <w:highlight w:val="yellow"/>
              </w:rPr>
              <w:t xml:space="preserve"> </w:t>
            </w:r>
          </w:p>
          <w:p w14:paraId="5628FE73" w14:textId="41EF8C36" w:rsidR="006F3334" w:rsidRPr="00C64064" w:rsidRDefault="006F3334"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On average</w:t>
            </w:r>
            <w:r w:rsidR="007E1774"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 xml:space="preserve"> participants improved their knowledge (with their test scores increasing by 20 percentage points after the training).</w:t>
            </w:r>
          </w:p>
        </w:tc>
      </w:tr>
      <w:tr w:rsidR="00040D3F" w:rsidRPr="00C64064" w14:paraId="52464354" w14:textId="77777777" w:rsidTr="7D2E47DB">
        <w:trPr>
          <w:trHeight w:val="1628"/>
        </w:trPr>
        <w:tc>
          <w:tcPr>
            <w:tcW w:w="2064" w:type="dxa"/>
            <w:vMerge/>
          </w:tcPr>
          <w:p w14:paraId="57B1D066" w14:textId="77777777" w:rsidR="006F3334" w:rsidRPr="00C64064" w:rsidRDefault="006F3334" w:rsidP="006F3334">
            <w:pPr>
              <w:spacing w:after="60"/>
              <w:rPr>
                <w:rFonts w:asciiTheme="majorHAnsi" w:eastAsia="Times New Roman" w:hAnsiTheme="majorHAnsi" w:cstheme="majorHAnsi"/>
                <w:b/>
                <w:color w:val="000000"/>
                <w:sz w:val="20"/>
                <w:szCs w:val="20"/>
              </w:rPr>
            </w:pPr>
          </w:p>
        </w:tc>
        <w:tc>
          <w:tcPr>
            <w:tcW w:w="3742" w:type="dxa"/>
            <w:vMerge/>
          </w:tcPr>
          <w:p w14:paraId="5B94AFE5"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1303" w:type="dxa"/>
            <w:vMerge/>
          </w:tcPr>
          <w:p w14:paraId="722CD209"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3598" w:type="dxa"/>
          </w:tcPr>
          <w:p w14:paraId="3C82880C" w14:textId="4696A9E7" w:rsidR="006F3334" w:rsidRPr="00C64064" w:rsidRDefault="006F3334" w:rsidP="006F3334">
            <w:pPr>
              <w:rPr>
                <w:rFonts w:asciiTheme="majorHAnsi" w:eastAsia="Times New Roman" w:hAnsiTheme="majorHAnsi" w:cstheme="majorHAnsi"/>
                <w:b/>
                <w:color w:val="000000"/>
                <w:sz w:val="20"/>
                <w:szCs w:val="20"/>
              </w:rPr>
            </w:pPr>
            <w:r w:rsidRPr="00C64064">
              <w:rPr>
                <w:rFonts w:asciiTheme="majorHAnsi" w:eastAsia="Times New Roman" w:hAnsiTheme="majorHAnsi" w:cstheme="majorHAnsi"/>
                <w:b/>
                <w:color w:val="000000"/>
                <w:sz w:val="20"/>
                <w:szCs w:val="20"/>
              </w:rPr>
              <w:t>(b)</w:t>
            </w:r>
            <w:r w:rsidRPr="00C64064">
              <w:rPr>
                <w:rFonts w:asciiTheme="majorHAnsi" w:eastAsia="Times New Roman" w:hAnsiTheme="majorHAnsi" w:cstheme="majorHAnsi"/>
                <w:color w:val="000000"/>
                <w:sz w:val="20"/>
                <w:szCs w:val="20"/>
              </w:rPr>
              <w:t xml:space="preserve"> </w:t>
            </w:r>
            <w:r w:rsidRPr="00C64064">
              <w:rPr>
                <w:rFonts w:asciiTheme="majorHAnsi" w:eastAsia="Times New Roman" w:hAnsiTheme="majorHAnsi" w:cstheme="majorHAnsi"/>
                <w:b/>
                <w:color w:val="000000"/>
                <w:sz w:val="20"/>
                <w:szCs w:val="20"/>
              </w:rPr>
              <w:t xml:space="preserve">Ongoing: </w:t>
            </w:r>
          </w:p>
          <w:p w14:paraId="76AA1A09" w14:textId="1921B3A6" w:rsidR="006F3334" w:rsidRPr="00C64064" w:rsidRDefault="006F3334"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The SKK Khusus was drafted and endorsed by the </w:t>
            </w:r>
            <w:r w:rsidR="00EE740C" w:rsidRPr="00C64064">
              <w:rPr>
                <w:rFonts w:asciiTheme="majorHAnsi" w:eastAsia="Times New Roman" w:hAnsiTheme="majorHAnsi" w:cstheme="majorHAnsi"/>
                <w:color w:val="000000"/>
                <w:sz w:val="20"/>
                <w:szCs w:val="20"/>
              </w:rPr>
              <w:t>h</w:t>
            </w:r>
            <w:r w:rsidRPr="00C64064">
              <w:rPr>
                <w:rFonts w:asciiTheme="majorHAnsi" w:eastAsia="Times New Roman" w:hAnsiTheme="majorHAnsi" w:cstheme="majorHAnsi"/>
                <w:color w:val="000000"/>
                <w:sz w:val="20"/>
                <w:szCs w:val="20"/>
              </w:rPr>
              <w:t xml:space="preserve">ead of BPPSDMP in June 2024. BPPSDMP sent a letter to </w:t>
            </w:r>
            <w:r w:rsidR="00BC6917" w:rsidRPr="00C64064">
              <w:rPr>
                <w:rFonts w:asciiTheme="majorHAnsi" w:eastAsia="Times New Roman" w:hAnsiTheme="majorHAnsi" w:cstheme="majorHAnsi"/>
                <w:color w:val="000000"/>
                <w:sz w:val="20"/>
                <w:szCs w:val="20"/>
              </w:rPr>
              <w:t xml:space="preserve">the </w:t>
            </w:r>
            <w:r w:rsidRPr="00C64064">
              <w:rPr>
                <w:rFonts w:asciiTheme="majorHAnsi" w:eastAsia="Times New Roman" w:hAnsiTheme="majorHAnsi" w:cstheme="majorHAnsi"/>
                <w:color w:val="000000"/>
                <w:sz w:val="20"/>
                <w:szCs w:val="20"/>
              </w:rPr>
              <w:t xml:space="preserve">Ministry of Manpower in June 2024 to register the standard. The registration number for the standard is expected to be issued in August 2024. </w:t>
            </w:r>
          </w:p>
          <w:p w14:paraId="76B5B7C3" w14:textId="38D792F2" w:rsidR="006F3334" w:rsidRPr="00C64064" w:rsidRDefault="006F3334"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After the registration, PRISMA will support BPPSDMP to conduct a socialisation event in Jakarta. </w:t>
            </w:r>
          </w:p>
          <w:p w14:paraId="3457B4A5" w14:textId="7C2B5A0E" w:rsidR="006F3334" w:rsidRPr="00C64064" w:rsidRDefault="006F3334"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lastRenderedPageBreak/>
              <w:t>PRISMA will also support training for pig assessors selected by BPPSDMP in August 2024. Through the training, the assessors will be qualified to certify inseminators.</w:t>
            </w:r>
          </w:p>
        </w:tc>
        <w:tc>
          <w:tcPr>
            <w:tcW w:w="3817" w:type="dxa"/>
          </w:tcPr>
          <w:p w14:paraId="23B9DAB6" w14:textId="262AC24C" w:rsidR="006F3334" w:rsidRPr="00C64064" w:rsidRDefault="006F3334"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lastRenderedPageBreak/>
              <w:t>As the final stage for developing the SKK Khusus, the BPPSDMP sent a letter (No.18469/TU.020/I.4/06/2024) to the Directorate General of Vocational Training and Productivity Development, Ministry of Manpower to register the standard</w:t>
            </w:r>
            <w:r w:rsidR="00893CEB" w:rsidRPr="00C64064">
              <w:rPr>
                <w:rFonts w:asciiTheme="majorHAnsi" w:eastAsia="Times New Roman" w:hAnsiTheme="majorHAnsi" w:cstheme="majorHAnsi"/>
                <w:color w:val="000000"/>
                <w:sz w:val="20"/>
                <w:szCs w:val="20"/>
              </w:rPr>
              <w:t xml:space="preserve"> on 19 June 2024</w:t>
            </w:r>
            <w:r w:rsidRPr="00C64064">
              <w:rPr>
                <w:rFonts w:asciiTheme="majorHAnsi" w:eastAsia="Times New Roman" w:hAnsiTheme="majorHAnsi" w:cstheme="majorHAnsi"/>
                <w:color w:val="000000"/>
                <w:sz w:val="20"/>
                <w:szCs w:val="20"/>
              </w:rPr>
              <w:t>.</w:t>
            </w:r>
          </w:p>
          <w:p w14:paraId="2C083782" w14:textId="77777777" w:rsidR="006F3334" w:rsidRPr="00C64064" w:rsidRDefault="006F3334" w:rsidP="006F3334">
            <w:pPr>
              <w:rPr>
                <w:rFonts w:asciiTheme="majorHAnsi" w:eastAsia="Times New Roman" w:hAnsiTheme="majorHAnsi" w:cstheme="majorHAnsi"/>
                <w:color w:val="000000"/>
                <w:sz w:val="20"/>
                <w:szCs w:val="20"/>
              </w:rPr>
            </w:pPr>
          </w:p>
        </w:tc>
      </w:tr>
      <w:tr w:rsidR="00040D3F" w:rsidRPr="00C64064" w14:paraId="72762CE9" w14:textId="77777777" w:rsidTr="7D2E47DB">
        <w:trPr>
          <w:trHeight w:val="7168"/>
        </w:trPr>
        <w:tc>
          <w:tcPr>
            <w:tcW w:w="2064" w:type="dxa"/>
            <w:vMerge/>
          </w:tcPr>
          <w:p w14:paraId="6C91C3D5" w14:textId="77777777" w:rsidR="006F3334" w:rsidRPr="00C64064" w:rsidRDefault="006F3334" w:rsidP="006F3334">
            <w:pPr>
              <w:spacing w:after="60"/>
              <w:rPr>
                <w:rFonts w:asciiTheme="majorHAnsi" w:eastAsia="Times New Roman" w:hAnsiTheme="majorHAnsi" w:cstheme="majorHAnsi"/>
                <w:b/>
                <w:color w:val="000000"/>
                <w:sz w:val="20"/>
                <w:szCs w:val="20"/>
              </w:rPr>
            </w:pPr>
          </w:p>
        </w:tc>
        <w:tc>
          <w:tcPr>
            <w:tcW w:w="3742" w:type="dxa"/>
            <w:vMerge/>
          </w:tcPr>
          <w:p w14:paraId="2F12A5CF"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1303" w:type="dxa"/>
            <w:vMerge/>
          </w:tcPr>
          <w:p w14:paraId="796FD189"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3598" w:type="dxa"/>
          </w:tcPr>
          <w:p w14:paraId="51C65EB8" w14:textId="516CB726" w:rsidR="006F3334" w:rsidRPr="00C64064" w:rsidRDefault="006F3334" w:rsidP="006F3334">
            <w:pPr>
              <w:rPr>
                <w:rFonts w:asciiTheme="majorHAnsi" w:eastAsia="Times New Roman" w:hAnsiTheme="majorHAnsi" w:cstheme="majorHAnsi"/>
                <w:b/>
                <w:color w:val="000000"/>
                <w:sz w:val="20"/>
                <w:szCs w:val="20"/>
              </w:rPr>
            </w:pPr>
            <w:r w:rsidRPr="00C64064">
              <w:rPr>
                <w:rFonts w:asciiTheme="majorHAnsi" w:eastAsia="Times New Roman" w:hAnsiTheme="majorHAnsi" w:cstheme="majorHAnsi"/>
                <w:b/>
                <w:color w:val="000000"/>
                <w:sz w:val="20"/>
                <w:szCs w:val="20"/>
              </w:rPr>
              <w:t>(c)</w:t>
            </w:r>
            <w:r w:rsidRPr="00C64064">
              <w:rPr>
                <w:rFonts w:asciiTheme="majorHAnsi" w:eastAsia="Times New Roman" w:hAnsiTheme="majorHAnsi" w:cstheme="majorHAnsi"/>
                <w:color w:val="000000"/>
                <w:sz w:val="20"/>
                <w:szCs w:val="20"/>
              </w:rPr>
              <w:t xml:space="preserve"> </w:t>
            </w:r>
            <w:r w:rsidRPr="00C64064">
              <w:rPr>
                <w:rFonts w:asciiTheme="majorHAnsi" w:eastAsia="Times New Roman" w:hAnsiTheme="majorHAnsi" w:cstheme="majorHAnsi"/>
                <w:b/>
                <w:color w:val="000000"/>
                <w:sz w:val="20"/>
                <w:szCs w:val="20"/>
              </w:rPr>
              <w:t>Ongoing:</w:t>
            </w:r>
          </w:p>
          <w:p w14:paraId="422C8CB0" w14:textId="52BB08F7" w:rsidR="006F3334" w:rsidRPr="00C64064" w:rsidRDefault="006F3334"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The SNI for frozen pig semen was developed in collaboration with the Livestock and Animal Health Instrument Certification Agency at MoA (PSIPKH). </w:t>
            </w:r>
          </w:p>
          <w:p w14:paraId="421E1F98" w14:textId="77777777" w:rsidR="006F3334" w:rsidRPr="00C64064" w:rsidRDefault="006F3334"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PSIPKH sent a letter to the National Standards Agency (BSN) in June 2024 to register the SNI. The SNI for the frozen pig semen is expected to be issued by BSN in September 2024.</w:t>
            </w:r>
          </w:p>
          <w:p w14:paraId="18AED407" w14:textId="67366808" w:rsidR="006F3334" w:rsidRPr="00C64064" w:rsidRDefault="006F3334"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The draft SOP to certify chilled semen from semen producers is in progress and expected to be finalised in July 2024. Once finalised, the SOP will be handed over to the Product Certification Agency (LS-Pro) under </w:t>
            </w:r>
            <w:r w:rsidR="00CB5032" w:rsidRPr="00C64064">
              <w:rPr>
                <w:rFonts w:asciiTheme="majorHAnsi" w:eastAsia="Times New Roman" w:hAnsiTheme="majorHAnsi" w:cstheme="majorHAnsi"/>
                <w:color w:val="000000"/>
                <w:sz w:val="20"/>
                <w:szCs w:val="20"/>
              </w:rPr>
              <w:t xml:space="preserve">the </w:t>
            </w:r>
            <w:r w:rsidRPr="00C64064">
              <w:rPr>
                <w:rFonts w:asciiTheme="majorHAnsi" w:eastAsia="Times New Roman" w:hAnsiTheme="majorHAnsi" w:cstheme="majorHAnsi"/>
                <w:color w:val="000000"/>
                <w:sz w:val="20"/>
                <w:szCs w:val="20"/>
              </w:rPr>
              <w:t>MoA and tested with 3 semen producers.</w:t>
            </w:r>
          </w:p>
          <w:p w14:paraId="0608C0CD" w14:textId="032AD2BD" w:rsidR="006F3334" w:rsidRPr="00C64064" w:rsidRDefault="006F3334"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Once the SNI is issued and </w:t>
            </w:r>
            <w:r w:rsidR="00CB5032" w:rsidRPr="00C64064">
              <w:rPr>
                <w:rFonts w:asciiTheme="majorHAnsi" w:eastAsia="Times New Roman" w:hAnsiTheme="majorHAnsi" w:cstheme="majorHAnsi"/>
                <w:color w:val="000000"/>
                <w:sz w:val="20"/>
                <w:szCs w:val="20"/>
              </w:rPr>
              <w:t xml:space="preserve">the </w:t>
            </w:r>
            <w:r w:rsidRPr="00C64064">
              <w:rPr>
                <w:rFonts w:asciiTheme="majorHAnsi" w:eastAsia="Times New Roman" w:hAnsiTheme="majorHAnsi" w:cstheme="majorHAnsi"/>
                <w:color w:val="000000"/>
                <w:sz w:val="20"/>
                <w:szCs w:val="20"/>
              </w:rPr>
              <w:t>SOP is finalised, they will also be part of the socialisation event in Jakarta (along with the SKK Khusus).</w:t>
            </w:r>
          </w:p>
        </w:tc>
        <w:tc>
          <w:tcPr>
            <w:tcW w:w="3817" w:type="dxa"/>
          </w:tcPr>
          <w:p w14:paraId="18D92B0D" w14:textId="2D41FB1C" w:rsidR="006F3334" w:rsidRPr="00C64064" w:rsidRDefault="00CB5032"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The </w:t>
            </w:r>
            <w:r w:rsidR="006F3334" w:rsidRPr="00C64064">
              <w:rPr>
                <w:rFonts w:asciiTheme="majorHAnsi" w:eastAsia="Times New Roman" w:hAnsiTheme="majorHAnsi" w:cstheme="majorHAnsi"/>
                <w:color w:val="000000"/>
                <w:sz w:val="20"/>
                <w:szCs w:val="20"/>
              </w:rPr>
              <w:t xml:space="preserve">NTT Provincial Animal Husbandry </w:t>
            </w:r>
            <w:r w:rsidRPr="00C64064">
              <w:rPr>
                <w:rFonts w:asciiTheme="majorHAnsi" w:eastAsia="Times New Roman" w:hAnsiTheme="majorHAnsi" w:cstheme="majorHAnsi"/>
                <w:color w:val="000000"/>
                <w:sz w:val="20"/>
                <w:szCs w:val="20"/>
              </w:rPr>
              <w:t>O</w:t>
            </w:r>
            <w:r w:rsidR="006F3334" w:rsidRPr="00C64064">
              <w:rPr>
                <w:rFonts w:asciiTheme="majorHAnsi" w:eastAsia="Times New Roman" w:hAnsiTheme="majorHAnsi" w:cstheme="majorHAnsi"/>
                <w:color w:val="000000"/>
                <w:sz w:val="20"/>
                <w:szCs w:val="20"/>
              </w:rPr>
              <w:t xml:space="preserve">ffice provided a supporting letter (No. 524.250/10/Bitpro/IV/2024) on 3 Apr 2024 to PSIPKH to request the development of an SNI for frozen pig semen. </w:t>
            </w:r>
          </w:p>
          <w:p w14:paraId="5E555C80" w14:textId="77777777" w:rsidR="006F3334" w:rsidRPr="00C64064" w:rsidRDefault="006F3334" w:rsidP="00D91EA1">
            <w:pPr>
              <w:numPr>
                <w:ilvl w:val="0"/>
                <w:numId w:val="18"/>
              </w:numPr>
              <w:tabs>
                <w:tab w:val="left" w:pos="252"/>
              </w:tabs>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PSIPKH sent a letter (No:B-529/PK.020/H.5/06/ 2024) on 20 June 2024 to BSN to register the SNI for frozen pig semen.</w:t>
            </w:r>
          </w:p>
          <w:p w14:paraId="0BCA7EFB" w14:textId="77777777" w:rsidR="006F3334" w:rsidRPr="00C64064" w:rsidRDefault="006F3334" w:rsidP="006F3334">
            <w:pPr>
              <w:tabs>
                <w:tab w:val="left" w:pos="252"/>
              </w:tabs>
              <w:ind w:left="72"/>
              <w:rPr>
                <w:rFonts w:asciiTheme="majorHAnsi" w:eastAsia="Times New Roman" w:hAnsiTheme="majorHAnsi" w:cstheme="majorHAnsi"/>
                <w:color w:val="000000"/>
                <w:sz w:val="20"/>
                <w:szCs w:val="20"/>
              </w:rPr>
            </w:pPr>
          </w:p>
        </w:tc>
      </w:tr>
      <w:tr w:rsidR="006F3334" w:rsidRPr="00C64064" w14:paraId="080EF62C" w14:textId="77777777" w:rsidTr="7D2E47DB">
        <w:trPr>
          <w:trHeight w:val="58"/>
        </w:trPr>
        <w:tc>
          <w:tcPr>
            <w:tcW w:w="14524" w:type="dxa"/>
            <w:gridSpan w:val="5"/>
          </w:tcPr>
          <w:p w14:paraId="3AA5DCA8" w14:textId="77777777" w:rsidR="006F3334" w:rsidRPr="00C64064" w:rsidRDefault="006F3334" w:rsidP="006F3334">
            <w:pPr>
              <w:tabs>
                <w:tab w:val="left" w:pos="252"/>
              </w:tabs>
              <w:rPr>
                <w:rFonts w:asciiTheme="majorHAnsi" w:eastAsia="Times New Roman" w:hAnsiTheme="majorHAnsi" w:cstheme="majorHAnsi"/>
                <w:b/>
                <w:color w:val="161719"/>
                <w:sz w:val="20"/>
                <w:szCs w:val="20"/>
              </w:rPr>
            </w:pPr>
            <w:r w:rsidRPr="00C64064">
              <w:rPr>
                <w:rFonts w:asciiTheme="majorHAnsi" w:eastAsia="Times New Roman" w:hAnsiTheme="majorHAnsi" w:cstheme="majorHAnsi"/>
                <w:b/>
                <w:color w:val="161719"/>
                <w:sz w:val="20"/>
                <w:szCs w:val="20"/>
              </w:rPr>
              <w:lastRenderedPageBreak/>
              <w:t>Policy Planning Processes</w:t>
            </w:r>
          </w:p>
        </w:tc>
      </w:tr>
      <w:tr w:rsidR="00040D3F" w:rsidRPr="00C64064" w14:paraId="5AD5FA2F" w14:textId="77777777" w:rsidTr="7D2E47DB">
        <w:trPr>
          <w:trHeight w:val="791"/>
        </w:trPr>
        <w:tc>
          <w:tcPr>
            <w:tcW w:w="2064" w:type="dxa"/>
            <w:vMerge w:val="restart"/>
          </w:tcPr>
          <w:p w14:paraId="4106A0FE" w14:textId="7AEA61DB" w:rsidR="006F3334" w:rsidRPr="00C64064" w:rsidRDefault="006F3334" w:rsidP="006F3334">
            <w:pPr>
              <w:spacing w:after="60"/>
              <w:rPr>
                <w:rFonts w:asciiTheme="majorHAnsi" w:eastAsia="Times New Roman" w:hAnsiTheme="majorHAnsi" w:cstheme="majorHAnsi"/>
                <w:b/>
                <w:color w:val="000000"/>
                <w:sz w:val="20"/>
                <w:szCs w:val="20"/>
              </w:rPr>
            </w:pPr>
            <w:r w:rsidRPr="00C64064">
              <w:rPr>
                <w:rFonts w:asciiTheme="majorHAnsi" w:eastAsia="Times New Roman" w:hAnsiTheme="majorHAnsi" w:cstheme="majorHAnsi"/>
                <w:b/>
                <w:color w:val="000000"/>
                <w:sz w:val="20"/>
                <w:szCs w:val="20"/>
              </w:rPr>
              <w:t xml:space="preserve">National Policy Planning Process: </w:t>
            </w:r>
            <w:r w:rsidR="00AD15A1" w:rsidRPr="00C64064">
              <w:rPr>
                <w:rFonts w:asciiTheme="majorHAnsi" w:eastAsia="Times New Roman" w:hAnsiTheme="majorHAnsi" w:cstheme="majorHAnsi"/>
                <w:bCs/>
                <w:color w:val="000000"/>
                <w:sz w:val="20"/>
                <w:szCs w:val="20"/>
              </w:rPr>
              <w:t>The National</w:t>
            </w:r>
            <w:r w:rsidR="00AD15A1" w:rsidRPr="00C64064">
              <w:rPr>
                <w:rFonts w:asciiTheme="majorHAnsi" w:eastAsia="Times New Roman" w:hAnsiTheme="majorHAnsi" w:cstheme="majorHAnsi"/>
                <w:b/>
                <w:color w:val="000000"/>
                <w:sz w:val="20"/>
                <w:szCs w:val="20"/>
              </w:rPr>
              <w:t xml:space="preserve"> </w:t>
            </w:r>
            <w:r w:rsidR="00AD15A1" w:rsidRPr="00C64064">
              <w:rPr>
                <w:rFonts w:asciiTheme="majorHAnsi" w:eastAsia="Times New Roman" w:hAnsiTheme="majorHAnsi" w:cstheme="majorHAnsi"/>
                <w:bCs/>
                <w:color w:val="000000"/>
                <w:sz w:val="20"/>
                <w:szCs w:val="20"/>
              </w:rPr>
              <w:t>Development Planning Agency</w:t>
            </w:r>
            <w:r w:rsidR="00AD15A1" w:rsidRPr="00C64064">
              <w:rPr>
                <w:rFonts w:asciiTheme="majorHAnsi" w:eastAsia="Times New Roman" w:hAnsiTheme="majorHAnsi" w:cstheme="majorHAnsi"/>
                <w:b/>
                <w:color w:val="000000"/>
                <w:sz w:val="20"/>
                <w:szCs w:val="20"/>
              </w:rPr>
              <w:t xml:space="preserve"> (</w:t>
            </w:r>
            <w:r w:rsidRPr="00C64064">
              <w:rPr>
                <w:rFonts w:asciiTheme="majorHAnsi" w:eastAsia="Times New Roman" w:hAnsiTheme="majorHAnsi" w:cstheme="majorHAnsi"/>
                <w:color w:val="000000"/>
                <w:sz w:val="20"/>
                <w:szCs w:val="20"/>
              </w:rPr>
              <w:t>Bappenas</w:t>
            </w:r>
            <w:r w:rsidR="00AD15A1"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 xml:space="preserve"> formulates the </w:t>
            </w:r>
            <w:r w:rsidR="00E87783" w:rsidRPr="00C64064">
              <w:rPr>
                <w:rFonts w:asciiTheme="majorHAnsi" w:eastAsia="Times New Roman" w:hAnsiTheme="majorHAnsi" w:cstheme="majorHAnsi"/>
                <w:color w:val="000000"/>
                <w:sz w:val="20"/>
                <w:szCs w:val="20"/>
              </w:rPr>
              <w:t xml:space="preserve">2025-2029 </w:t>
            </w:r>
            <w:r w:rsidR="00AD15A1" w:rsidRPr="00C64064">
              <w:rPr>
                <w:rFonts w:asciiTheme="majorHAnsi" w:eastAsia="Times New Roman" w:hAnsiTheme="majorHAnsi" w:cstheme="majorHAnsi"/>
                <w:color w:val="000000"/>
                <w:sz w:val="20"/>
                <w:szCs w:val="20"/>
              </w:rPr>
              <w:t>National Medium-Term Development Plan’s (</w:t>
            </w:r>
            <w:r w:rsidRPr="00C64064">
              <w:rPr>
                <w:rFonts w:asciiTheme="majorHAnsi" w:eastAsia="Times New Roman" w:hAnsiTheme="majorHAnsi" w:cstheme="majorHAnsi"/>
                <w:color w:val="000000"/>
                <w:sz w:val="20"/>
                <w:szCs w:val="20"/>
              </w:rPr>
              <w:t>RPJMN</w:t>
            </w:r>
            <w:r w:rsidR="00AD15A1"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 xml:space="preserve"> food and agriculture development agenda based on robust policy evidence</w:t>
            </w:r>
            <w:r w:rsidR="00AD15A1" w:rsidRPr="00C64064">
              <w:rPr>
                <w:rFonts w:asciiTheme="majorHAnsi" w:eastAsia="Times New Roman" w:hAnsiTheme="majorHAnsi" w:cstheme="majorHAnsi"/>
                <w:color w:val="000000"/>
                <w:sz w:val="20"/>
                <w:szCs w:val="20"/>
              </w:rPr>
              <w:t>.</w:t>
            </w:r>
          </w:p>
        </w:tc>
        <w:tc>
          <w:tcPr>
            <w:tcW w:w="3742" w:type="dxa"/>
            <w:vMerge w:val="restart"/>
          </w:tcPr>
          <w:p w14:paraId="365B1427" w14:textId="41255C93" w:rsidR="006F3334" w:rsidRPr="00C64064" w:rsidRDefault="006F3334" w:rsidP="006F3334">
            <w:pPr>
              <w:spacing w:afterLines="60" w:after="144"/>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Bappenas is currently formulating the food and agriculture development agenda for the </w:t>
            </w:r>
            <w:r w:rsidR="00E87783" w:rsidRPr="00C64064">
              <w:rPr>
                <w:rFonts w:asciiTheme="majorHAnsi" w:eastAsia="Times New Roman" w:hAnsiTheme="majorHAnsi" w:cstheme="majorHAnsi"/>
                <w:color w:val="000000"/>
                <w:sz w:val="20"/>
                <w:szCs w:val="20"/>
              </w:rPr>
              <w:t>2025-2029</w:t>
            </w:r>
            <w:r w:rsidR="00AD15A1" w:rsidRPr="00C64064">
              <w:rPr>
                <w:rFonts w:asciiTheme="majorHAnsi" w:eastAsia="Times New Roman" w:hAnsiTheme="majorHAnsi" w:cstheme="majorHAnsi"/>
                <w:color w:val="000000"/>
                <w:sz w:val="20"/>
                <w:szCs w:val="20"/>
              </w:rPr>
              <w:t xml:space="preserve"> </w:t>
            </w:r>
            <w:r w:rsidRPr="00C64064">
              <w:rPr>
                <w:rFonts w:asciiTheme="majorHAnsi" w:eastAsia="Times New Roman" w:hAnsiTheme="majorHAnsi" w:cstheme="majorHAnsi"/>
                <w:color w:val="000000"/>
                <w:sz w:val="20"/>
                <w:szCs w:val="20"/>
              </w:rPr>
              <w:t>RPJMN</w:t>
            </w:r>
            <w:bookmarkStart w:id="982" w:name="_Hlk169787181"/>
            <w:r w:rsidRPr="00C64064">
              <w:rPr>
                <w:rFonts w:asciiTheme="majorHAnsi" w:eastAsia="Times New Roman" w:hAnsiTheme="majorHAnsi" w:cstheme="majorHAnsi"/>
                <w:color w:val="000000"/>
                <w:sz w:val="20"/>
                <w:szCs w:val="20"/>
              </w:rPr>
              <w:t xml:space="preserve">, which begins with the development of a background study. In the past, due to limited budget and resources, background studies were developed mainly through discussions with public officials and a few experts, with limited input from the private sector and </w:t>
            </w:r>
            <w:r w:rsidR="00552690" w:rsidRPr="00C64064">
              <w:rPr>
                <w:rFonts w:asciiTheme="majorHAnsi" w:eastAsia="Times New Roman" w:hAnsiTheme="majorHAnsi" w:cstheme="majorHAnsi"/>
                <w:color w:val="000000"/>
                <w:sz w:val="20"/>
                <w:szCs w:val="20"/>
              </w:rPr>
              <w:t xml:space="preserve">the </w:t>
            </w:r>
            <w:r w:rsidRPr="00C64064">
              <w:rPr>
                <w:rFonts w:asciiTheme="majorHAnsi" w:eastAsia="Times New Roman" w:hAnsiTheme="majorHAnsi" w:cstheme="majorHAnsi"/>
                <w:color w:val="000000"/>
                <w:sz w:val="20"/>
                <w:szCs w:val="20"/>
              </w:rPr>
              <w:t xml:space="preserve">broader academic sector and imperfect market insights and evidence. Another challenge for the RPJMN is the need to ensure more relevant indicators and better alignment between the RPJMN and </w:t>
            </w:r>
            <w:r w:rsidR="00525561" w:rsidRPr="00C64064">
              <w:rPr>
                <w:rFonts w:asciiTheme="majorHAnsi" w:eastAsia="Times New Roman" w:hAnsiTheme="majorHAnsi" w:cstheme="majorHAnsi"/>
                <w:color w:val="000000"/>
                <w:sz w:val="20"/>
                <w:szCs w:val="20"/>
              </w:rPr>
              <w:t xml:space="preserve">the </w:t>
            </w:r>
            <w:r w:rsidRPr="00C64064">
              <w:rPr>
                <w:rFonts w:asciiTheme="majorHAnsi" w:eastAsia="Times New Roman" w:hAnsiTheme="majorHAnsi" w:cstheme="majorHAnsi"/>
                <w:color w:val="000000"/>
                <w:sz w:val="20"/>
                <w:szCs w:val="20"/>
              </w:rPr>
              <w:t xml:space="preserve">MoA’s </w:t>
            </w:r>
            <w:r w:rsidR="00A20C7D" w:rsidRPr="00C64064">
              <w:rPr>
                <w:rFonts w:asciiTheme="majorHAnsi" w:eastAsia="Times New Roman" w:hAnsiTheme="majorHAnsi" w:cstheme="majorHAnsi"/>
                <w:color w:val="000000"/>
                <w:sz w:val="20"/>
                <w:szCs w:val="20"/>
              </w:rPr>
              <w:t>S</w:t>
            </w:r>
            <w:r w:rsidRPr="00C64064">
              <w:rPr>
                <w:rFonts w:asciiTheme="majorHAnsi" w:eastAsia="Times New Roman" w:hAnsiTheme="majorHAnsi" w:cstheme="majorHAnsi"/>
                <w:color w:val="000000"/>
                <w:sz w:val="20"/>
                <w:szCs w:val="20"/>
              </w:rPr>
              <w:t xml:space="preserve">trategic </w:t>
            </w:r>
            <w:r w:rsidR="00A20C7D" w:rsidRPr="00C64064">
              <w:rPr>
                <w:rFonts w:asciiTheme="majorHAnsi" w:eastAsia="Times New Roman" w:hAnsiTheme="majorHAnsi" w:cstheme="majorHAnsi"/>
                <w:color w:val="000000"/>
                <w:sz w:val="20"/>
                <w:szCs w:val="20"/>
              </w:rPr>
              <w:t>P</w:t>
            </w:r>
            <w:r w:rsidRPr="00C64064">
              <w:rPr>
                <w:rFonts w:asciiTheme="majorHAnsi" w:eastAsia="Times New Roman" w:hAnsiTheme="majorHAnsi" w:cstheme="majorHAnsi"/>
                <w:color w:val="000000"/>
                <w:sz w:val="20"/>
                <w:szCs w:val="20"/>
              </w:rPr>
              <w:t>lan (Renstra) for 2025-2029.</w:t>
            </w:r>
          </w:p>
          <w:bookmarkEnd w:id="982"/>
          <w:p w14:paraId="5F20FAE0" w14:textId="77777777" w:rsidR="006F3334" w:rsidRPr="00C64064" w:rsidRDefault="006F3334" w:rsidP="006F3334">
            <w:pPr>
              <w:spacing w:afterLines="60" w:after="144"/>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PRISMA supports Bappenas with robust policy evidence based on market insights and public policy dialogue to shape RPJMN’s food and agriculture development agenda, ensuring it effectively addresses Indonesia's diverse needs and challenges. PRISMA does this by:</w:t>
            </w:r>
          </w:p>
          <w:p w14:paraId="0F4553FF" w14:textId="77777777" w:rsidR="006F3334" w:rsidRPr="00C64064" w:rsidRDefault="006F3334" w:rsidP="00D91EA1">
            <w:pPr>
              <w:numPr>
                <w:ilvl w:val="0"/>
                <w:numId w:val="23"/>
              </w:numPr>
              <w:spacing w:after="6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supporting Bappenas with a background study on agriculture modernisation and resilience in Indonesia, which identifies key constraints and priority interventions to accelerate the modernisation of Indonesia’s agriculture sector</w:t>
            </w:r>
          </w:p>
          <w:p w14:paraId="71B41156" w14:textId="77777777" w:rsidR="006F3334" w:rsidRPr="00C64064" w:rsidRDefault="006F3334" w:rsidP="00D91EA1">
            <w:pPr>
              <w:numPr>
                <w:ilvl w:val="0"/>
                <w:numId w:val="23"/>
              </w:numPr>
              <w:spacing w:after="6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lastRenderedPageBreak/>
              <w:t>developing indicators on the modernisation of agriculture for the RPJMN and ensuring alignment between RPJMN and MoA Renstra indicators</w:t>
            </w:r>
          </w:p>
          <w:p w14:paraId="2409F6D2" w14:textId="77777777" w:rsidR="006F3334" w:rsidRPr="00C64064" w:rsidRDefault="006F3334" w:rsidP="00D91EA1">
            <w:pPr>
              <w:numPr>
                <w:ilvl w:val="0"/>
                <w:numId w:val="23"/>
              </w:numPr>
              <w:spacing w:after="6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developing comprehensive policy studies in key thematic areas</w:t>
            </w:r>
          </w:p>
        </w:tc>
        <w:tc>
          <w:tcPr>
            <w:tcW w:w="1303" w:type="dxa"/>
            <w:vMerge w:val="restart"/>
          </w:tcPr>
          <w:p w14:paraId="2D4EA364" w14:textId="77777777" w:rsidR="006F3334" w:rsidRPr="00C64064" w:rsidRDefault="006F3334" w:rsidP="006F3334">
            <w:pPr>
              <w:spacing w:after="120"/>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lastRenderedPageBreak/>
              <w:t>Food and Agriculture Directorate, Bappenas</w:t>
            </w:r>
          </w:p>
          <w:p w14:paraId="3CDF09A5" w14:textId="77777777" w:rsidR="006F3334" w:rsidRPr="00C64064" w:rsidRDefault="006F3334" w:rsidP="006F3334">
            <w:pPr>
              <w:spacing w:after="120"/>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Directorate for System and Procedure on Monitoring, Evaluation, Control of Development, Bappenas </w:t>
            </w:r>
          </w:p>
          <w:p w14:paraId="5381E25F" w14:textId="77777777" w:rsidR="006F3334" w:rsidRPr="00C64064" w:rsidRDefault="006F3334" w:rsidP="006F3334">
            <w:pPr>
              <w:spacing w:after="120"/>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Planning Directorate, MoA</w:t>
            </w:r>
          </w:p>
          <w:p w14:paraId="38D631C6" w14:textId="77777777" w:rsidR="006F3334" w:rsidRPr="00C64064" w:rsidRDefault="006F3334" w:rsidP="006F3334">
            <w:pPr>
              <w:spacing w:after="120"/>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Indonesian Centre for Agriculture Socio-Economic and Policy Studies (ICASEPS)</w:t>
            </w:r>
          </w:p>
        </w:tc>
        <w:tc>
          <w:tcPr>
            <w:tcW w:w="3598" w:type="dxa"/>
          </w:tcPr>
          <w:p w14:paraId="0C405BEA" w14:textId="77777777" w:rsidR="006F3334" w:rsidRPr="00C64064" w:rsidRDefault="006F3334" w:rsidP="006F3334">
            <w:pPr>
              <w:spacing w:after="60"/>
              <w:rPr>
                <w:rFonts w:asciiTheme="majorHAnsi" w:eastAsia="Times New Roman" w:hAnsiTheme="majorHAnsi" w:cstheme="majorHAnsi"/>
                <w:b/>
                <w:color w:val="000000"/>
                <w:sz w:val="20"/>
                <w:szCs w:val="20"/>
              </w:rPr>
            </w:pPr>
            <w:r w:rsidRPr="00C64064">
              <w:rPr>
                <w:rFonts w:asciiTheme="majorHAnsi" w:eastAsia="Times New Roman" w:hAnsiTheme="majorHAnsi" w:cstheme="majorHAnsi"/>
                <w:b/>
                <w:color w:val="000000"/>
                <w:sz w:val="20"/>
                <w:szCs w:val="20"/>
              </w:rPr>
              <w:t>(a)</w:t>
            </w:r>
            <w:r w:rsidRPr="00C64064">
              <w:rPr>
                <w:rFonts w:asciiTheme="majorHAnsi" w:eastAsia="Times New Roman" w:hAnsiTheme="majorHAnsi" w:cstheme="majorHAnsi"/>
                <w:color w:val="000000"/>
                <w:sz w:val="20"/>
                <w:szCs w:val="20"/>
              </w:rPr>
              <w:t xml:space="preserve"> </w:t>
            </w:r>
            <w:r w:rsidRPr="00C64064">
              <w:rPr>
                <w:rFonts w:asciiTheme="majorHAnsi" w:eastAsia="Times New Roman" w:hAnsiTheme="majorHAnsi" w:cstheme="majorHAnsi"/>
                <w:b/>
                <w:color w:val="000000"/>
                <w:sz w:val="20"/>
                <w:szCs w:val="20"/>
              </w:rPr>
              <w:t xml:space="preserve">Completed: </w:t>
            </w:r>
            <w:r w:rsidRPr="00C64064">
              <w:rPr>
                <w:rFonts w:asciiTheme="majorHAnsi" w:eastAsia="Times New Roman" w:hAnsiTheme="majorHAnsi" w:cstheme="majorHAnsi"/>
                <w:color w:val="000000"/>
                <w:sz w:val="20"/>
                <w:szCs w:val="20"/>
              </w:rPr>
              <w:t>The background study on modernisation and resilience in agriculture for RPJMN development has been completed and presented to Bappenas.</w:t>
            </w:r>
          </w:p>
        </w:tc>
        <w:tc>
          <w:tcPr>
            <w:tcW w:w="3817" w:type="dxa"/>
          </w:tcPr>
          <w:p w14:paraId="1C12D177" w14:textId="77777777" w:rsidR="006F3334" w:rsidRPr="00C64064" w:rsidRDefault="006F3334" w:rsidP="00D91EA1">
            <w:pPr>
              <w:numPr>
                <w:ilvl w:val="0"/>
                <w:numId w:val="18"/>
              </w:numPr>
              <w:tabs>
                <w:tab w:val="left" w:pos="252"/>
              </w:tabs>
              <w:ind w:left="259" w:hanging="187"/>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The final draft of the background study was completed in January 2024.</w:t>
            </w:r>
          </w:p>
          <w:p w14:paraId="18FA7137" w14:textId="3EDF43E6" w:rsidR="006F3334" w:rsidRPr="00C64064" w:rsidRDefault="006F3334" w:rsidP="00D91EA1">
            <w:pPr>
              <w:numPr>
                <w:ilvl w:val="0"/>
                <w:numId w:val="18"/>
              </w:numPr>
              <w:tabs>
                <w:tab w:val="left" w:pos="252"/>
              </w:tabs>
              <w:ind w:left="259" w:hanging="187"/>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The background study prompted Bappenas to request additional support from PRISMA on developing agricultural modernisation indicators for RPJMN</w:t>
            </w:r>
            <w:r w:rsidR="00A20C7D"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 xml:space="preserve"> </w:t>
            </w:r>
          </w:p>
        </w:tc>
      </w:tr>
      <w:tr w:rsidR="00040D3F" w:rsidRPr="00C64064" w14:paraId="1806A764" w14:textId="77777777" w:rsidTr="7D2E47DB">
        <w:trPr>
          <w:trHeight w:val="872"/>
        </w:trPr>
        <w:tc>
          <w:tcPr>
            <w:tcW w:w="2064" w:type="dxa"/>
            <w:vMerge/>
          </w:tcPr>
          <w:p w14:paraId="5DEBC78C" w14:textId="77777777" w:rsidR="006F3334" w:rsidRPr="00C64064" w:rsidRDefault="006F3334" w:rsidP="006F3334">
            <w:pPr>
              <w:spacing w:after="60"/>
              <w:rPr>
                <w:rFonts w:asciiTheme="majorHAnsi" w:eastAsia="Times New Roman" w:hAnsiTheme="majorHAnsi" w:cstheme="majorHAnsi"/>
                <w:b/>
                <w:color w:val="000000"/>
                <w:sz w:val="20"/>
                <w:szCs w:val="20"/>
              </w:rPr>
            </w:pPr>
          </w:p>
        </w:tc>
        <w:tc>
          <w:tcPr>
            <w:tcW w:w="3742" w:type="dxa"/>
            <w:vMerge/>
          </w:tcPr>
          <w:p w14:paraId="395323F8"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1303" w:type="dxa"/>
            <w:vMerge/>
          </w:tcPr>
          <w:p w14:paraId="4597C054"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3598" w:type="dxa"/>
          </w:tcPr>
          <w:p w14:paraId="69BA2B2F" w14:textId="5FDDE1B2" w:rsidR="006F3334" w:rsidRPr="00C64064" w:rsidRDefault="006F3334" w:rsidP="006F3334">
            <w:pPr>
              <w:spacing w:after="60"/>
              <w:rPr>
                <w:rFonts w:asciiTheme="majorHAnsi" w:eastAsia="Times New Roman" w:hAnsiTheme="majorHAnsi" w:cstheme="majorHAnsi"/>
                <w:b/>
                <w:color w:val="000000"/>
                <w:sz w:val="20"/>
                <w:szCs w:val="20"/>
              </w:rPr>
            </w:pPr>
            <w:r w:rsidRPr="00C64064">
              <w:rPr>
                <w:rFonts w:asciiTheme="majorHAnsi" w:eastAsia="Times New Roman" w:hAnsiTheme="majorHAnsi" w:cstheme="majorHAnsi"/>
                <w:b/>
                <w:color w:val="000000"/>
                <w:sz w:val="20"/>
                <w:szCs w:val="20"/>
              </w:rPr>
              <w:t>(b)</w:t>
            </w:r>
            <w:r w:rsidRPr="00C64064">
              <w:rPr>
                <w:rFonts w:asciiTheme="majorHAnsi" w:eastAsia="Times New Roman" w:hAnsiTheme="majorHAnsi" w:cstheme="majorHAnsi"/>
                <w:color w:val="000000"/>
                <w:sz w:val="20"/>
                <w:szCs w:val="20"/>
              </w:rPr>
              <w:t xml:space="preserve"> </w:t>
            </w:r>
            <w:r w:rsidRPr="00C64064">
              <w:rPr>
                <w:rFonts w:asciiTheme="majorHAnsi" w:eastAsia="Times New Roman" w:hAnsiTheme="majorHAnsi" w:cstheme="majorHAnsi"/>
                <w:b/>
                <w:color w:val="000000"/>
                <w:sz w:val="20"/>
                <w:szCs w:val="20"/>
              </w:rPr>
              <w:t xml:space="preserve">Ongoing: </w:t>
            </w:r>
            <w:r w:rsidRPr="00C64064">
              <w:rPr>
                <w:rFonts w:asciiTheme="majorHAnsi" w:eastAsia="Times New Roman" w:hAnsiTheme="majorHAnsi" w:cstheme="majorHAnsi"/>
                <w:color w:val="000000"/>
                <w:sz w:val="20"/>
                <w:szCs w:val="20"/>
              </w:rPr>
              <w:t>Workshops have been held with Bappenas and the indicators are expected to be finalised in August 2024.</w:t>
            </w:r>
          </w:p>
        </w:tc>
        <w:tc>
          <w:tcPr>
            <w:tcW w:w="3817" w:type="dxa"/>
          </w:tcPr>
          <w:p w14:paraId="26178DA8" w14:textId="77777777"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Two workshops were held with Bappenas in February 2024 and March 2024 to develop the indicators.</w:t>
            </w:r>
          </w:p>
          <w:p w14:paraId="70A228DD" w14:textId="5E286478" w:rsidR="006F3334" w:rsidRPr="00C64064" w:rsidRDefault="006F3334" w:rsidP="00D91EA1">
            <w:pPr>
              <w:numPr>
                <w:ilvl w:val="0"/>
                <w:numId w:val="18"/>
              </w:numPr>
              <w:tabs>
                <w:tab w:val="left" w:pos="252"/>
              </w:tabs>
              <w:ind w:left="259" w:hanging="187"/>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The World Bank has also reached out to PRISMA for support in synchronising </w:t>
            </w:r>
            <w:r w:rsidR="00A20C7D" w:rsidRPr="00C64064">
              <w:rPr>
                <w:rFonts w:asciiTheme="majorHAnsi" w:eastAsia="Times New Roman" w:hAnsiTheme="majorHAnsi" w:cstheme="majorHAnsi"/>
                <w:color w:val="000000"/>
                <w:sz w:val="20"/>
                <w:szCs w:val="20"/>
              </w:rPr>
              <w:t xml:space="preserve">the </w:t>
            </w:r>
            <w:r w:rsidRPr="00C64064">
              <w:rPr>
                <w:rFonts w:asciiTheme="majorHAnsi" w:eastAsia="Times New Roman" w:hAnsiTheme="majorHAnsi" w:cstheme="majorHAnsi"/>
                <w:color w:val="000000"/>
                <w:sz w:val="20"/>
                <w:szCs w:val="20"/>
              </w:rPr>
              <w:t>MoA</w:t>
            </w:r>
            <w:r w:rsidR="00A20C7D" w:rsidRPr="00C64064">
              <w:rPr>
                <w:rFonts w:asciiTheme="majorHAnsi" w:eastAsia="Times New Roman" w:hAnsiTheme="majorHAnsi" w:cstheme="majorHAnsi"/>
                <w:color w:val="000000"/>
                <w:sz w:val="20"/>
                <w:szCs w:val="20"/>
              </w:rPr>
              <w:t>’s Strategic Plan</w:t>
            </w:r>
            <w:r w:rsidRPr="00C64064">
              <w:rPr>
                <w:rFonts w:asciiTheme="majorHAnsi" w:eastAsia="Times New Roman" w:hAnsiTheme="majorHAnsi" w:cstheme="majorHAnsi"/>
                <w:color w:val="000000"/>
                <w:sz w:val="20"/>
                <w:szCs w:val="20"/>
              </w:rPr>
              <w:t xml:space="preserve"> indicators with </w:t>
            </w:r>
            <w:r w:rsidR="00A20C7D" w:rsidRPr="00C64064">
              <w:rPr>
                <w:rFonts w:asciiTheme="majorHAnsi" w:eastAsia="Times New Roman" w:hAnsiTheme="majorHAnsi" w:cstheme="majorHAnsi"/>
                <w:color w:val="000000"/>
                <w:sz w:val="20"/>
                <w:szCs w:val="20"/>
              </w:rPr>
              <w:t xml:space="preserve">the </w:t>
            </w:r>
            <w:r w:rsidRPr="00C64064">
              <w:rPr>
                <w:rFonts w:asciiTheme="majorHAnsi" w:eastAsia="Times New Roman" w:hAnsiTheme="majorHAnsi" w:cstheme="majorHAnsi"/>
                <w:color w:val="000000"/>
                <w:sz w:val="20"/>
                <w:szCs w:val="20"/>
              </w:rPr>
              <w:t>RPJMN.</w:t>
            </w:r>
          </w:p>
        </w:tc>
      </w:tr>
      <w:tr w:rsidR="00040D3F" w:rsidRPr="00C64064" w14:paraId="26799419" w14:textId="77777777" w:rsidTr="7D2E47DB">
        <w:trPr>
          <w:trHeight w:val="791"/>
        </w:trPr>
        <w:tc>
          <w:tcPr>
            <w:tcW w:w="2064" w:type="dxa"/>
            <w:vMerge/>
          </w:tcPr>
          <w:p w14:paraId="5250599B" w14:textId="77777777" w:rsidR="006F3334" w:rsidRPr="00C64064" w:rsidRDefault="006F3334" w:rsidP="006F3334">
            <w:pPr>
              <w:spacing w:after="60"/>
              <w:rPr>
                <w:rFonts w:asciiTheme="majorHAnsi" w:eastAsia="Times New Roman" w:hAnsiTheme="majorHAnsi" w:cstheme="majorHAnsi"/>
                <w:b/>
                <w:color w:val="000000"/>
                <w:sz w:val="20"/>
                <w:szCs w:val="20"/>
              </w:rPr>
            </w:pPr>
          </w:p>
        </w:tc>
        <w:tc>
          <w:tcPr>
            <w:tcW w:w="3742" w:type="dxa"/>
            <w:vMerge/>
          </w:tcPr>
          <w:p w14:paraId="6F8A6493"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1303" w:type="dxa"/>
            <w:vMerge/>
          </w:tcPr>
          <w:p w14:paraId="2B41505E"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3598" w:type="dxa"/>
          </w:tcPr>
          <w:p w14:paraId="03B4EE75" w14:textId="4EA344A2" w:rsidR="006F3334" w:rsidRPr="00C64064" w:rsidRDefault="006F3334" w:rsidP="006F3334">
            <w:pPr>
              <w:spacing w:after="60"/>
              <w:rPr>
                <w:rFonts w:asciiTheme="majorHAnsi" w:eastAsia="Times New Roman" w:hAnsiTheme="majorHAnsi" w:cstheme="majorHAnsi"/>
                <w:color w:val="000000"/>
                <w:sz w:val="20"/>
                <w:szCs w:val="20"/>
              </w:rPr>
            </w:pPr>
            <w:r w:rsidRPr="00C64064">
              <w:rPr>
                <w:rFonts w:asciiTheme="majorHAnsi" w:eastAsia="Times New Roman" w:hAnsiTheme="majorHAnsi" w:cstheme="majorHAnsi"/>
                <w:b/>
                <w:color w:val="000000"/>
                <w:sz w:val="20"/>
                <w:szCs w:val="20"/>
              </w:rPr>
              <w:t>(c)</w:t>
            </w:r>
            <w:r w:rsidRPr="00C64064">
              <w:rPr>
                <w:rFonts w:asciiTheme="majorHAnsi" w:eastAsia="Times New Roman" w:hAnsiTheme="majorHAnsi" w:cstheme="majorHAnsi"/>
                <w:color w:val="000000"/>
                <w:sz w:val="20"/>
                <w:szCs w:val="20"/>
              </w:rPr>
              <w:t xml:space="preserve"> </w:t>
            </w:r>
            <w:r w:rsidRPr="00C64064">
              <w:rPr>
                <w:rFonts w:asciiTheme="majorHAnsi" w:eastAsia="Times New Roman" w:hAnsiTheme="majorHAnsi" w:cstheme="majorHAnsi"/>
                <w:b/>
                <w:color w:val="000000"/>
                <w:sz w:val="20"/>
                <w:szCs w:val="20"/>
              </w:rPr>
              <w:t xml:space="preserve">Ongoing: </w:t>
            </w:r>
            <w:r w:rsidRPr="00C64064">
              <w:rPr>
                <w:rFonts w:asciiTheme="majorHAnsi" w:eastAsia="Times New Roman" w:hAnsiTheme="majorHAnsi" w:cstheme="majorHAnsi"/>
                <w:color w:val="000000"/>
                <w:sz w:val="20"/>
                <w:szCs w:val="20"/>
              </w:rPr>
              <w:t>PRISMA is in the process of developing the in-depth policy studies, which will be completed in August 2024.</w:t>
            </w:r>
          </w:p>
        </w:tc>
        <w:tc>
          <w:tcPr>
            <w:tcW w:w="3817" w:type="dxa"/>
          </w:tcPr>
          <w:p w14:paraId="4F2CBCD8" w14:textId="77777777"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Four in-depth policy studies are being developed in key thematic areas </w:t>
            </w:r>
            <w:r w:rsidRPr="00C64064">
              <w:rPr>
                <w:rFonts w:asciiTheme="majorHAnsi" w:eastAsia="Times New Roman" w:hAnsiTheme="majorHAnsi" w:cstheme="majorHAnsi"/>
                <w:bCs/>
                <w:color w:val="000000"/>
                <w:sz w:val="20"/>
                <w:szCs w:val="20"/>
              </w:rPr>
              <w:t xml:space="preserve">(i.e. availability of quality food crop seeds, young farmer regeneration, agriculture digitalisation, and climate-smart agriculture). </w:t>
            </w:r>
          </w:p>
          <w:p w14:paraId="0255891B" w14:textId="4E060310" w:rsidR="006F3334" w:rsidRPr="00C64064" w:rsidRDefault="006F3334" w:rsidP="00D91EA1">
            <w:pPr>
              <w:numPr>
                <w:ilvl w:val="0"/>
                <w:numId w:val="18"/>
              </w:numPr>
              <w:tabs>
                <w:tab w:val="left" w:pos="252"/>
              </w:tabs>
              <w:ind w:left="259" w:hanging="187"/>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bCs/>
                <w:color w:val="000000"/>
                <w:sz w:val="20"/>
                <w:szCs w:val="20"/>
              </w:rPr>
              <w:t xml:space="preserve">These studies involve multi-stakeholder workshops as an integral component of their methodology. </w:t>
            </w:r>
            <w:r w:rsidRPr="00C64064">
              <w:rPr>
                <w:rFonts w:asciiTheme="majorHAnsi" w:eastAsia="Times New Roman" w:hAnsiTheme="majorHAnsi" w:cstheme="majorHAnsi"/>
                <w:color w:val="000000"/>
                <w:sz w:val="20"/>
                <w:szCs w:val="20"/>
              </w:rPr>
              <w:t>The aim of the workshops is to strengthen and confirm initial findings from the literature reviews, field surveys, and interviews</w:t>
            </w:r>
            <w:r w:rsidRPr="00C64064">
              <w:rPr>
                <w:rFonts w:asciiTheme="majorHAnsi" w:eastAsia="Times New Roman" w:hAnsiTheme="majorHAnsi" w:cstheme="majorHAnsi"/>
                <w:bCs/>
                <w:color w:val="000000"/>
                <w:sz w:val="20"/>
                <w:szCs w:val="20"/>
              </w:rPr>
              <w:t>. The Young Farmers Study workshop was held in May 2024</w:t>
            </w:r>
            <w:r w:rsidR="00893CEB" w:rsidRPr="00C64064">
              <w:rPr>
                <w:rFonts w:asciiTheme="majorHAnsi" w:eastAsia="Times New Roman" w:hAnsiTheme="majorHAnsi" w:cstheme="majorHAnsi"/>
                <w:bCs/>
                <w:color w:val="000000"/>
                <w:sz w:val="20"/>
                <w:szCs w:val="20"/>
              </w:rPr>
              <w:t>,</w:t>
            </w:r>
            <w:r w:rsidRPr="00C64064">
              <w:rPr>
                <w:rFonts w:asciiTheme="majorHAnsi" w:eastAsia="Times New Roman" w:hAnsiTheme="majorHAnsi" w:cstheme="majorHAnsi"/>
                <w:bCs/>
                <w:color w:val="000000"/>
                <w:sz w:val="20"/>
                <w:szCs w:val="20"/>
              </w:rPr>
              <w:t xml:space="preserve"> and 8 other workshops are planned.</w:t>
            </w:r>
          </w:p>
        </w:tc>
      </w:tr>
      <w:tr w:rsidR="00040D3F" w:rsidRPr="00C64064" w14:paraId="1B65DC83" w14:textId="77777777" w:rsidTr="7D2E47DB">
        <w:trPr>
          <w:trHeight w:val="170"/>
        </w:trPr>
        <w:tc>
          <w:tcPr>
            <w:tcW w:w="2064" w:type="dxa"/>
            <w:vMerge w:val="restart"/>
          </w:tcPr>
          <w:p w14:paraId="21333AE8" w14:textId="688CCA0C" w:rsidR="006F3334" w:rsidRPr="00C64064" w:rsidRDefault="006F3334" w:rsidP="006F3334">
            <w:pPr>
              <w:spacing w:after="60"/>
              <w:rPr>
                <w:rFonts w:asciiTheme="majorHAnsi" w:eastAsia="Times New Roman" w:hAnsiTheme="majorHAnsi" w:cstheme="majorHAnsi"/>
                <w:b/>
                <w:color w:val="000000"/>
                <w:sz w:val="20"/>
                <w:szCs w:val="20"/>
              </w:rPr>
            </w:pPr>
            <w:r w:rsidRPr="00C64064">
              <w:rPr>
                <w:rFonts w:asciiTheme="majorHAnsi" w:eastAsia="Times New Roman" w:hAnsiTheme="majorHAnsi" w:cstheme="majorHAnsi"/>
                <w:b/>
                <w:color w:val="000000"/>
                <w:sz w:val="20"/>
                <w:szCs w:val="20"/>
              </w:rPr>
              <w:t>Regional Policy Planning Process:</w:t>
            </w:r>
            <w:r w:rsidRPr="00C64064">
              <w:rPr>
                <w:rFonts w:asciiTheme="majorHAnsi" w:eastAsia="Times New Roman" w:hAnsiTheme="majorHAnsi" w:cstheme="majorHAnsi"/>
                <w:color w:val="000000"/>
                <w:sz w:val="20"/>
                <w:szCs w:val="20"/>
              </w:rPr>
              <w:t xml:space="preserve"> </w:t>
            </w:r>
            <w:r w:rsidR="00A20C7D" w:rsidRPr="00C64064">
              <w:rPr>
                <w:rFonts w:asciiTheme="majorHAnsi" w:eastAsia="Times New Roman" w:hAnsiTheme="majorHAnsi" w:cstheme="majorHAnsi"/>
                <w:color w:val="000000"/>
                <w:sz w:val="20"/>
                <w:szCs w:val="20"/>
              </w:rPr>
              <w:t xml:space="preserve">The </w:t>
            </w:r>
            <w:r w:rsidRPr="00C64064">
              <w:rPr>
                <w:rFonts w:asciiTheme="majorHAnsi" w:eastAsia="Times New Roman" w:hAnsiTheme="majorHAnsi" w:cstheme="majorHAnsi"/>
                <w:color w:val="000000"/>
                <w:sz w:val="20"/>
                <w:szCs w:val="20"/>
              </w:rPr>
              <w:t xml:space="preserve">NTT provincial government formulates the </w:t>
            </w:r>
            <w:r w:rsidR="00A20C7D" w:rsidRPr="00C64064">
              <w:rPr>
                <w:rFonts w:asciiTheme="majorHAnsi" w:eastAsia="Times New Roman" w:hAnsiTheme="majorHAnsi" w:cstheme="majorHAnsi"/>
                <w:color w:val="000000"/>
                <w:sz w:val="20"/>
                <w:szCs w:val="20"/>
              </w:rPr>
              <w:t xml:space="preserve">2025-2029 </w:t>
            </w:r>
            <w:r w:rsidRPr="00C64064">
              <w:rPr>
                <w:rFonts w:asciiTheme="majorHAnsi" w:eastAsia="Times New Roman" w:hAnsiTheme="majorHAnsi" w:cstheme="majorHAnsi"/>
                <w:color w:val="000000"/>
                <w:sz w:val="20"/>
                <w:szCs w:val="20"/>
              </w:rPr>
              <w:t>RPJMD for the agriculture sector using improved policy insights and data, including PRISMA’s evidence and market insights</w:t>
            </w:r>
            <w:r w:rsidR="00A20C7D" w:rsidRPr="00C64064">
              <w:rPr>
                <w:rFonts w:asciiTheme="majorHAnsi" w:eastAsia="Times New Roman" w:hAnsiTheme="majorHAnsi" w:cstheme="majorHAnsi"/>
                <w:color w:val="000000"/>
                <w:sz w:val="20"/>
                <w:szCs w:val="20"/>
              </w:rPr>
              <w:t>.</w:t>
            </w:r>
          </w:p>
        </w:tc>
        <w:tc>
          <w:tcPr>
            <w:tcW w:w="3742" w:type="dxa"/>
            <w:vMerge w:val="restart"/>
          </w:tcPr>
          <w:p w14:paraId="4567AD20" w14:textId="5F6E7C5F" w:rsidR="006F3334" w:rsidRPr="00C64064" w:rsidRDefault="006F3334" w:rsidP="006F3334">
            <w:pPr>
              <w:spacing w:afterLines="60" w:after="144"/>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In 2024, the </w:t>
            </w:r>
            <w:r w:rsidR="00A20C7D" w:rsidRPr="00C64064">
              <w:rPr>
                <w:rFonts w:asciiTheme="majorHAnsi" w:eastAsia="Times New Roman" w:hAnsiTheme="majorHAnsi" w:cstheme="majorHAnsi"/>
                <w:color w:val="000000"/>
                <w:sz w:val="20"/>
                <w:szCs w:val="20"/>
              </w:rPr>
              <w:t xml:space="preserve">NTT </w:t>
            </w:r>
            <w:r w:rsidRPr="00C64064">
              <w:rPr>
                <w:rFonts w:asciiTheme="majorHAnsi" w:eastAsia="Times New Roman" w:hAnsiTheme="majorHAnsi" w:cstheme="majorHAnsi"/>
                <w:color w:val="000000"/>
                <w:sz w:val="20"/>
                <w:szCs w:val="20"/>
              </w:rPr>
              <w:t xml:space="preserve">Regional Development Planning, Research, and Innovation Agency (Bapperida) started preparing the NTT Regional Medium-Term Development Plan (RPJMD) for 2025-2029. While the NTT government has significant experience promoting development through subsidy programs, </w:t>
            </w:r>
            <w:r w:rsidR="00893CEB" w:rsidRPr="00C64064">
              <w:rPr>
                <w:rFonts w:asciiTheme="majorHAnsi" w:eastAsia="Times New Roman" w:hAnsiTheme="majorHAnsi" w:cstheme="majorHAnsi"/>
                <w:color w:val="000000"/>
                <w:sz w:val="20"/>
                <w:szCs w:val="20"/>
              </w:rPr>
              <w:t>it</w:t>
            </w:r>
            <w:r w:rsidRPr="00C64064">
              <w:rPr>
                <w:rFonts w:asciiTheme="majorHAnsi" w:eastAsia="Times New Roman" w:hAnsiTheme="majorHAnsi" w:cstheme="majorHAnsi"/>
                <w:color w:val="000000"/>
                <w:sz w:val="20"/>
                <w:szCs w:val="20"/>
              </w:rPr>
              <w:t xml:space="preserve"> now recognise</w:t>
            </w:r>
            <w:r w:rsidR="00893CEB" w:rsidRPr="00C64064">
              <w:rPr>
                <w:rFonts w:asciiTheme="majorHAnsi" w:eastAsia="Times New Roman" w:hAnsiTheme="majorHAnsi" w:cstheme="majorHAnsi"/>
                <w:color w:val="000000"/>
                <w:sz w:val="20"/>
                <w:szCs w:val="20"/>
              </w:rPr>
              <w:t>s</w:t>
            </w:r>
            <w:r w:rsidRPr="00C64064">
              <w:rPr>
                <w:rFonts w:asciiTheme="majorHAnsi" w:eastAsia="Times New Roman" w:hAnsiTheme="majorHAnsi" w:cstheme="majorHAnsi"/>
                <w:color w:val="000000"/>
                <w:sz w:val="20"/>
                <w:szCs w:val="20"/>
              </w:rPr>
              <w:t xml:space="preserve"> the need for a vibrant commercial market to reach its regional development goals. As this is a nascent space for Bapperida, it currently lacks sufficient insights from the private sector and the necessary data to prioritise target areas for growing the commercial market. There is also a need to advocate for support from the national government</w:t>
            </w:r>
            <w:r w:rsidR="005C0D4E"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 xml:space="preserve"> as national rules and regulations also influence the growth of NTT’s commercial markets.</w:t>
            </w:r>
          </w:p>
          <w:p w14:paraId="35696C1C" w14:textId="77777777" w:rsidR="006F3334" w:rsidRPr="00C64064" w:rsidRDefault="006F3334" w:rsidP="006F3334">
            <w:pPr>
              <w:spacing w:afterLines="60" w:after="144"/>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PRISMA supports Bapperida in preparing the participatory and technocratic planning of RPJMD NTT 2025-2029 for the agriculture sector, with a focus on insights and recommendations for a supportive </w:t>
            </w:r>
            <w:r w:rsidRPr="00C64064">
              <w:rPr>
                <w:rFonts w:asciiTheme="majorHAnsi" w:eastAsia="Times New Roman" w:hAnsiTheme="majorHAnsi" w:cstheme="majorHAnsi"/>
                <w:color w:val="000000"/>
                <w:sz w:val="20"/>
                <w:szCs w:val="20"/>
              </w:rPr>
              <w:lastRenderedPageBreak/>
              <w:t>business-enabling environment to encourage private sector investments, market growth, and shifting from subsistence to commercial agriculture. PRISMA does this by:</w:t>
            </w:r>
          </w:p>
          <w:p w14:paraId="28652C97" w14:textId="77777777" w:rsidR="006F3334" w:rsidRPr="00C64064" w:rsidRDefault="006F3334" w:rsidP="00D91EA1">
            <w:pPr>
              <w:numPr>
                <w:ilvl w:val="0"/>
                <w:numId w:val="22"/>
              </w:numPr>
              <w:spacing w:after="6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developing a planning tool to support the identification of target geographies for growing the commercial market and the development of suitable strategies</w:t>
            </w:r>
          </w:p>
          <w:p w14:paraId="4C6C5C18" w14:textId="77777777" w:rsidR="006F3334" w:rsidRPr="00C64064" w:rsidRDefault="006F3334" w:rsidP="00D91EA1">
            <w:pPr>
              <w:numPr>
                <w:ilvl w:val="0"/>
                <w:numId w:val="22"/>
              </w:numPr>
              <w:spacing w:after="6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conducting a study on how the agriculture sector can support medium-term regional goals and holding a multi-stakeholder policy dialogue to gather additional inputs and perspectives</w:t>
            </w:r>
          </w:p>
          <w:p w14:paraId="7415EA3E" w14:textId="77777777" w:rsidR="006F3334" w:rsidRPr="00C64064" w:rsidRDefault="006F3334" w:rsidP="00D91EA1">
            <w:pPr>
              <w:numPr>
                <w:ilvl w:val="0"/>
                <w:numId w:val="22"/>
              </w:numPr>
              <w:spacing w:after="6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formulating recommendations for strategies, programs, and activities for NTT’s agriculture market development from 2025 to 2029</w:t>
            </w:r>
          </w:p>
          <w:p w14:paraId="07C85173" w14:textId="77777777" w:rsidR="006F3334" w:rsidRPr="00C64064" w:rsidRDefault="006F3334" w:rsidP="00D91EA1">
            <w:pPr>
              <w:numPr>
                <w:ilvl w:val="0"/>
                <w:numId w:val="22"/>
              </w:numPr>
              <w:spacing w:after="6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developing and disseminating policy briefs to advocate for the national government’s support for NTT’s priorities</w:t>
            </w:r>
          </w:p>
        </w:tc>
        <w:tc>
          <w:tcPr>
            <w:tcW w:w="1303" w:type="dxa"/>
            <w:vMerge w:val="restart"/>
          </w:tcPr>
          <w:p w14:paraId="2AE9653F" w14:textId="7E4C93AC" w:rsidR="006F3334" w:rsidRPr="00C64064" w:rsidRDefault="00A20C7D" w:rsidP="006F3334">
            <w:pPr>
              <w:spacing w:after="60"/>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lastRenderedPageBreak/>
              <w:t xml:space="preserve">NTT </w:t>
            </w:r>
            <w:r w:rsidR="006F3334" w:rsidRPr="00C64064">
              <w:rPr>
                <w:rFonts w:asciiTheme="majorHAnsi" w:eastAsia="Times New Roman" w:hAnsiTheme="majorHAnsi" w:cstheme="majorHAnsi"/>
                <w:color w:val="000000"/>
                <w:sz w:val="20"/>
                <w:szCs w:val="20"/>
              </w:rPr>
              <w:t>Bapperida</w:t>
            </w:r>
          </w:p>
        </w:tc>
        <w:tc>
          <w:tcPr>
            <w:tcW w:w="3598" w:type="dxa"/>
          </w:tcPr>
          <w:p w14:paraId="56DDEBC4" w14:textId="5ACA260B" w:rsidR="006F3334" w:rsidRPr="00C64064" w:rsidRDefault="006F3334" w:rsidP="006F3334">
            <w:pPr>
              <w:spacing w:after="60"/>
              <w:rPr>
                <w:rFonts w:asciiTheme="majorHAnsi" w:eastAsia="Times New Roman" w:hAnsiTheme="majorHAnsi" w:cstheme="majorHAnsi"/>
                <w:b/>
                <w:color w:val="000000"/>
                <w:sz w:val="20"/>
                <w:szCs w:val="20"/>
              </w:rPr>
            </w:pPr>
            <w:r w:rsidRPr="00C64064">
              <w:rPr>
                <w:rFonts w:asciiTheme="majorHAnsi" w:eastAsia="Times New Roman" w:hAnsiTheme="majorHAnsi" w:cstheme="majorHAnsi"/>
                <w:b/>
                <w:color w:val="000000"/>
                <w:sz w:val="20"/>
                <w:szCs w:val="20"/>
              </w:rPr>
              <w:t xml:space="preserve">(a) Ongoing: </w:t>
            </w:r>
          </w:p>
          <w:p w14:paraId="1AAA9BCB" w14:textId="78920B15" w:rsidR="006F3334" w:rsidRPr="00C64064" w:rsidRDefault="00D14E6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NTT </w:t>
            </w:r>
            <w:r w:rsidR="006F3334" w:rsidRPr="00C64064">
              <w:rPr>
                <w:rFonts w:asciiTheme="majorHAnsi" w:eastAsia="Times New Roman" w:hAnsiTheme="majorHAnsi" w:cstheme="majorHAnsi"/>
                <w:color w:val="000000"/>
                <w:sz w:val="20"/>
                <w:szCs w:val="20"/>
              </w:rPr>
              <w:t>Bapperida launched the innovative planning tool during the 15-16 May 2024 multi-stakeholder policy dialogue in Kupang</w:t>
            </w:r>
            <w:r w:rsidRPr="00C64064">
              <w:rPr>
                <w:rFonts w:asciiTheme="majorHAnsi" w:eastAsia="Times New Roman" w:hAnsiTheme="majorHAnsi" w:cstheme="majorHAnsi"/>
                <w:color w:val="000000"/>
                <w:sz w:val="20"/>
                <w:szCs w:val="20"/>
              </w:rPr>
              <w:t>.</w:t>
            </w:r>
          </w:p>
          <w:p w14:paraId="1E276934" w14:textId="77777777"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b/>
                <w:color w:val="000000"/>
                <w:sz w:val="20"/>
                <w:szCs w:val="20"/>
              </w:rPr>
            </w:pPr>
            <w:r w:rsidRPr="00C64064">
              <w:rPr>
                <w:rFonts w:asciiTheme="majorHAnsi" w:eastAsia="Times New Roman" w:hAnsiTheme="majorHAnsi" w:cstheme="majorHAnsi"/>
                <w:color w:val="000000"/>
                <w:sz w:val="20"/>
                <w:szCs w:val="20"/>
              </w:rPr>
              <w:t>Before the launch, PRISMA conducted a training to introduce Bapperida staff to the new tool. This was followed by several coaching sessions where staff learned to update and operationalise the tool using the most recent data.</w:t>
            </w:r>
          </w:p>
          <w:p w14:paraId="68FBBB0B" w14:textId="77777777"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bCs/>
                <w:color w:val="000000"/>
                <w:sz w:val="20"/>
                <w:szCs w:val="20"/>
              </w:rPr>
            </w:pPr>
            <w:r w:rsidRPr="00C64064">
              <w:rPr>
                <w:rFonts w:asciiTheme="majorHAnsi" w:eastAsia="Times New Roman" w:hAnsiTheme="majorHAnsi" w:cstheme="majorHAnsi"/>
                <w:bCs/>
                <w:color w:val="000000"/>
                <w:sz w:val="20"/>
                <w:szCs w:val="20"/>
              </w:rPr>
              <w:t>Additional coaching sessions are scheduled for July/August 2024 to ensure that staff have the confidence and capabilities to independently update and use the tool.</w:t>
            </w:r>
          </w:p>
        </w:tc>
        <w:tc>
          <w:tcPr>
            <w:tcW w:w="3817" w:type="dxa"/>
          </w:tcPr>
          <w:p w14:paraId="1C4375F5" w14:textId="77777777"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This innovative planning tool, developed with the support of PRISMA, uses Microsoft PowerBI Desktop to consolidate data from multiple government agencies into visual mappings.</w:t>
            </w:r>
          </w:p>
          <w:p w14:paraId="6310ED20" w14:textId="04FBEC08"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Bapperida is excited that the planning tool will help </w:t>
            </w:r>
            <w:r w:rsidR="004C4078" w:rsidRPr="00C64064">
              <w:rPr>
                <w:rFonts w:asciiTheme="majorHAnsi" w:eastAsia="Times New Roman" w:hAnsiTheme="majorHAnsi" w:cstheme="majorHAnsi"/>
                <w:color w:val="000000"/>
                <w:sz w:val="20"/>
                <w:szCs w:val="20"/>
              </w:rPr>
              <w:t>it</w:t>
            </w:r>
            <w:r w:rsidRPr="00C64064">
              <w:rPr>
                <w:rFonts w:asciiTheme="majorHAnsi" w:eastAsia="Times New Roman" w:hAnsiTheme="majorHAnsi" w:cstheme="majorHAnsi"/>
                <w:color w:val="000000"/>
                <w:sz w:val="20"/>
                <w:szCs w:val="20"/>
              </w:rPr>
              <w:t xml:space="preserve"> decide on the priority geographies and develop strategies for key agricultural commodities in NTT. </w:t>
            </w:r>
            <w:r w:rsidR="004C4078" w:rsidRPr="00C64064">
              <w:rPr>
                <w:rFonts w:asciiTheme="majorHAnsi" w:eastAsia="Times New Roman" w:hAnsiTheme="majorHAnsi" w:cstheme="majorHAnsi"/>
                <w:color w:val="000000"/>
                <w:sz w:val="20"/>
                <w:szCs w:val="20"/>
              </w:rPr>
              <w:t>It</w:t>
            </w:r>
            <w:r w:rsidRPr="00C64064">
              <w:rPr>
                <w:rFonts w:asciiTheme="majorHAnsi" w:eastAsia="Times New Roman" w:hAnsiTheme="majorHAnsi" w:cstheme="majorHAnsi"/>
                <w:color w:val="000000"/>
                <w:sz w:val="20"/>
                <w:szCs w:val="20"/>
              </w:rPr>
              <w:t xml:space="preserve"> can also use this information, along with inputs from the multi-stakeholder policy dialogue, to advocate for the national government's support. This has encouraged Bapperida to take the lead in coordinating with related agencies, including the Central Bureau of Statistics (BPS), to provide the data required for analysis.</w:t>
            </w:r>
          </w:p>
        </w:tc>
      </w:tr>
      <w:tr w:rsidR="00040D3F" w:rsidRPr="00C64064" w14:paraId="218DE038" w14:textId="77777777" w:rsidTr="7D2E47DB">
        <w:trPr>
          <w:trHeight w:val="170"/>
        </w:trPr>
        <w:tc>
          <w:tcPr>
            <w:tcW w:w="2064" w:type="dxa"/>
            <w:vMerge/>
          </w:tcPr>
          <w:p w14:paraId="2DC9590B" w14:textId="77777777" w:rsidR="006F3334" w:rsidRPr="00C64064" w:rsidRDefault="006F3334" w:rsidP="006F3334">
            <w:pPr>
              <w:spacing w:after="60"/>
              <w:rPr>
                <w:rFonts w:asciiTheme="majorHAnsi" w:eastAsia="Times New Roman" w:hAnsiTheme="majorHAnsi" w:cstheme="majorHAnsi"/>
                <w:b/>
                <w:color w:val="000000"/>
                <w:sz w:val="20"/>
                <w:szCs w:val="20"/>
              </w:rPr>
            </w:pPr>
          </w:p>
        </w:tc>
        <w:tc>
          <w:tcPr>
            <w:tcW w:w="3742" w:type="dxa"/>
            <w:vMerge/>
          </w:tcPr>
          <w:p w14:paraId="2069D177"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1303" w:type="dxa"/>
            <w:vMerge/>
          </w:tcPr>
          <w:p w14:paraId="16958D3D"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3598" w:type="dxa"/>
          </w:tcPr>
          <w:p w14:paraId="025809D2" w14:textId="4F9A8FB9" w:rsidR="006F3334" w:rsidRPr="00C64064" w:rsidRDefault="006F3334" w:rsidP="006F3334">
            <w:pPr>
              <w:spacing w:after="60"/>
              <w:rPr>
                <w:rFonts w:asciiTheme="majorHAnsi" w:eastAsia="Times New Roman" w:hAnsiTheme="majorHAnsi" w:cstheme="majorHAnsi"/>
                <w:color w:val="000000"/>
                <w:sz w:val="20"/>
                <w:szCs w:val="20"/>
              </w:rPr>
            </w:pPr>
            <w:r w:rsidRPr="00C64064">
              <w:rPr>
                <w:rFonts w:asciiTheme="majorHAnsi" w:eastAsia="Times New Roman" w:hAnsiTheme="majorHAnsi" w:cstheme="majorHAnsi"/>
                <w:b/>
                <w:color w:val="000000"/>
                <w:sz w:val="20"/>
                <w:szCs w:val="20"/>
              </w:rPr>
              <w:t xml:space="preserve">(b) Completed: </w:t>
            </w:r>
            <w:r w:rsidRPr="00C64064">
              <w:rPr>
                <w:rFonts w:asciiTheme="majorHAnsi" w:eastAsia="Times New Roman" w:hAnsiTheme="majorHAnsi" w:cstheme="majorHAnsi"/>
                <w:color w:val="000000"/>
                <w:sz w:val="20"/>
                <w:szCs w:val="20"/>
              </w:rPr>
              <w:t>The data collection process and interviews have been completed, and a summary of initial findings and potential recommendations were presented in a multi-stakeholder policy dialogue</w:t>
            </w:r>
            <w:r w:rsidRPr="00C64064" w:rsidDel="000C10AB">
              <w:rPr>
                <w:rFonts w:asciiTheme="majorHAnsi" w:eastAsia="Times New Roman" w:hAnsiTheme="majorHAnsi" w:cstheme="majorHAnsi"/>
                <w:color w:val="000000"/>
                <w:sz w:val="20"/>
                <w:szCs w:val="20"/>
              </w:rPr>
              <w:t xml:space="preserve"> </w:t>
            </w:r>
            <w:r w:rsidRPr="00C64064">
              <w:rPr>
                <w:rFonts w:asciiTheme="majorHAnsi" w:eastAsia="Times New Roman" w:hAnsiTheme="majorHAnsi" w:cstheme="majorHAnsi"/>
                <w:color w:val="000000"/>
                <w:sz w:val="20"/>
                <w:szCs w:val="20"/>
              </w:rPr>
              <w:t xml:space="preserve">on 15-16 May 2024. The policy dialogue also </w:t>
            </w:r>
            <w:r w:rsidRPr="00C64064">
              <w:rPr>
                <w:rFonts w:asciiTheme="majorHAnsi" w:eastAsia="Times New Roman" w:hAnsiTheme="majorHAnsi" w:cstheme="majorHAnsi"/>
                <w:color w:val="000000"/>
                <w:sz w:val="20"/>
                <w:szCs w:val="20"/>
              </w:rPr>
              <w:lastRenderedPageBreak/>
              <w:t xml:space="preserve">gathered additional inputs and perspectives from public and private stakeholders to inform the agricultural agenda in the </w:t>
            </w:r>
            <w:r w:rsidR="004C4078" w:rsidRPr="00C64064">
              <w:rPr>
                <w:rFonts w:asciiTheme="majorHAnsi" w:eastAsia="Times New Roman" w:hAnsiTheme="majorHAnsi" w:cstheme="majorHAnsi"/>
                <w:color w:val="000000"/>
                <w:sz w:val="20"/>
                <w:szCs w:val="20"/>
              </w:rPr>
              <w:t xml:space="preserve">2025-2029 </w:t>
            </w:r>
            <w:r w:rsidRPr="00C64064">
              <w:rPr>
                <w:rFonts w:asciiTheme="majorHAnsi" w:eastAsia="Times New Roman" w:hAnsiTheme="majorHAnsi" w:cstheme="majorHAnsi"/>
                <w:color w:val="000000"/>
                <w:sz w:val="20"/>
                <w:szCs w:val="20"/>
              </w:rPr>
              <w:t>RPJMD.</w:t>
            </w:r>
          </w:p>
          <w:p w14:paraId="067D7AA9" w14:textId="77777777" w:rsidR="006F3334" w:rsidRPr="00C64064" w:rsidRDefault="006F3334" w:rsidP="006F3334">
            <w:pPr>
              <w:spacing w:after="60"/>
              <w:rPr>
                <w:rFonts w:asciiTheme="majorHAnsi" w:eastAsia="Times New Roman" w:hAnsiTheme="majorHAnsi" w:cstheme="majorHAnsi"/>
                <w:b/>
                <w:color w:val="000000"/>
                <w:sz w:val="20"/>
                <w:szCs w:val="20"/>
              </w:rPr>
            </w:pPr>
          </w:p>
        </w:tc>
        <w:tc>
          <w:tcPr>
            <w:tcW w:w="3817" w:type="dxa"/>
          </w:tcPr>
          <w:p w14:paraId="16D74FCF" w14:textId="77777777"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lastRenderedPageBreak/>
              <w:t xml:space="preserve">The NTT government issued a decree in Dec 2023 assigning related provincial government personnel to work with PRISMA for the studies. </w:t>
            </w:r>
          </w:p>
          <w:p w14:paraId="5D1D7B53" w14:textId="367E1E30"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bCs/>
                <w:color w:val="000000"/>
                <w:sz w:val="20"/>
                <w:szCs w:val="20"/>
              </w:rPr>
              <w:t>The study commenced on February 20, 2024</w:t>
            </w:r>
            <w:r w:rsidR="005C0D4E" w:rsidRPr="00C64064">
              <w:rPr>
                <w:rFonts w:asciiTheme="majorHAnsi" w:eastAsia="Times New Roman" w:hAnsiTheme="majorHAnsi" w:cstheme="majorHAnsi"/>
                <w:bCs/>
                <w:color w:val="000000"/>
                <w:sz w:val="20"/>
                <w:szCs w:val="20"/>
              </w:rPr>
              <w:t>,</w:t>
            </w:r>
            <w:r w:rsidRPr="00C64064">
              <w:rPr>
                <w:rFonts w:asciiTheme="majorHAnsi" w:eastAsia="Times New Roman" w:hAnsiTheme="majorHAnsi" w:cstheme="majorHAnsi"/>
                <w:color w:val="000000"/>
                <w:sz w:val="20"/>
                <w:szCs w:val="20"/>
              </w:rPr>
              <w:t xml:space="preserve"> with a kick-off meeting </w:t>
            </w:r>
            <w:r w:rsidRPr="00C64064">
              <w:rPr>
                <w:rFonts w:asciiTheme="majorHAnsi" w:eastAsia="Times New Roman" w:hAnsiTheme="majorHAnsi" w:cstheme="majorHAnsi"/>
                <w:color w:val="000000"/>
                <w:sz w:val="20"/>
                <w:szCs w:val="20"/>
              </w:rPr>
              <w:lastRenderedPageBreak/>
              <w:t xml:space="preserve">involving all related provincial government institutions. </w:t>
            </w:r>
          </w:p>
          <w:p w14:paraId="4F110684" w14:textId="77889B79"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bCs/>
                <w:color w:val="000000"/>
                <w:sz w:val="20"/>
                <w:szCs w:val="20"/>
              </w:rPr>
              <w:t xml:space="preserve">The study was conducted with the support of a research firm and </w:t>
            </w:r>
            <w:r w:rsidRPr="00C64064">
              <w:rPr>
                <w:rFonts w:asciiTheme="majorHAnsi" w:eastAsia="Times New Roman" w:hAnsiTheme="majorHAnsi" w:cstheme="majorHAnsi"/>
                <w:color w:val="000000"/>
                <w:sz w:val="20"/>
                <w:szCs w:val="20"/>
              </w:rPr>
              <w:t xml:space="preserve">8 consultants with commodity-specific expertise. It covers 9 commodities with a deep dive </w:t>
            </w:r>
            <w:r w:rsidR="004C4078" w:rsidRPr="00C64064">
              <w:rPr>
                <w:rFonts w:asciiTheme="majorHAnsi" w:eastAsia="Times New Roman" w:hAnsiTheme="majorHAnsi" w:cstheme="majorHAnsi"/>
                <w:color w:val="000000"/>
                <w:sz w:val="20"/>
                <w:szCs w:val="20"/>
              </w:rPr>
              <w:t>i</w:t>
            </w:r>
            <w:r w:rsidRPr="00C64064">
              <w:rPr>
                <w:rFonts w:asciiTheme="majorHAnsi" w:eastAsia="Times New Roman" w:hAnsiTheme="majorHAnsi" w:cstheme="majorHAnsi"/>
                <w:color w:val="000000"/>
                <w:sz w:val="20"/>
                <w:szCs w:val="20"/>
              </w:rPr>
              <w:t>n</w:t>
            </w:r>
            <w:r w:rsidR="004C4078" w:rsidRPr="00C64064">
              <w:rPr>
                <w:rFonts w:asciiTheme="majorHAnsi" w:eastAsia="Times New Roman" w:hAnsiTheme="majorHAnsi" w:cstheme="majorHAnsi"/>
                <w:color w:val="000000"/>
                <w:sz w:val="20"/>
                <w:szCs w:val="20"/>
              </w:rPr>
              <w:t>to</w:t>
            </w:r>
            <w:r w:rsidRPr="00C64064">
              <w:rPr>
                <w:rFonts w:asciiTheme="majorHAnsi" w:eastAsia="Times New Roman" w:hAnsiTheme="majorHAnsi" w:cstheme="majorHAnsi"/>
                <w:color w:val="000000"/>
                <w:sz w:val="20"/>
                <w:szCs w:val="20"/>
              </w:rPr>
              <w:t xml:space="preserve"> the beef, pig, and maize markets as key drivers of NTT agriculture. </w:t>
            </w:r>
          </w:p>
          <w:p w14:paraId="5B33D290" w14:textId="77777777"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The policy dialogue covered strengthening the agriculture input market, aligning forces to tackle endemic pests and diseases, and developing strategies to link the agriculture sector with industry. An in-depth discussion was also conducted for 3 key commodities (beef, pig, and maize). </w:t>
            </w:r>
          </w:p>
          <w:p w14:paraId="6E21CBA1" w14:textId="298ECAB5"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It was attended by more than 100 participants, covering representatives from provincial and district-level government agencies, private sectors, associations, research agencies, academia, and experts, as well as national-level government (Bappenas and </w:t>
            </w:r>
            <w:r w:rsidR="004C4078" w:rsidRPr="00C64064">
              <w:rPr>
                <w:rFonts w:asciiTheme="majorHAnsi" w:eastAsia="Times New Roman" w:hAnsiTheme="majorHAnsi" w:cstheme="majorHAnsi"/>
                <w:color w:val="000000"/>
                <w:sz w:val="20"/>
                <w:szCs w:val="20"/>
              </w:rPr>
              <w:t xml:space="preserve">the </w:t>
            </w:r>
            <w:r w:rsidRPr="00C64064">
              <w:rPr>
                <w:rFonts w:asciiTheme="majorHAnsi" w:eastAsia="Times New Roman" w:hAnsiTheme="majorHAnsi" w:cstheme="majorHAnsi"/>
                <w:color w:val="000000"/>
                <w:sz w:val="20"/>
                <w:szCs w:val="20"/>
              </w:rPr>
              <w:t>MoA).</w:t>
            </w:r>
          </w:p>
        </w:tc>
      </w:tr>
      <w:tr w:rsidR="00040D3F" w:rsidRPr="00C64064" w14:paraId="31346D2C" w14:textId="77777777" w:rsidTr="7D2E47DB">
        <w:trPr>
          <w:trHeight w:val="683"/>
        </w:trPr>
        <w:tc>
          <w:tcPr>
            <w:tcW w:w="2064" w:type="dxa"/>
            <w:vMerge/>
          </w:tcPr>
          <w:p w14:paraId="5ADF7A37" w14:textId="77777777" w:rsidR="006F3334" w:rsidRPr="00C64064" w:rsidRDefault="006F3334" w:rsidP="006F3334">
            <w:pPr>
              <w:spacing w:after="60"/>
              <w:rPr>
                <w:rFonts w:asciiTheme="majorHAnsi" w:eastAsia="Times New Roman" w:hAnsiTheme="majorHAnsi" w:cstheme="majorHAnsi"/>
                <w:b/>
                <w:color w:val="000000"/>
                <w:sz w:val="20"/>
                <w:szCs w:val="20"/>
              </w:rPr>
            </w:pPr>
          </w:p>
        </w:tc>
        <w:tc>
          <w:tcPr>
            <w:tcW w:w="3742" w:type="dxa"/>
            <w:vMerge/>
          </w:tcPr>
          <w:p w14:paraId="4A6080D2"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1303" w:type="dxa"/>
            <w:vMerge/>
          </w:tcPr>
          <w:p w14:paraId="733AE741"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3598" w:type="dxa"/>
          </w:tcPr>
          <w:p w14:paraId="35C6A931" w14:textId="4EC1670B" w:rsidR="006F3334" w:rsidRPr="00C64064" w:rsidRDefault="006F3334" w:rsidP="006F3334">
            <w:pPr>
              <w:spacing w:after="60"/>
              <w:rPr>
                <w:rFonts w:asciiTheme="majorHAnsi" w:eastAsia="Times New Roman" w:hAnsiTheme="majorHAnsi" w:cstheme="majorHAnsi"/>
                <w:b/>
                <w:color w:val="000000"/>
                <w:sz w:val="20"/>
                <w:szCs w:val="20"/>
              </w:rPr>
            </w:pPr>
            <w:r w:rsidRPr="00C64064">
              <w:rPr>
                <w:rFonts w:asciiTheme="majorHAnsi" w:eastAsia="Times New Roman" w:hAnsiTheme="majorHAnsi" w:cstheme="majorHAnsi"/>
                <w:b/>
                <w:color w:val="000000"/>
                <w:sz w:val="20"/>
                <w:szCs w:val="20"/>
              </w:rPr>
              <w:t xml:space="preserve">(c) Ongoing: </w:t>
            </w:r>
          </w:p>
          <w:p w14:paraId="21558AF4" w14:textId="77777777"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A table summarising the recommendations for strategies, </w:t>
            </w:r>
            <w:r w:rsidRPr="00C64064">
              <w:rPr>
                <w:rFonts w:asciiTheme="majorHAnsi" w:eastAsia="Times New Roman" w:hAnsiTheme="majorHAnsi" w:cstheme="majorHAnsi"/>
                <w:bCs/>
                <w:color w:val="000000"/>
                <w:sz w:val="20"/>
                <w:szCs w:val="20"/>
              </w:rPr>
              <w:t>programs</w:t>
            </w:r>
            <w:r w:rsidRPr="00C64064">
              <w:rPr>
                <w:rFonts w:asciiTheme="majorHAnsi" w:eastAsia="Times New Roman" w:hAnsiTheme="majorHAnsi" w:cstheme="majorHAnsi"/>
                <w:color w:val="000000"/>
                <w:sz w:val="20"/>
                <w:szCs w:val="20"/>
              </w:rPr>
              <w:t xml:space="preserve">, and activities was submitted to Bapperida at the end of June 2024. </w:t>
            </w:r>
          </w:p>
          <w:p w14:paraId="69C0776C" w14:textId="77777777"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The table will be complemented with a report, which provides further details around the recommendations. The </w:t>
            </w:r>
            <w:r w:rsidRPr="00C64064">
              <w:rPr>
                <w:rFonts w:asciiTheme="majorHAnsi" w:eastAsia="Times New Roman" w:hAnsiTheme="majorHAnsi" w:cstheme="majorHAnsi"/>
                <w:bCs/>
                <w:color w:val="000000"/>
                <w:sz w:val="20"/>
                <w:szCs w:val="20"/>
              </w:rPr>
              <w:t>report</w:t>
            </w:r>
            <w:r w:rsidRPr="00C64064">
              <w:rPr>
                <w:rFonts w:asciiTheme="majorHAnsi" w:eastAsia="Times New Roman" w:hAnsiTheme="majorHAnsi" w:cstheme="majorHAnsi"/>
                <w:color w:val="000000"/>
                <w:sz w:val="20"/>
                <w:szCs w:val="20"/>
              </w:rPr>
              <w:t xml:space="preserve"> is being finalised, with a targeted </w:t>
            </w:r>
            <w:r w:rsidRPr="00C64064">
              <w:rPr>
                <w:rFonts w:asciiTheme="majorHAnsi" w:eastAsia="Times New Roman" w:hAnsiTheme="majorHAnsi" w:cstheme="majorHAnsi"/>
                <w:color w:val="000000"/>
                <w:sz w:val="20"/>
                <w:szCs w:val="20"/>
              </w:rPr>
              <w:lastRenderedPageBreak/>
              <w:t xml:space="preserve">handover of all documents to Bapperida in mid-July 2024. </w:t>
            </w:r>
          </w:p>
        </w:tc>
        <w:tc>
          <w:tcPr>
            <w:tcW w:w="3817" w:type="dxa"/>
          </w:tcPr>
          <w:p w14:paraId="17B260B3" w14:textId="77777777"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lastRenderedPageBreak/>
              <w:t>The recommendations were formulated based on PRISMA’s learnings from working in NTT over the last decade, the initial study findings, analysis of results from the planning tool, and inputs from the multi-stakeholder policy dialogue.</w:t>
            </w:r>
          </w:p>
        </w:tc>
      </w:tr>
      <w:tr w:rsidR="00040D3F" w:rsidRPr="00C64064" w14:paraId="5744AECC" w14:textId="77777777" w:rsidTr="7D2E47DB">
        <w:trPr>
          <w:trHeight w:val="683"/>
        </w:trPr>
        <w:tc>
          <w:tcPr>
            <w:tcW w:w="2064" w:type="dxa"/>
            <w:vMerge/>
          </w:tcPr>
          <w:p w14:paraId="434D0906" w14:textId="77777777" w:rsidR="006F3334" w:rsidRPr="00C64064" w:rsidRDefault="006F3334" w:rsidP="006F3334">
            <w:pPr>
              <w:spacing w:after="60"/>
              <w:rPr>
                <w:rFonts w:asciiTheme="majorHAnsi" w:eastAsia="Times New Roman" w:hAnsiTheme="majorHAnsi" w:cstheme="majorHAnsi"/>
                <w:b/>
                <w:color w:val="000000"/>
                <w:sz w:val="20"/>
                <w:szCs w:val="20"/>
              </w:rPr>
            </w:pPr>
          </w:p>
        </w:tc>
        <w:tc>
          <w:tcPr>
            <w:tcW w:w="3742" w:type="dxa"/>
            <w:vMerge/>
          </w:tcPr>
          <w:p w14:paraId="7D60156D"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1303" w:type="dxa"/>
          </w:tcPr>
          <w:p w14:paraId="6A22E62A"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3598" w:type="dxa"/>
          </w:tcPr>
          <w:p w14:paraId="57E4C4EE" w14:textId="6C9AF506" w:rsidR="006F3334" w:rsidRPr="00C64064" w:rsidRDefault="006F3334" w:rsidP="006F3334">
            <w:pPr>
              <w:spacing w:after="60"/>
              <w:rPr>
                <w:rFonts w:asciiTheme="majorHAnsi" w:eastAsia="Times New Roman" w:hAnsiTheme="majorHAnsi" w:cstheme="majorHAnsi"/>
                <w:b/>
                <w:color w:val="000000"/>
                <w:sz w:val="20"/>
                <w:szCs w:val="20"/>
              </w:rPr>
            </w:pPr>
            <w:r w:rsidRPr="00C64064">
              <w:rPr>
                <w:rFonts w:asciiTheme="majorHAnsi" w:eastAsia="Times New Roman" w:hAnsiTheme="majorHAnsi" w:cstheme="majorHAnsi"/>
                <w:b/>
                <w:color w:val="000000"/>
                <w:sz w:val="20"/>
                <w:szCs w:val="20"/>
              </w:rPr>
              <w:t xml:space="preserve">(d) Ongoing: </w:t>
            </w:r>
          </w:p>
          <w:p w14:paraId="7E63B8F9" w14:textId="77777777"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b/>
                <w:color w:val="000000"/>
                <w:sz w:val="20"/>
                <w:szCs w:val="20"/>
              </w:rPr>
            </w:pPr>
            <w:r w:rsidRPr="00C64064">
              <w:rPr>
                <w:rFonts w:asciiTheme="majorHAnsi" w:eastAsia="Times New Roman" w:hAnsiTheme="majorHAnsi" w:cstheme="majorHAnsi"/>
                <w:bCs/>
                <w:color w:val="000000"/>
                <w:sz w:val="20"/>
                <w:szCs w:val="20"/>
              </w:rPr>
              <w:t>The briefs will be completed in July 2024, with dissemination</w:t>
            </w:r>
            <w:r w:rsidRPr="00C64064">
              <w:rPr>
                <w:rFonts w:asciiTheme="majorHAnsi" w:eastAsia="Times New Roman" w:hAnsiTheme="majorHAnsi" w:cstheme="majorHAnsi"/>
                <w:color w:val="000000"/>
                <w:sz w:val="20"/>
                <w:szCs w:val="20"/>
              </w:rPr>
              <w:t xml:space="preserve"> events in NTT and the national level planned for the end of July/early August 2024.</w:t>
            </w:r>
          </w:p>
        </w:tc>
        <w:tc>
          <w:tcPr>
            <w:tcW w:w="3817" w:type="dxa"/>
          </w:tcPr>
          <w:p w14:paraId="52BC127B" w14:textId="77777777"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b/>
                <w:color w:val="000000"/>
                <w:sz w:val="20"/>
                <w:szCs w:val="20"/>
              </w:rPr>
            </w:pPr>
            <w:r w:rsidRPr="00C64064">
              <w:rPr>
                <w:rFonts w:asciiTheme="majorHAnsi" w:eastAsia="Times New Roman" w:hAnsiTheme="majorHAnsi" w:cstheme="majorHAnsi"/>
                <w:bCs/>
                <w:color w:val="000000"/>
                <w:sz w:val="20"/>
                <w:szCs w:val="20"/>
              </w:rPr>
              <w:t xml:space="preserve">The policy brief topics are being discussed with Bapperida to </w:t>
            </w:r>
            <w:r w:rsidRPr="00C64064">
              <w:rPr>
                <w:rFonts w:asciiTheme="majorHAnsi" w:eastAsia="Times New Roman" w:hAnsiTheme="majorHAnsi" w:cstheme="majorHAnsi"/>
                <w:color w:val="000000"/>
                <w:sz w:val="20"/>
                <w:szCs w:val="20"/>
              </w:rPr>
              <w:t>match</w:t>
            </w:r>
            <w:r w:rsidRPr="00C64064">
              <w:rPr>
                <w:rFonts w:asciiTheme="majorHAnsi" w:eastAsia="Times New Roman" w:hAnsiTheme="majorHAnsi" w:cstheme="majorHAnsi"/>
                <w:bCs/>
                <w:color w:val="000000"/>
                <w:sz w:val="20"/>
                <w:szCs w:val="20"/>
              </w:rPr>
              <w:t xml:space="preserve"> their priority advocacy agenda to the national government.</w:t>
            </w:r>
          </w:p>
          <w:p w14:paraId="141DD36D" w14:textId="77777777" w:rsidR="006F3334" w:rsidRPr="00C64064" w:rsidRDefault="006F3334" w:rsidP="006F3334">
            <w:pPr>
              <w:tabs>
                <w:tab w:val="left" w:pos="252"/>
              </w:tabs>
              <w:spacing w:afterLines="60" w:after="144"/>
              <w:ind w:left="252"/>
              <w:contextualSpacing/>
              <w:rPr>
                <w:rFonts w:asciiTheme="majorHAnsi" w:eastAsia="Times New Roman" w:hAnsiTheme="majorHAnsi" w:cstheme="majorHAnsi"/>
                <w:color w:val="000000"/>
                <w:sz w:val="20"/>
                <w:szCs w:val="20"/>
              </w:rPr>
            </w:pPr>
          </w:p>
        </w:tc>
      </w:tr>
      <w:tr w:rsidR="006F3334" w:rsidRPr="00C64064" w14:paraId="7B40CAA6" w14:textId="77777777" w:rsidTr="7D2E47DB">
        <w:trPr>
          <w:trHeight w:val="58"/>
        </w:trPr>
        <w:tc>
          <w:tcPr>
            <w:tcW w:w="14524" w:type="dxa"/>
            <w:gridSpan w:val="5"/>
          </w:tcPr>
          <w:p w14:paraId="00F2BCC7" w14:textId="0FB6D3D4" w:rsidR="006F3334" w:rsidRPr="00C64064" w:rsidRDefault="006F3334" w:rsidP="006F3334">
            <w:pPr>
              <w:tabs>
                <w:tab w:val="left" w:pos="252"/>
              </w:tabs>
              <w:rPr>
                <w:rFonts w:asciiTheme="majorHAnsi" w:eastAsia="Times New Roman" w:hAnsiTheme="majorHAnsi" w:cstheme="majorHAnsi"/>
                <w:b/>
                <w:color w:val="161719"/>
                <w:sz w:val="20"/>
                <w:szCs w:val="20"/>
              </w:rPr>
            </w:pPr>
            <w:r w:rsidRPr="00C64064">
              <w:rPr>
                <w:rFonts w:asciiTheme="majorHAnsi" w:eastAsia="Times New Roman" w:hAnsiTheme="majorHAnsi" w:cstheme="majorHAnsi"/>
                <w:b/>
                <w:color w:val="161719"/>
                <w:sz w:val="20"/>
                <w:szCs w:val="20"/>
              </w:rPr>
              <w:t xml:space="preserve">Knowledge Sharing </w:t>
            </w:r>
            <w:r w:rsidR="00F41A18" w:rsidRPr="00C64064">
              <w:rPr>
                <w:rFonts w:asciiTheme="majorHAnsi" w:eastAsia="Times New Roman" w:hAnsiTheme="majorHAnsi" w:cstheme="majorHAnsi"/>
                <w:b/>
                <w:color w:val="161719"/>
                <w:sz w:val="20"/>
                <w:szCs w:val="20"/>
              </w:rPr>
              <w:t>and</w:t>
            </w:r>
            <w:r w:rsidRPr="00C64064">
              <w:rPr>
                <w:rFonts w:asciiTheme="majorHAnsi" w:eastAsia="Times New Roman" w:hAnsiTheme="majorHAnsi" w:cstheme="majorHAnsi"/>
                <w:b/>
                <w:color w:val="161719"/>
                <w:sz w:val="20"/>
                <w:szCs w:val="20"/>
              </w:rPr>
              <w:t xml:space="preserve"> Embedding Market Systems Development (MSD)</w:t>
            </w:r>
          </w:p>
        </w:tc>
      </w:tr>
      <w:tr w:rsidR="00040D3F" w:rsidRPr="00C64064" w14:paraId="7E7C932A" w14:textId="77777777" w:rsidTr="7D2E47DB">
        <w:trPr>
          <w:trHeight w:val="440"/>
        </w:trPr>
        <w:tc>
          <w:tcPr>
            <w:tcW w:w="2064" w:type="dxa"/>
            <w:vMerge w:val="restart"/>
          </w:tcPr>
          <w:p w14:paraId="7FAB3086" w14:textId="57095F86" w:rsidR="006F3334" w:rsidRPr="00C64064" w:rsidRDefault="006F3334" w:rsidP="006F3334">
            <w:pPr>
              <w:spacing w:after="60"/>
              <w:rPr>
                <w:rFonts w:asciiTheme="majorHAnsi" w:eastAsia="Times New Roman" w:hAnsiTheme="majorHAnsi" w:cstheme="majorHAnsi"/>
                <w:color w:val="000000"/>
                <w:sz w:val="20"/>
                <w:szCs w:val="20"/>
              </w:rPr>
            </w:pPr>
            <w:r w:rsidRPr="00C64064">
              <w:rPr>
                <w:rFonts w:asciiTheme="majorHAnsi" w:eastAsia="Times New Roman" w:hAnsiTheme="majorHAnsi" w:cstheme="majorHAnsi"/>
                <w:b/>
                <w:color w:val="000000"/>
                <w:sz w:val="20"/>
                <w:szCs w:val="20"/>
              </w:rPr>
              <w:t xml:space="preserve">Knowledge sharing/embedding MSD: </w:t>
            </w:r>
            <w:r w:rsidRPr="00C64064">
              <w:rPr>
                <w:rFonts w:asciiTheme="majorHAnsi" w:eastAsia="Times New Roman" w:hAnsiTheme="majorHAnsi" w:cstheme="majorHAnsi"/>
                <w:color w:val="000000"/>
                <w:sz w:val="20"/>
                <w:szCs w:val="20"/>
              </w:rPr>
              <w:t>Government and academia build capacity in MSD</w:t>
            </w:r>
          </w:p>
        </w:tc>
        <w:tc>
          <w:tcPr>
            <w:tcW w:w="3742" w:type="dxa"/>
            <w:vMerge w:val="restart"/>
          </w:tcPr>
          <w:p w14:paraId="6571718C" w14:textId="77777777" w:rsidR="006F3334" w:rsidRPr="00C64064" w:rsidRDefault="006F3334" w:rsidP="006F3334">
            <w:pPr>
              <w:spacing w:afterLines="60" w:after="144"/>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The remarkable success story of PRISMA has not only attracted Bappenas’s interest in the MSD approach but also instilled confidence that the approach can help the government more effectively achieve its development goals and objectives.</w:t>
            </w:r>
          </w:p>
          <w:p w14:paraId="4C1E0537" w14:textId="77777777" w:rsidR="006F3334" w:rsidRPr="00C64064" w:rsidRDefault="006F3334" w:rsidP="006F3334">
            <w:pPr>
              <w:spacing w:afterLines="60" w:after="144"/>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Recognising PRISMA's expertise and success in the MSD approach, Bappenas’s Directorate of Food and Agriculture has requested that PRISMA support it in building MSD capacity in both the government and academia. PRISMA is delivering on this request by: </w:t>
            </w:r>
          </w:p>
          <w:p w14:paraId="36BAE466" w14:textId="77777777" w:rsidR="006F3334" w:rsidRPr="00C64064" w:rsidRDefault="006F3334" w:rsidP="00D91EA1">
            <w:pPr>
              <w:numPr>
                <w:ilvl w:val="0"/>
                <w:numId w:val="23"/>
              </w:numPr>
              <w:spacing w:after="6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developing the national guidelines and training materials for designing and implementing an MSD program as a potential aid modality </w:t>
            </w:r>
          </w:p>
          <w:p w14:paraId="3AD8F997" w14:textId="77777777" w:rsidR="006F3334" w:rsidRPr="00C64064" w:rsidRDefault="006F3334" w:rsidP="00D91EA1">
            <w:pPr>
              <w:numPr>
                <w:ilvl w:val="0"/>
                <w:numId w:val="23"/>
              </w:numPr>
              <w:spacing w:after="6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conducting MSD training for government officials and academia</w:t>
            </w:r>
          </w:p>
        </w:tc>
        <w:tc>
          <w:tcPr>
            <w:tcW w:w="1303" w:type="dxa"/>
            <w:vMerge w:val="restart"/>
          </w:tcPr>
          <w:p w14:paraId="30EBFC35" w14:textId="77777777" w:rsidR="006F3334" w:rsidRPr="00C64064" w:rsidRDefault="006F3334" w:rsidP="006F3334">
            <w:pPr>
              <w:spacing w:after="120"/>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Bappenas</w:t>
            </w:r>
          </w:p>
          <w:p w14:paraId="68375BBD" w14:textId="77777777" w:rsidR="006F3334" w:rsidRPr="00C64064" w:rsidRDefault="006F3334" w:rsidP="006F3334">
            <w:pPr>
              <w:spacing w:after="120"/>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MoA </w:t>
            </w:r>
          </w:p>
          <w:p w14:paraId="2EC73D60" w14:textId="71669546" w:rsidR="006F3334" w:rsidRPr="00C64064" w:rsidRDefault="006F3334" w:rsidP="006F3334">
            <w:pPr>
              <w:spacing w:after="120"/>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Local government champions (E</w:t>
            </w:r>
            <w:r w:rsidR="00171EDD" w:rsidRPr="00C64064">
              <w:rPr>
                <w:rFonts w:asciiTheme="majorHAnsi" w:eastAsia="Times New Roman" w:hAnsiTheme="majorHAnsi" w:cstheme="majorHAnsi"/>
                <w:color w:val="000000"/>
                <w:sz w:val="20"/>
                <w:szCs w:val="20"/>
              </w:rPr>
              <w:t xml:space="preserve">ast </w:t>
            </w:r>
            <w:r w:rsidRPr="00C64064">
              <w:rPr>
                <w:rFonts w:asciiTheme="majorHAnsi" w:eastAsia="Times New Roman" w:hAnsiTheme="majorHAnsi" w:cstheme="majorHAnsi"/>
                <w:color w:val="000000"/>
                <w:sz w:val="20"/>
                <w:szCs w:val="20"/>
              </w:rPr>
              <w:t>J</w:t>
            </w:r>
            <w:r w:rsidR="00171EDD" w:rsidRPr="00C64064">
              <w:rPr>
                <w:rFonts w:asciiTheme="majorHAnsi" w:eastAsia="Times New Roman" w:hAnsiTheme="majorHAnsi" w:cstheme="majorHAnsi"/>
                <w:color w:val="000000"/>
                <w:sz w:val="20"/>
                <w:szCs w:val="20"/>
              </w:rPr>
              <w:t>ava</w:t>
            </w:r>
            <w:r w:rsidRPr="00C64064">
              <w:rPr>
                <w:rFonts w:asciiTheme="majorHAnsi" w:eastAsia="Times New Roman" w:hAnsiTheme="majorHAnsi" w:cstheme="majorHAnsi"/>
                <w:color w:val="000000"/>
                <w:sz w:val="20"/>
                <w:szCs w:val="20"/>
              </w:rPr>
              <w:t>, C</w:t>
            </w:r>
            <w:r w:rsidR="00171EDD" w:rsidRPr="00C64064">
              <w:rPr>
                <w:rFonts w:asciiTheme="majorHAnsi" w:eastAsia="Times New Roman" w:hAnsiTheme="majorHAnsi" w:cstheme="majorHAnsi"/>
                <w:color w:val="000000"/>
                <w:sz w:val="20"/>
                <w:szCs w:val="20"/>
              </w:rPr>
              <w:t xml:space="preserve">entral </w:t>
            </w:r>
            <w:r w:rsidRPr="00C64064">
              <w:rPr>
                <w:rFonts w:asciiTheme="majorHAnsi" w:eastAsia="Times New Roman" w:hAnsiTheme="majorHAnsi" w:cstheme="majorHAnsi"/>
                <w:color w:val="000000"/>
                <w:sz w:val="20"/>
                <w:szCs w:val="20"/>
              </w:rPr>
              <w:t>J</w:t>
            </w:r>
            <w:r w:rsidR="00171EDD" w:rsidRPr="00C64064">
              <w:rPr>
                <w:rFonts w:asciiTheme="majorHAnsi" w:eastAsia="Times New Roman" w:hAnsiTheme="majorHAnsi" w:cstheme="majorHAnsi"/>
                <w:color w:val="000000"/>
                <w:sz w:val="20"/>
                <w:szCs w:val="20"/>
              </w:rPr>
              <w:t>ava</w:t>
            </w:r>
            <w:r w:rsidRPr="00C64064">
              <w:rPr>
                <w:rFonts w:asciiTheme="majorHAnsi" w:eastAsia="Times New Roman" w:hAnsiTheme="majorHAnsi" w:cstheme="majorHAnsi"/>
                <w:color w:val="000000"/>
                <w:sz w:val="20"/>
                <w:szCs w:val="20"/>
              </w:rPr>
              <w:t>, NTB, NTT, Papua)</w:t>
            </w:r>
          </w:p>
          <w:p w14:paraId="2C8A4BF1" w14:textId="7666072C" w:rsidR="006F3334" w:rsidRPr="00C64064" w:rsidRDefault="006F3334" w:rsidP="006F3334">
            <w:pPr>
              <w:spacing w:after="120"/>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Academia (Institut Pertanian Bogor </w:t>
            </w:r>
            <w:r w:rsidR="00A85413"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IPB</w:t>
            </w:r>
            <w:r w:rsidR="00A85413"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 xml:space="preserve">, Gadjah Mada </w:t>
            </w:r>
            <w:r w:rsidR="00BE0FF7" w:rsidRPr="00C64064">
              <w:rPr>
                <w:rFonts w:asciiTheme="majorHAnsi" w:eastAsia="Times New Roman" w:hAnsiTheme="majorHAnsi" w:cstheme="majorHAnsi"/>
                <w:color w:val="000000"/>
                <w:sz w:val="20"/>
                <w:szCs w:val="20"/>
              </w:rPr>
              <w:t xml:space="preserve">University </w:t>
            </w:r>
            <w:r w:rsidR="00A85413"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UGM</w:t>
            </w:r>
            <w:r w:rsidR="00A85413"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 xml:space="preserve">, Brawijaya </w:t>
            </w:r>
            <w:r w:rsidR="00BE0FF7" w:rsidRPr="00C64064">
              <w:rPr>
                <w:rFonts w:asciiTheme="majorHAnsi" w:eastAsia="Times New Roman" w:hAnsiTheme="majorHAnsi" w:cstheme="majorHAnsi"/>
                <w:color w:val="000000"/>
                <w:sz w:val="20"/>
                <w:szCs w:val="20"/>
              </w:rPr>
              <w:t xml:space="preserve">University </w:t>
            </w:r>
            <w:r w:rsidR="00A85413"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UB</w:t>
            </w:r>
            <w:r w:rsidR="00A85413"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 xml:space="preserve">, University of Nahdlatul Wathan Mataram </w:t>
            </w:r>
            <w:r w:rsidR="00A85413"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UNWM</w:t>
            </w:r>
            <w:r w:rsidR="00A85413"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w:t>
            </w:r>
          </w:p>
        </w:tc>
        <w:tc>
          <w:tcPr>
            <w:tcW w:w="3598" w:type="dxa"/>
          </w:tcPr>
          <w:p w14:paraId="50901BA4" w14:textId="77777777" w:rsidR="006F3334" w:rsidRPr="00C64064" w:rsidRDefault="006F3334" w:rsidP="006F3334">
            <w:pPr>
              <w:spacing w:after="60"/>
              <w:rPr>
                <w:rFonts w:asciiTheme="majorHAnsi" w:eastAsia="Times New Roman" w:hAnsiTheme="majorHAnsi" w:cstheme="majorHAnsi"/>
                <w:color w:val="000000"/>
                <w:sz w:val="20"/>
                <w:szCs w:val="20"/>
              </w:rPr>
            </w:pPr>
            <w:r w:rsidRPr="00C64064">
              <w:rPr>
                <w:rFonts w:asciiTheme="majorHAnsi" w:eastAsia="Times New Roman" w:hAnsiTheme="majorHAnsi" w:cstheme="majorHAnsi"/>
                <w:b/>
                <w:color w:val="000000"/>
                <w:sz w:val="20"/>
                <w:szCs w:val="20"/>
              </w:rPr>
              <w:t>(a)</w:t>
            </w:r>
            <w:r w:rsidRPr="00C64064">
              <w:rPr>
                <w:rFonts w:asciiTheme="majorHAnsi" w:eastAsia="Times New Roman" w:hAnsiTheme="majorHAnsi" w:cstheme="majorHAnsi"/>
                <w:color w:val="000000"/>
                <w:sz w:val="20"/>
                <w:szCs w:val="20"/>
              </w:rPr>
              <w:t xml:space="preserve"> </w:t>
            </w:r>
            <w:r w:rsidRPr="00C64064">
              <w:rPr>
                <w:rFonts w:asciiTheme="majorHAnsi" w:eastAsia="Times New Roman" w:hAnsiTheme="majorHAnsi" w:cstheme="majorHAnsi"/>
                <w:b/>
                <w:color w:val="000000"/>
                <w:sz w:val="20"/>
                <w:szCs w:val="20"/>
              </w:rPr>
              <w:t xml:space="preserve">Completed: </w:t>
            </w:r>
            <w:r w:rsidRPr="00C64064">
              <w:rPr>
                <w:rFonts w:asciiTheme="majorHAnsi" w:eastAsia="Times New Roman" w:hAnsiTheme="majorHAnsi" w:cstheme="majorHAnsi"/>
                <w:color w:val="000000"/>
                <w:sz w:val="20"/>
                <w:szCs w:val="20"/>
              </w:rPr>
              <w:t>The national MSD guidelines and MSD training materials have been completed and were used in the MSD training for government officials and academia.</w:t>
            </w:r>
          </w:p>
        </w:tc>
        <w:tc>
          <w:tcPr>
            <w:tcW w:w="3817" w:type="dxa"/>
          </w:tcPr>
          <w:p w14:paraId="43813A2B" w14:textId="69304320" w:rsidR="006F3334" w:rsidRPr="00C64064" w:rsidRDefault="006F3334" w:rsidP="7D2E47DB">
            <w:pPr>
              <w:numPr>
                <w:ilvl w:val="0"/>
                <w:numId w:val="18"/>
              </w:numPr>
              <w:tabs>
                <w:tab w:val="left" w:pos="252"/>
              </w:tabs>
              <w:spacing w:afterLines="60" w:after="144"/>
              <w:ind w:left="252" w:hanging="180"/>
              <w:contextualSpacing/>
              <w:rPr>
                <w:rFonts w:asciiTheme="majorHAnsi" w:eastAsia="Times New Roman" w:hAnsiTheme="majorHAnsi" w:cstheme="majorBidi"/>
                <w:color w:val="000000"/>
                <w:sz w:val="20"/>
                <w:szCs w:val="20"/>
              </w:rPr>
            </w:pPr>
            <w:r w:rsidRPr="7D2E47DB">
              <w:rPr>
                <w:rFonts w:asciiTheme="majorHAnsi" w:eastAsia="Times New Roman" w:hAnsiTheme="majorHAnsi" w:cstheme="majorBidi"/>
                <w:color w:val="000000" w:themeColor="text2"/>
                <w:sz w:val="20"/>
                <w:szCs w:val="20"/>
              </w:rPr>
              <w:t xml:space="preserve">The national MSD guideline, </w:t>
            </w:r>
            <w:r w:rsidR="00EC279C" w:rsidRPr="7D2E47DB">
              <w:rPr>
                <w:rFonts w:asciiTheme="majorHAnsi" w:eastAsia="Times New Roman" w:hAnsiTheme="majorHAnsi" w:cstheme="majorBidi"/>
                <w:color w:val="000000" w:themeColor="text2"/>
                <w:sz w:val="20"/>
                <w:szCs w:val="20"/>
              </w:rPr>
              <w:t>“</w:t>
            </w:r>
            <w:r w:rsidRPr="7D2E47DB">
              <w:rPr>
                <w:rFonts w:asciiTheme="majorHAnsi" w:eastAsia="Times New Roman" w:hAnsiTheme="majorHAnsi" w:cstheme="majorBidi"/>
                <w:color w:val="000000" w:themeColor="text2"/>
                <w:sz w:val="20"/>
                <w:szCs w:val="20"/>
              </w:rPr>
              <w:t>Government and Business Entity Partnership Program in Agricultural Sector Development Based on a Market System Approach</w:t>
            </w:r>
            <w:r w:rsidR="00EC279C" w:rsidRPr="7D2E47DB">
              <w:rPr>
                <w:rFonts w:asciiTheme="majorHAnsi" w:eastAsia="Times New Roman" w:hAnsiTheme="majorHAnsi" w:cstheme="majorBidi"/>
                <w:color w:val="000000" w:themeColor="text2"/>
                <w:sz w:val="20"/>
                <w:szCs w:val="20"/>
              </w:rPr>
              <w:t>”</w:t>
            </w:r>
            <w:r w:rsidRPr="7D2E47DB">
              <w:rPr>
                <w:rFonts w:asciiTheme="majorHAnsi" w:eastAsia="Times New Roman" w:hAnsiTheme="majorHAnsi" w:cstheme="majorBidi"/>
                <w:i/>
                <w:iCs/>
                <w:color w:val="000000" w:themeColor="text2"/>
                <w:sz w:val="20"/>
                <w:szCs w:val="20"/>
              </w:rPr>
              <w:t xml:space="preserve">, </w:t>
            </w:r>
            <w:r w:rsidRPr="7D2E47DB">
              <w:rPr>
                <w:rFonts w:asciiTheme="majorHAnsi" w:eastAsia="Times New Roman" w:hAnsiTheme="majorHAnsi" w:cstheme="majorBidi"/>
                <w:color w:val="000000" w:themeColor="text2"/>
                <w:sz w:val="20"/>
                <w:szCs w:val="20"/>
              </w:rPr>
              <w:t>was completed in November 2023.</w:t>
            </w:r>
          </w:p>
          <w:p w14:paraId="4FA16A6C" w14:textId="432E1A32" w:rsidR="006F3334" w:rsidRPr="00C64064" w:rsidRDefault="006F3334" w:rsidP="00D91EA1">
            <w:pPr>
              <w:numPr>
                <w:ilvl w:val="0"/>
                <w:numId w:val="18"/>
              </w:numPr>
              <w:tabs>
                <w:tab w:val="left" w:pos="252"/>
              </w:tabs>
              <w:ind w:left="259" w:hanging="187"/>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The MSD training materials, which w</w:t>
            </w:r>
            <w:r w:rsidR="00EC279C" w:rsidRPr="00C64064">
              <w:rPr>
                <w:rFonts w:asciiTheme="majorHAnsi" w:eastAsia="Times New Roman" w:hAnsiTheme="majorHAnsi" w:cstheme="majorHAnsi"/>
                <w:color w:val="000000"/>
                <w:sz w:val="20"/>
                <w:szCs w:val="20"/>
              </w:rPr>
              <w:t>ere</w:t>
            </w:r>
            <w:r w:rsidRPr="00C64064">
              <w:rPr>
                <w:rFonts w:asciiTheme="majorHAnsi" w:eastAsia="Times New Roman" w:hAnsiTheme="majorHAnsi" w:cstheme="majorHAnsi"/>
                <w:color w:val="000000"/>
                <w:sz w:val="20"/>
                <w:szCs w:val="20"/>
              </w:rPr>
              <w:t xml:space="preserve"> completed in June 2024, included guidance on the market assessment process, identifying the root constraints, developing interventions, defining </w:t>
            </w:r>
            <w:r w:rsidRPr="00C64064">
              <w:rPr>
                <w:rFonts w:asciiTheme="majorHAnsi" w:eastAsia="Times New Roman" w:hAnsiTheme="majorHAnsi" w:cstheme="majorHAnsi"/>
                <w:bCs/>
                <w:color w:val="000000"/>
                <w:sz w:val="20"/>
                <w:szCs w:val="20"/>
              </w:rPr>
              <w:t>suitable</w:t>
            </w:r>
            <w:r w:rsidRPr="00C64064">
              <w:rPr>
                <w:rFonts w:asciiTheme="majorHAnsi" w:eastAsia="Times New Roman" w:hAnsiTheme="majorHAnsi" w:cstheme="majorHAnsi"/>
                <w:color w:val="000000"/>
                <w:sz w:val="20"/>
                <w:szCs w:val="20"/>
              </w:rPr>
              <w:t xml:space="preserve"> monitoring and evaluation methods, and assessing the signs of market sustainability.</w:t>
            </w:r>
          </w:p>
        </w:tc>
      </w:tr>
      <w:tr w:rsidR="00040D3F" w:rsidRPr="00C64064" w14:paraId="586996D5" w14:textId="77777777" w:rsidTr="7D2E47DB">
        <w:trPr>
          <w:trHeight w:val="1673"/>
        </w:trPr>
        <w:tc>
          <w:tcPr>
            <w:tcW w:w="2064" w:type="dxa"/>
            <w:vMerge/>
          </w:tcPr>
          <w:p w14:paraId="0C269B9C" w14:textId="77777777" w:rsidR="006F3334" w:rsidRPr="00C64064" w:rsidRDefault="006F3334" w:rsidP="006F3334">
            <w:pPr>
              <w:spacing w:after="60"/>
              <w:rPr>
                <w:rFonts w:asciiTheme="majorHAnsi" w:eastAsia="Times New Roman" w:hAnsiTheme="majorHAnsi" w:cstheme="majorHAnsi"/>
                <w:b/>
                <w:color w:val="000000"/>
                <w:sz w:val="20"/>
                <w:szCs w:val="20"/>
              </w:rPr>
            </w:pPr>
          </w:p>
        </w:tc>
        <w:tc>
          <w:tcPr>
            <w:tcW w:w="3742" w:type="dxa"/>
            <w:vMerge/>
          </w:tcPr>
          <w:p w14:paraId="402C7222"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1303" w:type="dxa"/>
            <w:vMerge/>
          </w:tcPr>
          <w:p w14:paraId="0423609E"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3598" w:type="dxa"/>
          </w:tcPr>
          <w:p w14:paraId="5C3E2DD7" w14:textId="77777777" w:rsidR="006F3334" w:rsidRPr="00C64064" w:rsidRDefault="006F3334" w:rsidP="006F3334">
            <w:pPr>
              <w:spacing w:after="60"/>
              <w:rPr>
                <w:rFonts w:asciiTheme="majorHAnsi" w:eastAsia="Times New Roman" w:hAnsiTheme="majorHAnsi" w:cstheme="majorHAnsi"/>
                <w:color w:val="000000"/>
                <w:sz w:val="20"/>
                <w:szCs w:val="20"/>
              </w:rPr>
            </w:pPr>
            <w:r w:rsidRPr="00C64064">
              <w:rPr>
                <w:rFonts w:asciiTheme="majorHAnsi" w:eastAsia="Times New Roman" w:hAnsiTheme="majorHAnsi" w:cstheme="majorHAnsi"/>
                <w:b/>
                <w:color w:val="000000"/>
                <w:sz w:val="20"/>
                <w:szCs w:val="20"/>
              </w:rPr>
              <w:t>(b)</w:t>
            </w:r>
            <w:r w:rsidRPr="00C64064">
              <w:rPr>
                <w:rFonts w:asciiTheme="majorHAnsi" w:eastAsia="Times New Roman" w:hAnsiTheme="majorHAnsi" w:cstheme="majorHAnsi"/>
                <w:color w:val="000000"/>
                <w:sz w:val="20"/>
                <w:szCs w:val="20"/>
              </w:rPr>
              <w:t xml:space="preserve"> </w:t>
            </w:r>
            <w:r w:rsidRPr="00C64064">
              <w:rPr>
                <w:rFonts w:asciiTheme="majorHAnsi" w:eastAsia="Times New Roman" w:hAnsiTheme="majorHAnsi" w:cstheme="majorHAnsi"/>
                <w:b/>
                <w:color w:val="000000"/>
                <w:sz w:val="20"/>
                <w:szCs w:val="20"/>
              </w:rPr>
              <w:t xml:space="preserve">Completed: </w:t>
            </w:r>
            <w:r w:rsidRPr="00C64064">
              <w:rPr>
                <w:rFonts w:asciiTheme="majorHAnsi" w:eastAsia="Times New Roman" w:hAnsiTheme="majorHAnsi" w:cstheme="majorHAnsi"/>
                <w:color w:val="000000"/>
                <w:sz w:val="20"/>
                <w:szCs w:val="20"/>
              </w:rPr>
              <w:t>A 5-day MSD training was conducted for government officials, university lecturers, and a DFAT representative.</w:t>
            </w:r>
          </w:p>
          <w:p w14:paraId="587183E5" w14:textId="77777777" w:rsidR="006F3334" w:rsidRPr="00C64064" w:rsidRDefault="006F3334" w:rsidP="006F3334">
            <w:pPr>
              <w:spacing w:after="60"/>
              <w:rPr>
                <w:rFonts w:asciiTheme="majorHAnsi" w:eastAsia="Times New Roman" w:hAnsiTheme="majorHAnsi" w:cstheme="majorHAnsi"/>
                <w:b/>
                <w:color w:val="000000"/>
                <w:sz w:val="20"/>
                <w:szCs w:val="20"/>
              </w:rPr>
            </w:pPr>
          </w:p>
        </w:tc>
        <w:tc>
          <w:tcPr>
            <w:tcW w:w="3817" w:type="dxa"/>
          </w:tcPr>
          <w:p w14:paraId="15DDCC86" w14:textId="44D3B2A6" w:rsidR="006F3334" w:rsidRPr="00C64064" w:rsidRDefault="006F3334" w:rsidP="7D2E47DB">
            <w:pPr>
              <w:numPr>
                <w:ilvl w:val="0"/>
                <w:numId w:val="18"/>
              </w:numPr>
              <w:tabs>
                <w:tab w:val="left" w:pos="252"/>
              </w:tabs>
              <w:spacing w:afterLines="60" w:after="144"/>
              <w:ind w:left="252" w:hanging="180"/>
              <w:contextualSpacing/>
              <w:rPr>
                <w:rFonts w:asciiTheme="majorHAnsi" w:eastAsia="Times New Roman" w:hAnsiTheme="majorHAnsi" w:cstheme="majorBidi"/>
                <w:color w:val="000000"/>
                <w:sz w:val="20"/>
                <w:szCs w:val="20"/>
              </w:rPr>
            </w:pPr>
            <w:r w:rsidRPr="7D2E47DB">
              <w:rPr>
                <w:rFonts w:asciiTheme="majorHAnsi" w:eastAsia="Times New Roman" w:hAnsiTheme="majorHAnsi" w:cstheme="majorBidi"/>
                <w:color w:val="000000" w:themeColor="text2"/>
                <w:sz w:val="20"/>
                <w:szCs w:val="20"/>
              </w:rPr>
              <w:t>The June 2024 MSD training involved 23 participants (18 government officials, 4 university lecturers, and 1 DFAT representative).</w:t>
            </w:r>
          </w:p>
          <w:p w14:paraId="78FBEC78" w14:textId="5AAFC9B4"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In the closing ceremony, Mr. Jarot Indarto, Head of the Food and Agriculture Directorate of the Ministry of National Planning/Bappenas, awarded participants training certificates and </w:t>
            </w:r>
            <w:r w:rsidRPr="00C64064">
              <w:rPr>
                <w:rFonts w:asciiTheme="majorHAnsi" w:eastAsia="Times New Roman" w:hAnsiTheme="majorHAnsi" w:cstheme="majorHAnsi"/>
                <w:color w:val="000000"/>
                <w:sz w:val="20"/>
                <w:szCs w:val="20"/>
              </w:rPr>
              <w:lastRenderedPageBreak/>
              <w:t>commended the outcome of PRISMA’s training. He also encouraged participants to work together to implement MSD principles in Indonesia.</w:t>
            </w:r>
          </w:p>
          <w:p w14:paraId="73ABB5D8" w14:textId="331EEC9A"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Nearly all participants (95%) reported an improved understanding of the MSD approach</w:t>
            </w:r>
            <w:r w:rsidR="00893CEB"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 xml:space="preserve"> and all participants indicated that they understood the value of partnerships between the government and private sector.</w:t>
            </w:r>
          </w:p>
          <w:p w14:paraId="1D6C2239" w14:textId="24D9DA8E" w:rsidR="006F3334" w:rsidRPr="00C64064" w:rsidRDefault="006F3334" w:rsidP="00D91EA1">
            <w:pPr>
              <w:numPr>
                <w:ilvl w:val="0"/>
                <w:numId w:val="18"/>
              </w:numPr>
              <w:tabs>
                <w:tab w:val="left" w:pos="252"/>
              </w:tabs>
              <w:ind w:left="259" w:hanging="187"/>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Furthermore, 50% of the graduates have already developed post-training action plans and a third plan to share information about MSD </w:t>
            </w:r>
            <w:r w:rsidR="00893CEB" w:rsidRPr="00C64064">
              <w:rPr>
                <w:rFonts w:asciiTheme="majorHAnsi" w:eastAsia="Times New Roman" w:hAnsiTheme="majorHAnsi" w:cstheme="majorHAnsi"/>
                <w:color w:val="000000"/>
                <w:sz w:val="20"/>
                <w:szCs w:val="20"/>
              </w:rPr>
              <w:t>with</w:t>
            </w:r>
            <w:r w:rsidRPr="00C64064">
              <w:rPr>
                <w:rFonts w:asciiTheme="majorHAnsi" w:eastAsia="Times New Roman" w:hAnsiTheme="majorHAnsi" w:cstheme="majorHAnsi"/>
                <w:color w:val="000000"/>
                <w:sz w:val="20"/>
                <w:szCs w:val="20"/>
              </w:rPr>
              <w:t xml:space="preserve"> their office heads, managers, and colleagues. </w:t>
            </w:r>
          </w:p>
        </w:tc>
      </w:tr>
      <w:tr w:rsidR="00040D3F" w:rsidRPr="00C64064" w14:paraId="3DAA13DF" w14:textId="77777777" w:rsidTr="7D2E47DB">
        <w:trPr>
          <w:trHeight w:val="998"/>
        </w:trPr>
        <w:tc>
          <w:tcPr>
            <w:tcW w:w="2064" w:type="dxa"/>
            <w:vMerge w:val="restart"/>
          </w:tcPr>
          <w:p w14:paraId="65CC5712" w14:textId="77777777" w:rsidR="006F3334" w:rsidRPr="00C64064" w:rsidRDefault="006F3334" w:rsidP="006F3334">
            <w:pPr>
              <w:spacing w:after="60"/>
              <w:rPr>
                <w:rFonts w:asciiTheme="majorHAnsi" w:eastAsia="Times New Roman" w:hAnsiTheme="majorHAnsi" w:cstheme="majorHAnsi"/>
                <w:color w:val="000000"/>
                <w:sz w:val="20"/>
                <w:szCs w:val="20"/>
              </w:rPr>
            </w:pPr>
            <w:r w:rsidRPr="00C64064">
              <w:rPr>
                <w:rFonts w:asciiTheme="majorHAnsi" w:eastAsia="Times New Roman" w:hAnsiTheme="majorHAnsi" w:cstheme="majorHAnsi"/>
                <w:b/>
                <w:color w:val="000000"/>
                <w:sz w:val="20"/>
                <w:szCs w:val="20"/>
              </w:rPr>
              <w:lastRenderedPageBreak/>
              <w:t>Knowledge sharing/embedding MSD principles:</w:t>
            </w:r>
            <w:r w:rsidRPr="00C64064">
              <w:rPr>
                <w:rFonts w:asciiTheme="majorHAnsi" w:eastAsia="Times New Roman" w:hAnsiTheme="majorHAnsi" w:cstheme="majorHAnsi"/>
                <w:color w:val="000000"/>
                <w:sz w:val="20"/>
                <w:szCs w:val="20"/>
              </w:rPr>
              <w:t xml:space="preserve"> Universities improve their offering by incorporating PRISMA’s experience into their academic programs and by serving as a repository for PRISMA’s knowledge and lessons</w:t>
            </w:r>
          </w:p>
          <w:p w14:paraId="6B354ABE" w14:textId="77777777" w:rsidR="006F3334" w:rsidRPr="00C64064" w:rsidRDefault="006F3334" w:rsidP="006F3334">
            <w:pPr>
              <w:spacing w:after="60"/>
              <w:rPr>
                <w:rFonts w:asciiTheme="majorHAnsi" w:eastAsia="Times New Roman" w:hAnsiTheme="majorHAnsi" w:cstheme="majorHAnsi"/>
                <w:b/>
                <w:color w:val="000000"/>
                <w:sz w:val="20"/>
                <w:szCs w:val="20"/>
              </w:rPr>
            </w:pPr>
          </w:p>
        </w:tc>
        <w:tc>
          <w:tcPr>
            <w:tcW w:w="3742" w:type="dxa"/>
            <w:vMerge w:val="restart"/>
          </w:tcPr>
          <w:p w14:paraId="768148DE" w14:textId="77777777" w:rsidR="006F3334" w:rsidRPr="00C64064" w:rsidRDefault="006F3334" w:rsidP="006F3334">
            <w:pPr>
              <w:spacing w:afterLines="60" w:after="144"/>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PRISMA identified academia as a key institution to independently promote PRISMA’s knowledge and lessons after the program ends. By incorporating learnings from industry, universities can provide students with tangible insights into real-world applications and challenges in agriculture while also addressing the pressing issue around the skills mismatch between university graduates and industry needs. There is also a need for more practical knowledge around inclusive businesses and climate-smart agricultural initiatives in academic programs, as these are emerging focus areas at universities. </w:t>
            </w:r>
          </w:p>
          <w:p w14:paraId="58D55193" w14:textId="456A0AA3" w:rsidR="006F3334" w:rsidRPr="00C64064" w:rsidRDefault="006F3334" w:rsidP="006F3334">
            <w:pPr>
              <w:spacing w:afterLines="60" w:after="144"/>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lastRenderedPageBreak/>
              <w:t xml:space="preserve">PRISMA capitalises on its existing relationships with UB and UNWM to archive and share </w:t>
            </w:r>
            <w:r w:rsidR="007D65BB" w:rsidRPr="00C64064">
              <w:rPr>
                <w:rFonts w:asciiTheme="majorHAnsi" w:eastAsia="Times New Roman" w:hAnsiTheme="majorHAnsi" w:cstheme="majorHAnsi"/>
                <w:color w:val="000000"/>
                <w:sz w:val="20"/>
                <w:szCs w:val="20"/>
              </w:rPr>
              <w:t>its</w:t>
            </w:r>
            <w:r w:rsidRPr="00C64064">
              <w:rPr>
                <w:rFonts w:asciiTheme="majorHAnsi" w:eastAsia="Times New Roman" w:hAnsiTheme="majorHAnsi" w:cstheme="majorHAnsi"/>
                <w:color w:val="000000"/>
                <w:sz w:val="20"/>
                <w:szCs w:val="20"/>
              </w:rPr>
              <w:t xml:space="preserve"> knowledge more widely and ensure that UB and UNWM enhance their educational materials and academic curricula by embedding PRISMA’s lessons on inclusive business and climate-smart agriculture</w:t>
            </w:r>
            <w:r w:rsidR="007D65BB" w:rsidRPr="00C64064">
              <w:rPr>
                <w:rFonts w:asciiTheme="majorHAnsi" w:eastAsia="Times New Roman" w:hAnsiTheme="majorHAnsi" w:cstheme="majorHAnsi"/>
                <w:color w:val="000000"/>
                <w:sz w:val="20"/>
                <w:szCs w:val="20"/>
              </w:rPr>
              <w:t>. Also,</w:t>
            </w:r>
            <w:r w:rsidRPr="00C64064">
              <w:rPr>
                <w:rFonts w:asciiTheme="majorHAnsi" w:eastAsia="Times New Roman" w:hAnsiTheme="majorHAnsi" w:cstheme="majorHAnsi"/>
                <w:color w:val="000000"/>
                <w:sz w:val="20"/>
                <w:szCs w:val="20"/>
              </w:rPr>
              <w:t xml:space="preserve"> </w:t>
            </w:r>
            <w:r w:rsidR="007D65BB" w:rsidRPr="00C64064">
              <w:rPr>
                <w:rFonts w:asciiTheme="majorHAnsi" w:eastAsia="Times New Roman" w:hAnsiTheme="majorHAnsi" w:cstheme="majorHAnsi"/>
                <w:color w:val="000000"/>
                <w:sz w:val="20"/>
                <w:szCs w:val="20"/>
              </w:rPr>
              <w:t xml:space="preserve">they can continue developing and implementing improved academic programs </w:t>
            </w:r>
            <w:r w:rsidRPr="00C64064">
              <w:rPr>
                <w:rFonts w:asciiTheme="majorHAnsi" w:eastAsia="Times New Roman" w:hAnsiTheme="majorHAnsi" w:cstheme="majorHAnsi"/>
                <w:color w:val="000000"/>
                <w:sz w:val="20"/>
                <w:szCs w:val="20"/>
              </w:rPr>
              <w:t>by having additional resources. PRISMA does this by:</w:t>
            </w:r>
          </w:p>
          <w:p w14:paraId="0AA76805" w14:textId="1026E65C" w:rsidR="006F3334" w:rsidRPr="00C64064" w:rsidRDefault="006F3334" w:rsidP="00D91EA1">
            <w:pPr>
              <w:numPr>
                <w:ilvl w:val="0"/>
                <w:numId w:val="24"/>
              </w:numPr>
              <w:spacing w:after="6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sharing its knowledge products (</w:t>
            </w:r>
            <w:r w:rsidR="002D465F" w:rsidRPr="00C64064">
              <w:rPr>
                <w:rFonts w:asciiTheme="majorHAnsi" w:eastAsia="Times New Roman" w:hAnsiTheme="majorHAnsi" w:cstheme="majorHAnsi"/>
                <w:color w:val="000000"/>
                <w:sz w:val="20"/>
                <w:szCs w:val="20"/>
              </w:rPr>
              <w:t xml:space="preserve">for example, </w:t>
            </w:r>
            <w:r w:rsidRPr="00C64064">
              <w:rPr>
                <w:rFonts w:asciiTheme="majorHAnsi" w:eastAsia="Times New Roman" w:hAnsiTheme="majorHAnsi" w:cstheme="majorHAnsi"/>
                <w:color w:val="000000"/>
                <w:sz w:val="20"/>
                <w:szCs w:val="20"/>
              </w:rPr>
              <w:t>learning briefs, market watch, market brief</w:t>
            </w:r>
            <w:r w:rsidR="00810064" w:rsidRPr="00C64064">
              <w:rPr>
                <w:rFonts w:asciiTheme="majorHAnsi" w:eastAsia="Times New Roman" w:hAnsiTheme="majorHAnsi" w:cstheme="majorHAnsi"/>
                <w:color w:val="000000"/>
                <w:sz w:val="20"/>
                <w:szCs w:val="20"/>
              </w:rPr>
              <w:t>s</w:t>
            </w:r>
            <w:r w:rsidRPr="00C64064">
              <w:rPr>
                <w:rFonts w:asciiTheme="majorHAnsi" w:eastAsia="Times New Roman" w:hAnsiTheme="majorHAnsi" w:cstheme="majorHAnsi"/>
                <w:color w:val="000000"/>
                <w:sz w:val="20"/>
                <w:szCs w:val="20"/>
              </w:rPr>
              <w:t xml:space="preserve">) through the online UB library </w:t>
            </w:r>
          </w:p>
          <w:p w14:paraId="534E45B5" w14:textId="0A5711F2" w:rsidR="006F3334" w:rsidRPr="00C64064" w:rsidRDefault="006F3334" w:rsidP="00D91EA1">
            <w:pPr>
              <w:numPr>
                <w:ilvl w:val="0"/>
                <w:numId w:val="24"/>
              </w:numPr>
              <w:spacing w:after="6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assisting UB in developing and testing climate-smart livestock protocols</w:t>
            </w:r>
            <w:r w:rsidR="007D65BB" w:rsidRPr="00C64064">
              <w:rPr>
                <w:rFonts w:asciiTheme="majorHAnsi" w:eastAsia="Times New Roman" w:hAnsiTheme="majorHAnsi" w:cstheme="majorHAnsi"/>
                <w:color w:val="000000"/>
                <w:sz w:val="20"/>
                <w:szCs w:val="20"/>
              </w:rPr>
              <w:t>,</w:t>
            </w:r>
            <w:r w:rsidRPr="00C64064">
              <w:rPr>
                <w:rFonts w:asciiTheme="majorHAnsi" w:eastAsia="Times New Roman" w:hAnsiTheme="majorHAnsi" w:cstheme="majorHAnsi"/>
                <w:color w:val="000000"/>
                <w:sz w:val="20"/>
                <w:szCs w:val="20"/>
              </w:rPr>
              <w:t xml:space="preserve"> which will be used as a benchmark when university researchers or students conduct future climate-smart trials</w:t>
            </w:r>
          </w:p>
          <w:p w14:paraId="7CD50BF0" w14:textId="77777777" w:rsidR="006F3334" w:rsidRPr="00C64064" w:rsidRDefault="006F3334" w:rsidP="00D91EA1">
            <w:pPr>
              <w:numPr>
                <w:ilvl w:val="0"/>
                <w:numId w:val="24"/>
              </w:numPr>
              <w:spacing w:after="6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assisting UNWM in revising its curriculum by enriching its entrepreneurship course with the MSD approach and insights from the inclusive business incubator program</w:t>
            </w:r>
          </w:p>
        </w:tc>
        <w:tc>
          <w:tcPr>
            <w:tcW w:w="1303" w:type="dxa"/>
            <w:vMerge w:val="restart"/>
          </w:tcPr>
          <w:p w14:paraId="1437F891" w14:textId="54D17193" w:rsidR="006F3334" w:rsidRPr="00C64064" w:rsidRDefault="006F3334" w:rsidP="006F3334">
            <w:pPr>
              <w:spacing w:after="120"/>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lastRenderedPageBreak/>
              <w:t>UB</w:t>
            </w:r>
          </w:p>
          <w:p w14:paraId="42478840" w14:textId="4A56250E" w:rsidR="006F3334" w:rsidRPr="00C64064" w:rsidRDefault="006F3334" w:rsidP="006F3334">
            <w:pPr>
              <w:spacing w:after="120"/>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UNWM</w:t>
            </w:r>
          </w:p>
        </w:tc>
        <w:tc>
          <w:tcPr>
            <w:tcW w:w="3598" w:type="dxa"/>
          </w:tcPr>
          <w:p w14:paraId="4D42D438" w14:textId="08796ABE" w:rsidR="006F3334" w:rsidRPr="00C64064" w:rsidRDefault="006F3334" w:rsidP="006F3334">
            <w:pPr>
              <w:spacing w:after="60"/>
              <w:rPr>
                <w:rFonts w:asciiTheme="majorHAnsi" w:eastAsia="Times New Roman" w:hAnsiTheme="majorHAnsi" w:cstheme="majorHAnsi"/>
                <w:b/>
                <w:color w:val="000000"/>
                <w:sz w:val="20"/>
                <w:szCs w:val="20"/>
              </w:rPr>
            </w:pPr>
            <w:r w:rsidRPr="00C64064">
              <w:rPr>
                <w:rFonts w:asciiTheme="majorHAnsi" w:eastAsia="Times New Roman" w:hAnsiTheme="majorHAnsi" w:cstheme="majorHAnsi"/>
                <w:b/>
                <w:color w:val="000000"/>
                <w:sz w:val="20"/>
                <w:szCs w:val="20"/>
              </w:rPr>
              <w:t>(a)</w:t>
            </w:r>
            <w:r w:rsidRPr="00C64064">
              <w:rPr>
                <w:rFonts w:asciiTheme="majorHAnsi" w:eastAsia="Times New Roman" w:hAnsiTheme="majorHAnsi" w:cstheme="majorHAnsi"/>
                <w:color w:val="000000"/>
                <w:sz w:val="20"/>
                <w:szCs w:val="20"/>
              </w:rPr>
              <w:t xml:space="preserve"> </w:t>
            </w:r>
            <w:r w:rsidRPr="00C64064">
              <w:rPr>
                <w:rFonts w:asciiTheme="majorHAnsi" w:eastAsia="Times New Roman" w:hAnsiTheme="majorHAnsi" w:cstheme="majorHAnsi"/>
                <w:b/>
                <w:color w:val="000000"/>
                <w:sz w:val="20"/>
                <w:szCs w:val="20"/>
              </w:rPr>
              <w:t xml:space="preserve">Ongoing: </w:t>
            </w:r>
            <w:r w:rsidRPr="00C64064">
              <w:rPr>
                <w:rFonts w:asciiTheme="majorHAnsi" w:eastAsia="Times New Roman" w:hAnsiTheme="majorHAnsi" w:cstheme="majorHAnsi"/>
                <w:color w:val="000000"/>
                <w:sz w:val="20"/>
                <w:szCs w:val="20"/>
              </w:rPr>
              <w:t xml:space="preserve">UB is in the process of storing and uploading PRISMA’s knowledge products into the university’s repository. </w:t>
            </w:r>
            <w:r w:rsidR="00893CEB" w:rsidRPr="00C64064">
              <w:rPr>
                <w:rFonts w:asciiTheme="majorHAnsi" w:eastAsia="Times New Roman" w:hAnsiTheme="majorHAnsi" w:cstheme="majorHAnsi"/>
                <w:color w:val="000000"/>
                <w:sz w:val="20"/>
                <w:szCs w:val="20"/>
              </w:rPr>
              <w:t>A</w:t>
            </w:r>
            <w:r w:rsidRPr="00C64064">
              <w:rPr>
                <w:rFonts w:asciiTheme="majorHAnsi" w:eastAsia="Times New Roman" w:hAnsiTheme="majorHAnsi" w:cstheme="majorHAnsi"/>
                <w:color w:val="000000"/>
                <w:sz w:val="20"/>
                <w:szCs w:val="20"/>
              </w:rPr>
              <w:t xml:space="preserve"> launching event </w:t>
            </w:r>
            <w:r w:rsidR="00893CEB" w:rsidRPr="00C64064">
              <w:rPr>
                <w:rFonts w:asciiTheme="majorHAnsi" w:eastAsia="Times New Roman" w:hAnsiTheme="majorHAnsi" w:cstheme="majorHAnsi"/>
                <w:color w:val="000000"/>
                <w:sz w:val="20"/>
                <w:szCs w:val="20"/>
              </w:rPr>
              <w:t xml:space="preserve">will be held </w:t>
            </w:r>
            <w:r w:rsidR="00AE4B68">
              <w:rPr>
                <w:rFonts w:asciiTheme="majorHAnsi" w:eastAsia="Times New Roman" w:hAnsiTheme="majorHAnsi" w:cstheme="majorHAnsi"/>
                <w:color w:val="000000"/>
                <w:sz w:val="20"/>
                <w:szCs w:val="20"/>
              </w:rPr>
              <w:t>after the approval from DFAT and Bappenas</w:t>
            </w:r>
            <w:r w:rsidRPr="00C64064">
              <w:rPr>
                <w:rFonts w:asciiTheme="majorHAnsi" w:eastAsia="Times New Roman" w:hAnsiTheme="majorHAnsi" w:cstheme="majorHAnsi"/>
                <w:color w:val="000000"/>
                <w:sz w:val="20"/>
                <w:szCs w:val="20"/>
              </w:rPr>
              <w:t>.</w:t>
            </w:r>
          </w:p>
        </w:tc>
        <w:tc>
          <w:tcPr>
            <w:tcW w:w="3817" w:type="dxa"/>
          </w:tcPr>
          <w:p w14:paraId="17D44170" w14:textId="77777777"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In April 2024, UB proposed using its website to disseminate PRISMA's knowledge products for students and the general public.</w:t>
            </w:r>
          </w:p>
          <w:p w14:paraId="44DF180A" w14:textId="3F6CD59B" w:rsidR="006F3334" w:rsidRPr="00C64064" w:rsidRDefault="006F3334" w:rsidP="00D91EA1">
            <w:pPr>
              <w:numPr>
                <w:ilvl w:val="0"/>
                <w:numId w:val="18"/>
              </w:numPr>
              <w:tabs>
                <w:tab w:val="left" w:pos="252"/>
              </w:tabs>
              <w:ind w:left="259" w:hanging="187"/>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The UB library team is now reviewing PRISMA’s knowledge products. </w:t>
            </w:r>
            <w:r w:rsidR="005C0D4E" w:rsidRPr="00C64064">
              <w:rPr>
                <w:rFonts w:asciiTheme="majorHAnsi" w:eastAsia="Times New Roman" w:hAnsiTheme="majorHAnsi" w:cstheme="majorHAnsi"/>
                <w:color w:val="000000"/>
                <w:sz w:val="20"/>
                <w:szCs w:val="20"/>
              </w:rPr>
              <w:t>It</w:t>
            </w:r>
            <w:r w:rsidRPr="00C64064">
              <w:rPr>
                <w:rFonts w:asciiTheme="majorHAnsi" w:eastAsia="Times New Roman" w:hAnsiTheme="majorHAnsi" w:cstheme="majorHAnsi"/>
                <w:color w:val="000000"/>
                <w:sz w:val="20"/>
                <w:szCs w:val="20"/>
              </w:rPr>
              <w:t xml:space="preserve"> will generate metadata for these files to optimise accessibility for students from various courses/subjects.</w:t>
            </w:r>
          </w:p>
        </w:tc>
      </w:tr>
      <w:tr w:rsidR="00040D3F" w:rsidRPr="00C64064" w14:paraId="00D44E45" w14:textId="77777777" w:rsidTr="7D2E47DB">
        <w:trPr>
          <w:trHeight w:val="872"/>
        </w:trPr>
        <w:tc>
          <w:tcPr>
            <w:tcW w:w="2064" w:type="dxa"/>
            <w:vMerge/>
          </w:tcPr>
          <w:p w14:paraId="40C91C7E" w14:textId="77777777" w:rsidR="006F3334" w:rsidRPr="00C64064" w:rsidRDefault="006F3334" w:rsidP="006F3334">
            <w:pPr>
              <w:spacing w:after="60"/>
              <w:rPr>
                <w:rFonts w:asciiTheme="majorHAnsi" w:eastAsia="Times New Roman" w:hAnsiTheme="majorHAnsi" w:cstheme="majorHAnsi"/>
                <w:b/>
                <w:color w:val="000000"/>
                <w:sz w:val="20"/>
                <w:szCs w:val="20"/>
              </w:rPr>
            </w:pPr>
          </w:p>
        </w:tc>
        <w:tc>
          <w:tcPr>
            <w:tcW w:w="3742" w:type="dxa"/>
            <w:vMerge/>
          </w:tcPr>
          <w:p w14:paraId="7E56D660"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1303" w:type="dxa"/>
            <w:vMerge/>
          </w:tcPr>
          <w:p w14:paraId="646B2173"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3598" w:type="dxa"/>
          </w:tcPr>
          <w:p w14:paraId="7CEF2D4A" w14:textId="4D4B833C" w:rsidR="006F3334" w:rsidRPr="00C64064" w:rsidRDefault="006F3334" w:rsidP="006F3334">
            <w:pPr>
              <w:spacing w:after="60"/>
              <w:rPr>
                <w:rFonts w:asciiTheme="majorHAnsi" w:eastAsia="Times New Roman" w:hAnsiTheme="majorHAnsi" w:cstheme="majorHAnsi"/>
                <w:color w:val="000000"/>
                <w:sz w:val="20"/>
                <w:szCs w:val="20"/>
              </w:rPr>
            </w:pPr>
            <w:r w:rsidRPr="00C64064">
              <w:rPr>
                <w:rFonts w:asciiTheme="majorHAnsi" w:eastAsia="Times New Roman" w:hAnsiTheme="majorHAnsi" w:cstheme="majorHAnsi"/>
                <w:b/>
                <w:color w:val="000000"/>
                <w:sz w:val="20"/>
                <w:szCs w:val="20"/>
              </w:rPr>
              <w:t>(b)</w:t>
            </w:r>
            <w:r w:rsidRPr="00C64064">
              <w:rPr>
                <w:rFonts w:asciiTheme="majorHAnsi" w:eastAsia="Times New Roman" w:hAnsiTheme="majorHAnsi" w:cstheme="majorHAnsi"/>
                <w:color w:val="000000"/>
                <w:sz w:val="20"/>
                <w:szCs w:val="20"/>
              </w:rPr>
              <w:t xml:space="preserve"> </w:t>
            </w:r>
            <w:r w:rsidRPr="00C64064">
              <w:rPr>
                <w:rFonts w:asciiTheme="majorHAnsi" w:eastAsia="Times New Roman" w:hAnsiTheme="majorHAnsi" w:cstheme="majorHAnsi"/>
                <w:b/>
                <w:color w:val="000000"/>
                <w:sz w:val="20"/>
                <w:szCs w:val="20"/>
              </w:rPr>
              <w:t xml:space="preserve">Ongoing: </w:t>
            </w:r>
          </w:p>
          <w:p w14:paraId="7EA95B07" w14:textId="472C7398"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The closed-house pen trial was completed while the </w:t>
            </w:r>
            <w:r w:rsidR="00E67FA9" w:rsidRPr="00C64064">
              <w:rPr>
                <w:rFonts w:asciiTheme="majorHAnsi" w:eastAsia="Times New Roman" w:hAnsiTheme="majorHAnsi" w:cstheme="majorHAnsi"/>
                <w:color w:val="000000"/>
                <w:sz w:val="20"/>
                <w:szCs w:val="20"/>
              </w:rPr>
              <w:t>e</w:t>
            </w:r>
            <w:r w:rsidRPr="00C64064">
              <w:rPr>
                <w:rFonts w:asciiTheme="majorHAnsi" w:eastAsia="Times New Roman" w:hAnsiTheme="majorHAnsi" w:cstheme="majorHAnsi"/>
                <w:color w:val="000000"/>
                <w:sz w:val="20"/>
                <w:szCs w:val="20"/>
              </w:rPr>
              <w:t>mission</w:t>
            </w:r>
            <w:r w:rsidR="00E67FA9" w:rsidRPr="00C64064">
              <w:rPr>
                <w:rFonts w:asciiTheme="majorHAnsi" w:eastAsia="Times New Roman" w:hAnsiTheme="majorHAnsi" w:cstheme="majorHAnsi"/>
                <w:color w:val="000000"/>
                <w:sz w:val="20"/>
                <w:szCs w:val="20"/>
              </w:rPr>
              <w:t xml:space="preserve"> c</w:t>
            </w:r>
            <w:r w:rsidRPr="00C64064">
              <w:rPr>
                <w:rFonts w:asciiTheme="majorHAnsi" w:eastAsia="Times New Roman" w:hAnsiTheme="majorHAnsi" w:cstheme="majorHAnsi"/>
                <w:color w:val="000000"/>
                <w:sz w:val="20"/>
                <w:szCs w:val="20"/>
              </w:rPr>
              <w:t xml:space="preserve">ontrol </w:t>
            </w:r>
            <w:r w:rsidR="00E67FA9" w:rsidRPr="00C64064">
              <w:rPr>
                <w:rFonts w:asciiTheme="majorHAnsi" w:eastAsia="Times New Roman" w:hAnsiTheme="majorHAnsi" w:cstheme="majorHAnsi"/>
                <w:color w:val="000000"/>
                <w:sz w:val="20"/>
                <w:szCs w:val="20"/>
              </w:rPr>
              <w:t>b</w:t>
            </w:r>
            <w:r w:rsidRPr="00C64064">
              <w:rPr>
                <w:rFonts w:asciiTheme="majorHAnsi" w:eastAsia="Times New Roman" w:hAnsiTheme="majorHAnsi" w:cstheme="majorHAnsi"/>
                <w:color w:val="000000"/>
                <w:sz w:val="20"/>
                <w:szCs w:val="20"/>
              </w:rPr>
              <w:t xml:space="preserve">locks (ECB) trials are ongoing. The results from both trials are feeding the development of protocols for climate-smart trials, which will be completed in July 2024. </w:t>
            </w:r>
          </w:p>
          <w:p w14:paraId="42161228" w14:textId="77777777"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b/>
                <w:color w:val="000000"/>
                <w:sz w:val="20"/>
                <w:szCs w:val="20"/>
              </w:rPr>
            </w:pPr>
            <w:r w:rsidRPr="00C64064">
              <w:rPr>
                <w:rFonts w:asciiTheme="majorHAnsi" w:eastAsia="Times New Roman" w:hAnsiTheme="majorHAnsi" w:cstheme="majorHAnsi"/>
                <w:color w:val="000000"/>
                <w:sz w:val="20"/>
                <w:szCs w:val="20"/>
              </w:rPr>
              <w:lastRenderedPageBreak/>
              <w:t>UB is preparing a workshop for August 2024 where its lecturers and researchers will discuss how to integrate the protocols and climate-smart practices into UB’s classes and research.</w:t>
            </w:r>
            <w:r w:rsidRPr="00C64064">
              <w:rPr>
                <w:rFonts w:asciiTheme="majorHAnsi" w:eastAsia="Times New Roman" w:hAnsiTheme="majorHAnsi" w:cstheme="majorHAnsi"/>
                <w:b/>
                <w:color w:val="000000"/>
                <w:sz w:val="20"/>
                <w:szCs w:val="20"/>
              </w:rPr>
              <w:t xml:space="preserve"> </w:t>
            </w:r>
          </w:p>
        </w:tc>
        <w:tc>
          <w:tcPr>
            <w:tcW w:w="3817" w:type="dxa"/>
          </w:tcPr>
          <w:p w14:paraId="63C350AF" w14:textId="77777777"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lastRenderedPageBreak/>
              <w:t>UB recognised the benefits of integrating PRISMA's lessons learned and knowledge products into its academic programs.</w:t>
            </w:r>
          </w:p>
          <w:p w14:paraId="56FB46B4" w14:textId="77777777"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Professor Hendrawan from UB was hired to conduct the ECB trials with Agcotech. He is harvesting lessons learned from the ECB trials and the closed-house pen technology trial </w:t>
            </w:r>
            <w:r w:rsidRPr="00C64064">
              <w:rPr>
                <w:rFonts w:asciiTheme="majorHAnsi" w:eastAsia="Times New Roman" w:hAnsiTheme="majorHAnsi" w:cstheme="majorHAnsi"/>
                <w:color w:val="000000"/>
                <w:sz w:val="20"/>
                <w:szCs w:val="20"/>
              </w:rPr>
              <w:lastRenderedPageBreak/>
              <w:t>with PT Medion to finalise protocols for climate-smart trials by July 2024.</w:t>
            </w:r>
          </w:p>
        </w:tc>
      </w:tr>
      <w:tr w:rsidR="00040D3F" w:rsidRPr="00C64064" w14:paraId="708A01FC" w14:textId="77777777" w:rsidTr="7D2E47DB">
        <w:trPr>
          <w:trHeight w:val="350"/>
        </w:trPr>
        <w:tc>
          <w:tcPr>
            <w:tcW w:w="2064" w:type="dxa"/>
            <w:vMerge/>
          </w:tcPr>
          <w:p w14:paraId="6BCB6F9A" w14:textId="77777777" w:rsidR="006F3334" w:rsidRPr="00C64064" w:rsidRDefault="006F3334" w:rsidP="006F3334">
            <w:pPr>
              <w:spacing w:after="60"/>
              <w:rPr>
                <w:rFonts w:asciiTheme="majorHAnsi" w:eastAsia="Times New Roman" w:hAnsiTheme="majorHAnsi" w:cstheme="majorHAnsi"/>
                <w:b/>
                <w:color w:val="000000"/>
                <w:sz w:val="20"/>
                <w:szCs w:val="20"/>
              </w:rPr>
            </w:pPr>
          </w:p>
        </w:tc>
        <w:tc>
          <w:tcPr>
            <w:tcW w:w="3742" w:type="dxa"/>
            <w:vMerge/>
          </w:tcPr>
          <w:p w14:paraId="76854C2C"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1303" w:type="dxa"/>
            <w:vMerge/>
          </w:tcPr>
          <w:p w14:paraId="72C828A5" w14:textId="77777777" w:rsidR="006F3334" w:rsidRPr="00C64064" w:rsidRDefault="006F3334" w:rsidP="006F3334">
            <w:pPr>
              <w:spacing w:after="60"/>
              <w:rPr>
                <w:rFonts w:asciiTheme="majorHAnsi" w:eastAsia="Times New Roman" w:hAnsiTheme="majorHAnsi" w:cstheme="majorHAnsi"/>
                <w:color w:val="000000"/>
                <w:sz w:val="20"/>
                <w:szCs w:val="20"/>
              </w:rPr>
            </w:pPr>
          </w:p>
        </w:tc>
        <w:tc>
          <w:tcPr>
            <w:tcW w:w="3598" w:type="dxa"/>
          </w:tcPr>
          <w:p w14:paraId="03CC3B1B" w14:textId="0F5B75FF" w:rsidR="006F3334" w:rsidRPr="00C64064" w:rsidRDefault="006F3334" w:rsidP="006F3334">
            <w:pPr>
              <w:spacing w:after="60"/>
              <w:rPr>
                <w:rFonts w:asciiTheme="majorHAnsi" w:eastAsia="Times New Roman" w:hAnsiTheme="majorHAnsi" w:cstheme="majorHAnsi"/>
                <w:color w:val="000000"/>
                <w:sz w:val="20"/>
                <w:szCs w:val="20"/>
              </w:rPr>
            </w:pPr>
            <w:r w:rsidRPr="00C64064">
              <w:rPr>
                <w:rFonts w:asciiTheme="majorHAnsi" w:eastAsia="Times New Roman" w:hAnsiTheme="majorHAnsi" w:cstheme="majorHAnsi"/>
                <w:b/>
                <w:color w:val="000000"/>
                <w:sz w:val="20"/>
                <w:szCs w:val="20"/>
              </w:rPr>
              <w:t>(c)</w:t>
            </w:r>
            <w:r w:rsidRPr="00C64064">
              <w:rPr>
                <w:rFonts w:asciiTheme="majorHAnsi" w:eastAsia="Times New Roman" w:hAnsiTheme="majorHAnsi" w:cstheme="majorHAnsi"/>
                <w:color w:val="000000"/>
                <w:sz w:val="20"/>
                <w:szCs w:val="20"/>
              </w:rPr>
              <w:t xml:space="preserve"> </w:t>
            </w:r>
            <w:r w:rsidRPr="00C64064">
              <w:rPr>
                <w:rFonts w:asciiTheme="majorHAnsi" w:eastAsia="Times New Roman" w:hAnsiTheme="majorHAnsi" w:cstheme="majorHAnsi"/>
                <w:b/>
                <w:color w:val="000000"/>
                <w:sz w:val="20"/>
                <w:szCs w:val="20"/>
              </w:rPr>
              <w:t xml:space="preserve">Ongoing: </w:t>
            </w:r>
          </w:p>
          <w:p w14:paraId="4D042358" w14:textId="04E110FB"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The revised curriculum will be completed in July 2024 through a series of workshops, focus group discussion</w:t>
            </w:r>
            <w:r w:rsidR="00810064" w:rsidRPr="00C64064">
              <w:rPr>
                <w:rFonts w:asciiTheme="majorHAnsi" w:eastAsia="Times New Roman" w:hAnsiTheme="majorHAnsi" w:cstheme="majorHAnsi"/>
                <w:color w:val="000000"/>
                <w:sz w:val="20"/>
                <w:szCs w:val="20"/>
              </w:rPr>
              <w:t>s</w:t>
            </w:r>
            <w:r w:rsidRPr="00C64064">
              <w:rPr>
                <w:rFonts w:asciiTheme="majorHAnsi" w:eastAsia="Times New Roman" w:hAnsiTheme="majorHAnsi" w:cstheme="majorHAnsi"/>
                <w:color w:val="000000"/>
                <w:sz w:val="20"/>
                <w:szCs w:val="20"/>
              </w:rPr>
              <w:t>, and a trial run with students.</w:t>
            </w:r>
          </w:p>
          <w:p w14:paraId="32CCCB13" w14:textId="6DC64350"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The course will be officially launched in August 2024 and will tak</w:t>
            </w:r>
            <w:r w:rsidR="004A5338" w:rsidRPr="00C64064">
              <w:rPr>
                <w:rFonts w:asciiTheme="majorHAnsi" w:eastAsia="Times New Roman" w:hAnsiTheme="majorHAnsi" w:cstheme="majorHAnsi"/>
                <w:color w:val="000000"/>
                <w:sz w:val="20"/>
                <w:szCs w:val="20"/>
              </w:rPr>
              <w:t>e</w:t>
            </w:r>
            <w:r w:rsidRPr="00C64064">
              <w:rPr>
                <w:rFonts w:asciiTheme="majorHAnsi" w:eastAsia="Times New Roman" w:hAnsiTheme="majorHAnsi" w:cstheme="majorHAnsi"/>
                <w:color w:val="000000"/>
                <w:sz w:val="20"/>
                <w:szCs w:val="20"/>
              </w:rPr>
              <w:t xml:space="preserve"> in its first cohort of students in the upcoming 2024/2025 academic year</w:t>
            </w:r>
            <w:r w:rsidR="00810064" w:rsidRPr="00C64064">
              <w:rPr>
                <w:rFonts w:asciiTheme="majorHAnsi" w:eastAsia="Times New Roman" w:hAnsiTheme="majorHAnsi" w:cstheme="majorHAnsi"/>
                <w:color w:val="000000"/>
                <w:sz w:val="20"/>
                <w:szCs w:val="20"/>
              </w:rPr>
              <w:t>.</w:t>
            </w:r>
          </w:p>
        </w:tc>
        <w:tc>
          <w:tcPr>
            <w:tcW w:w="3817" w:type="dxa"/>
          </w:tcPr>
          <w:p w14:paraId="75976527" w14:textId="77777777"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UNWM has also recognised the benefits of integrating PRISMA's lessons learned and knowledge products into its academic programs.</w:t>
            </w:r>
          </w:p>
          <w:p w14:paraId="4C106D6C" w14:textId="77777777"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UNWM</w:t>
            </w:r>
            <w:r w:rsidRPr="00C64064">
              <w:rPr>
                <w:rFonts w:asciiTheme="majorHAnsi" w:eastAsia="Times New Roman" w:hAnsiTheme="majorHAnsi" w:cstheme="majorHAnsi"/>
                <w:b/>
                <w:color w:val="000000"/>
                <w:sz w:val="20"/>
                <w:szCs w:val="20"/>
              </w:rPr>
              <w:t xml:space="preserve"> </w:t>
            </w:r>
            <w:r w:rsidRPr="00C64064">
              <w:rPr>
                <w:rFonts w:asciiTheme="majorHAnsi" w:eastAsia="Times New Roman" w:hAnsiTheme="majorHAnsi" w:cstheme="majorHAnsi"/>
                <w:color w:val="000000"/>
                <w:sz w:val="20"/>
                <w:szCs w:val="20"/>
              </w:rPr>
              <w:t>has formed a team to extract insights</w:t>
            </w:r>
            <w:r w:rsidRPr="00C64064">
              <w:rPr>
                <w:rFonts w:asciiTheme="majorHAnsi" w:eastAsia="Times New Roman" w:hAnsiTheme="majorHAnsi" w:cstheme="majorHAnsi"/>
                <w:b/>
                <w:color w:val="000000"/>
                <w:sz w:val="20"/>
                <w:szCs w:val="20"/>
              </w:rPr>
              <w:t xml:space="preserve"> </w:t>
            </w:r>
            <w:r w:rsidRPr="00C64064">
              <w:rPr>
                <w:rFonts w:asciiTheme="majorHAnsi" w:eastAsia="Times New Roman" w:hAnsiTheme="majorHAnsi" w:cstheme="majorHAnsi"/>
                <w:color w:val="000000"/>
                <w:sz w:val="20"/>
                <w:szCs w:val="20"/>
              </w:rPr>
              <w:t>from PRISMA (including the UNWM business incubator program, market assessments, and digital marketing) and utilise them to develop an agri-tech business course and ensure alignment with curriculum standards at the university.</w:t>
            </w:r>
          </w:p>
          <w:p w14:paraId="2D42A393" w14:textId="77777777" w:rsidR="006F3334" w:rsidRPr="00C64064" w:rsidRDefault="006F3334" w:rsidP="00D91EA1">
            <w:pPr>
              <w:numPr>
                <w:ilvl w:val="0"/>
                <w:numId w:val="18"/>
              </w:numPr>
              <w:tabs>
                <w:tab w:val="left" w:pos="252"/>
              </w:tabs>
              <w:spacing w:afterLines="60" w:after="144"/>
              <w:ind w:left="252" w:hanging="180"/>
              <w:contextualSpacing/>
              <w:rPr>
                <w:rFonts w:asciiTheme="majorHAnsi" w:eastAsia="Times New Roman" w:hAnsiTheme="majorHAnsi" w:cstheme="majorHAnsi"/>
                <w:color w:val="000000"/>
                <w:sz w:val="20"/>
                <w:szCs w:val="20"/>
              </w:rPr>
            </w:pPr>
            <w:r w:rsidRPr="00C64064">
              <w:rPr>
                <w:rFonts w:asciiTheme="majorHAnsi" w:eastAsia="Times New Roman" w:hAnsiTheme="majorHAnsi" w:cstheme="majorHAnsi"/>
                <w:color w:val="000000"/>
                <w:sz w:val="20"/>
                <w:szCs w:val="20"/>
              </w:rPr>
              <w:t xml:space="preserve">UNWM conducted a curriculum workshop in June 2024 to inform the development of the curriculum and ensure alignment with the government’s Outcome Based Education (OBE) standards. The workshop involved perspectives from various stakeholders, including government and agribusinesses. </w:t>
            </w:r>
          </w:p>
        </w:tc>
      </w:tr>
    </w:tbl>
    <w:p w14:paraId="797B1A9A" w14:textId="77777777" w:rsidR="006F3334" w:rsidRPr="00C64064" w:rsidRDefault="006F3334" w:rsidP="006F3334">
      <w:pPr>
        <w:spacing w:after="60" w:line="240" w:lineRule="auto"/>
        <w:rPr>
          <w:rFonts w:asciiTheme="majorHAnsi" w:eastAsia="Times New Roman" w:hAnsiTheme="majorHAnsi" w:cstheme="majorHAnsi"/>
          <w:color w:val="000000"/>
          <w:sz w:val="20"/>
          <w:szCs w:val="20"/>
          <w:lang w:val="en-AU"/>
        </w:rPr>
      </w:pPr>
    </w:p>
    <w:p w14:paraId="02B8821B" w14:textId="77777777" w:rsidR="006F3334" w:rsidRPr="00C64064" w:rsidRDefault="006F3334" w:rsidP="006F3334">
      <w:pPr>
        <w:spacing w:after="60" w:line="240" w:lineRule="auto"/>
        <w:rPr>
          <w:rFonts w:asciiTheme="majorHAnsi" w:eastAsia="Times New Roman" w:hAnsiTheme="majorHAnsi" w:cstheme="majorHAnsi"/>
          <w:color w:val="000000"/>
          <w:sz w:val="16"/>
          <w:szCs w:val="16"/>
          <w:lang w:val="en-AU"/>
        </w:rPr>
      </w:pPr>
    </w:p>
    <w:p w14:paraId="6AF9FB85" w14:textId="77777777" w:rsidR="00E100E3" w:rsidRPr="00C64064" w:rsidRDefault="00E100E3">
      <w:pPr>
        <w:rPr>
          <w:rFonts w:asciiTheme="majorHAnsi" w:hAnsiTheme="majorHAnsi" w:cstheme="majorHAnsi"/>
          <w:lang w:val="en-AU"/>
        </w:rPr>
      </w:pPr>
    </w:p>
    <w:p w14:paraId="0EC43857" w14:textId="77777777" w:rsidR="003861E3" w:rsidRPr="00C64064" w:rsidRDefault="003861E3" w:rsidP="00FE583C">
      <w:pPr>
        <w:rPr>
          <w:rFonts w:asciiTheme="majorHAnsi" w:hAnsiTheme="majorHAnsi" w:cstheme="majorHAnsi"/>
        </w:rPr>
        <w:sectPr w:rsidR="003861E3" w:rsidRPr="00C64064" w:rsidSect="001670A9">
          <w:pgSz w:w="16838" w:h="11906" w:orient="landscape"/>
          <w:pgMar w:top="1334" w:right="1135" w:bottom="1196" w:left="1276" w:header="576" w:footer="0" w:gutter="0"/>
          <w:cols w:space="708"/>
          <w:docGrid w:linePitch="360"/>
        </w:sectPr>
      </w:pPr>
    </w:p>
    <w:p w14:paraId="28A846CA" w14:textId="017065E6" w:rsidR="00D343A6" w:rsidRPr="00644193" w:rsidRDefault="00D343A6" w:rsidP="00644193">
      <w:pPr>
        <w:pStyle w:val="Head2"/>
      </w:pPr>
      <w:bookmarkStart w:id="983" w:name="_Toc172823306"/>
      <w:bookmarkStart w:id="984" w:name="_Toc180155196"/>
      <w:r w:rsidRPr="00644193">
        <w:lastRenderedPageBreak/>
        <w:t xml:space="preserve">Annex 3: Detailed </w:t>
      </w:r>
      <w:r w:rsidR="00810064" w:rsidRPr="00644193">
        <w:t>K</w:t>
      </w:r>
      <w:r w:rsidRPr="00644193">
        <w:t xml:space="preserve">ey </w:t>
      </w:r>
      <w:r w:rsidR="00810064" w:rsidRPr="00644193">
        <w:t>P</w:t>
      </w:r>
      <w:r w:rsidRPr="00644193">
        <w:t xml:space="preserve">erformance </w:t>
      </w:r>
      <w:r w:rsidR="00810064" w:rsidRPr="00644193">
        <w:t>I</w:t>
      </w:r>
      <w:r w:rsidRPr="00644193">
        <w:t>ndicators</w:t>
      </w:r>
      <w:bookmarkEnd w:id="983"/>
      <w:bookmarkEnd w:id="984"/>
      <w:r w:rsidRPr="00644193">
        <w:tab/>
      </w:r>
    </w:p>
    <w:p w14:paraId="1897E64E" w14:textId="75336083" w:rsidR="00B9289D" w:rsidRPr="00C64064" w:rsidRDefault="00B9289D" w:rsidP="00B03C3A">
      <w:pPr>
        <w:pStyle w:val="Head3"/>
      </w:pPr>
      <w:bookmarkStart w:id="985" w:name="_Toc173319165"/>
      <w:bookmarkStart w:id="986" w:name="_Toc179192334"/>
      <w:bookmarkStart w:id="987" w:name="_Toc180155197"/>
      <w:r w:rsidRPr="00C64064">
        <w:rPr>
          <w:rStyle w:val="normaltextrun"/>
          <w:rFonts w:cstheme="majorHAnsi"/>
        </w:rPr>
        <w:t>KPI 1 - Outreach</w:t>
      </w:r>
      <w:bookmarkEnd w:id="985"/>
      <w:bookmarkEnd w:id="986"/>
      <w:bookmarkEnd w:id="987"/>
      <w:r w:rsidRPr="00C64064">
        <w:rPr>
          <w:rStyle w:val="eop"/>
          <w:rFonts w:cstheme="majorHAnsi"/>
        </w:rPr>
        <w:t> </w:t>
      </w:r>
    </w:p>
    <w:p w14:paraId="0629D125" w14:textId="53B307E8" w:rsidR="00C07794" w:rsidRPr="00C64064" w:rsidRDefault="002924F7" w:rsidP="00C07794">
      <w:pPr>
        <w:spacing w:after="0" w:line="240" w:lineRule="auto"/>
        <w:jc w:val="both"/>
        <w:textAlignment w:val="baseline"/>
        <w:rPr>
          <w:rFonts w:asciiTheme="majorHAnsi" w:eastAsia="Times New Roman" w:hAnsiTheme="majorHAnsi" w:cstheme="majorHAnsi"/>
          <w:lang w:val="en-US" w:eastAsia="en-US"/>
        </w:rPr>
      </w:pPr>
      <w:r w:rsidRPr="00C64064">
        <w:rPr>
          <w:rFonts w:asciiTheme="majorHAnsi" w:eastAsia="Times New Roman" w:hAnsiTheme="majorHAnsi" w:cstheme="majorHAnsi"/>
          <w:lang w:val="en-AU" w:eastAsia="en-US"/>
        </w:rPr>
        <w:t>The mechanisation, beef, mungbean, soil treatment, dairy, vegetable, rice, and pig sectors</w:t>
      </w:r>
      <w:r w:rsidRPr="00C64064">
        <w:rPr>
          <w:rFonts w:asciiTheme="majorHAnsi" w:eastAsia="Times New Roman" w:hAnsiTheme="majorHAnsi" w:cstheme="majorHAnsi"/>
          <w:lang w:val="en-ID" w:eastAsia="en-US"/>
        </w:rPr>
        <w:t xml:space="preserve"> generated o</w:t>
      </w:r>
      <w:r w:rsidR="00D23F41" w:rsidRPr="00C64064">
        <w:rPr>
          <w:rFonts w:asciiTheme="majorHAnsi" w:eastAsia="Times New Roman" w:hAnsiTheme="majorHAnsi" w:cstheme="majorHAnsi"/>
          <w:lang w:val="en-AU" w:eastAsia="en-US"/>
        </w:rPr>
        <w:t xml:space="preserve">utreach </w:t>
      </w:r>
      <w:r w:rsidR="00C07794" w:rsidRPr="00C64064">
        <w:rPr>
          <w:rFonts w:asciiTheme="majorHAnsi" w:eastAsia="Times New Roman" w:hAnsiTheme="majorHAnsi" w:cstheme="majorHAnsi"/>
          <w:lang w:val="en-AU" w:eastAsia="en-US"/>
        </w:rPr>
        <w:t>benefit</w:t>
      </w:r>
      <w:r w:rsidR="00D23F41" w:rsidRPr="00C64064">
        <w:rPr>
          <w:rFonts w:asciiTheme="majorHAnsi" w:eastAsia="Times New Roman" w:hAnsiTheme="majorHAnsi" w:cstheme="majorHAnsi"/>
          <w:lang w:val="en-AU" w:eastAsia="en-US"/>
        </w:rPr>
        <w:t>s</w:t>
      </w:r>
      <w:r w:rsidR="00C07794" w:rsidRPr="00C64064">
        <w:rPr>
          <w:rFonts w:asciiTheme="majorHAnsi" w:eastAsia="Times New Roman" w:hAnsiTheme="majorHAnsi" w:cstheme="majorHAnsi"/>
          <w:lang w:val="en-AU" w:eastAsia="en-US"/>
        </w:rPr>
        <w:t xml:space="preserve"> this semester. The following table highlights the most s</w:t>
      </w:r>
      <w:r w:rsidRPr="00C64064">
        <w:rPr>
          <w:rFonts w:asciiTheme="majorHAnsi" w:eastAsia="Times New Roman" w:hAnsiTheme="majorHAnsi" w:cstheme="majorHAnsi"/>
          <w:lang w:val="en-AU" w:eastAsia="en-US"/>
        </w:rPr>
        <w:t>ignificant</w:t>
      </w:r>
      <w:r w:rsidR="00C07794" w:rsidRPr="00C64064">
        <w:rPr>
          <w:rFonts w:asciiTheme="majorHAnsi" w:eastAsia="Times New Roman" w:hAnsiTheme="majorHAnsi" w:cstheme="majorHAnsi"/>
          <w:lang w:val="en-AU" w:eastAsia="en-US"/>
        </w:rPr>
        <w:t xml:space="preserve"> outreach contributions during th</w:t>
      </w:r>
      <w:r w:rsidRPr="00C64064">
        <w:rPr>
          <w:rFonts w:asciiTheme="majorHAnsi" w:eastAsia="Times New Roman" w:hAnsiTheme="majorHAnsi" w:cstheme="majorHAnsi"/>
          <w:lang w:val="en-AU" w:eastAsia="en-US"/>
        </w:rPr>
        <w:t>e</w:t>
      </w:r>
      <w:r w:rsidR="00C07794" w:rsidRPr="00C64064">
        <w:rPr>
          <w:rFonts w:asciiTheme="majorHAnsi" w:eastAsia="Times New Roman" w:hAnsiTheme="majorHAnsi" w:cstheme="majorHAnsi"/>
          <w:lang w:val="en-AU" w:eastAsia="en-US"/>
        </w:rPr>
        <w:t xml:space="preserve"> semester (all outreach figures here are overlap</w:t>
      </w:r>
      <w:r w:rsidRPr="00C64064">
        <w:rPr>
          <w:rFonts w:asciiTheme="majorHAnsi" w:eastAsia="Times New Roman" w:hAnsiTheme="majorHAnsi" w:cstheme="majorHAnsi"/>
          <w:lang w:val="en-AU" w:eastAsia="en-US"/>
        </w:rPr>
        <w:t>ped and</w:t>
      </w:r>
      <w:r w:rsidR="00C07794" w:rsidRPr="00C64064">
        <w:rPr>
          <w:rFonts w:asciiTheme="majorHAnsi" w:eastAsia="Times New Roman" w:hAnsiTheme="majorHAnsi" w:cstheme="majorHAnsi"/>
          <w:lang w:val="en-AU" w:eastAsia="en-US"/>
        </w:rPr>
        <w:t xml:space="preserve"> unadjusted):</w:t>
      </w:r>
      <w:r w:rsidR="00C07794" w:rsidRPr="00C64064">
        <w:rPr>
          <w:rFonts w:asciiTheme="majorHAnsi" w:eastAsia="Times New Roman" w:hAnsiTheme="majorHAnsi" w:cstheme="majorHAnsi"/>
          <w:lang w:val="en-US" w:eastAsia="en-US"/>
        </w:rPr>
        <w:t> </w:t>
      </w:r>
    </w:p>
    <w:p w14:paraId="16433423" w14:textId="77777777" w:rsidR="00155BD6" w:rsidRPr="00C64064" w:rsidRDefault="00155BD6" w:rsidP="00C07794">
      <w:pPr>
        <w:spacing w:after="0" w:line="240" w:lineRule="auto"/>
        <w:jc w:val="both"/>
        <w:textAlignment w:val="baseline"/>
        <w:rPr>
          <w:rFonts w:asciiTheme="majorHAnsi" w:eastAsia="Times New Roman" w:hAnsiTheme="majorHAnsi" w:cstheme="majorHAnsi"/>
          <w:sz w:val="18"/>
          <w:szCs w:val="18"/>
          <w:lang w:val="en-US" w:eastAsia="en-US"/>
        </w:rPr>
      </w:pPr>
    </w:p>
    <w:tbl>
      <w:tblPr>
        <w:tblStyle w:val="PlainTable21"/>
        <w:tblW w:w="0" w:type="dxa"/>
        <w:tblCellMar>
          <w:top w:w="108" w:type="dxa"/>
          <w:bottom w:w="108" w:type="dxa"/>
        </w:tblCellMar>
        <w:tblLook w:val="04A0" w:firstRow="1" w:lastRow="0" w:firstColumn="1" w:lastColumn="0" w:noHBand="0" w:noVBand="1"/>
      </w:tblPr>
      <w:tblGrid>
        <w:gridCol w:w="1806"/>
        <w:gridCol w:w="7560"/>
      </w:tblGrid>
      <w:tr w:rsidR="00C07794" w:rsidRPr="00C64064" w14:paraId="7E62723E" w14:textId="77777777" w:rsidTr="00155BD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85" w:type="dxa"/>
            <w:hideMark/>
          </w:tcPr>
          <w:p w14:paraId="0D493AAE" w14:textId="77777777" w:rsidR="00C07794" w:rsidRPr="00C64064" w:rsidRDefault="00C07794" w:rsidP="00155BD6">
            <w:pPr>
              <w:textAlignment w:val="baseline"/>
              <w:rPr>
                <w:rFonts w:asciiTheme="majorHAnsi" w:eastAsia="Times New Roman" w:hAnsiTheme="majorHAnsi" w:cstheme="majorHAnsi"/>
                <w:sz w:val="22"/>
                <w:szCs w:val="22"/>
                <w:lang w:val="en-US"/>
              </w:rPr>
            </w:pPr>
            <w:r w:rsidRPr="00C64064">
              <w:rPr>
                <w:rFonts w:asciiTheme="majorHAnsi" w:eastAsia="Times New Roman" w:hAnsiTheme="majorHAnsi" w:cstheme="majorHAnsi"/>
                <w:color w:val="002060"/>
                <w:sz w:val="22"/>
                <w:szCs w:val="22"/>
              </w:rPr>
              <w:t>Mechanisation</w:t>
            </w:r>
            <w:r w:rsidRPr="00C64064">
              <w:rPr>
                <w:rFonts w:asciiTheme="majorHAnsi" w:eastAsia="Times New Roman" w:hAnsiTheme="majorHAnsi" w:cstheme="majorHAnsi"/>
                <w:color w:val="002060"/>
                <w:sz w:val="22"/>
                <w:szCs w:val="22"/>
                <w:lang w:val="en-US"/>
              </w:rPr>
              <w:t> </w:t>
            </w:r>
          </w:p>
          <w:p w14:paraId="4D5CEE91" w14:textId="25FA6F97" w:rsidR="00C07794" w:rsidRPr="00C64064" w:rsidRDefault="00C07794" w:rsidP="00155BD6">
            <w:pPr>
              <w:textAlignment w:val="baseline"/>
              <w:rPr>
                <w:rFonts w:asciiTheme="majorHAnsi" w:eastAsia="Times New Roman" w:hAnsiTheme="majorHAnsi" w:cstheme="majorHAnsi"/>
                <w:sz w:val="22"/>
                <w:szCs w:val="22"/>
                <w:lang w:val="en-US"/>
              </w:rPr>
            </w:pPr>
            <w:r w:rsidRPr="00C64064">
              <w:rPr>
                <w:rFonts w:asciiTheme="majorHAnsi" w:eastAsia="Times New Roman" w:hAnsiTheme="majorHAnsi" w:cstheme="majorHAnsi"/>
                <w:color w:val="002060"/>
                <w:sz w:val="22"/>
                <w:szCs w:val="22"/>
              </w:rPr>
              <w:t>(E</w:t>
            </w:r>
            <w:r w:rsidR="00171EDD" w:rsidRPr="00C64064">
              <w:rPr>
                <w:rFonts w:asciiTheme="majorHAnsi" w:eastAsia="Times New Roman" w:hAnsiTheme="majorHAnsi" w:cstheme="majorHAnsi"/>
                <w:color w:val="002060"/>
                <w:sz w:val="22"/>
                <w:szCs w:val="22"/>
              </w:rPr>
              <w:t xml:space="preserve">ast </w:t>
            </w:r>
            <w:r w:rsidRPr="00C64064">
              <w:rPr>
                <w:rFonts w:asciiTheme="majorHAnsi" w:eastAsia="Times New Roman" w:hAnsiTheme="majorHAnsi" w:cstheme="majorHAnsi"/>
                <w:color w:val="002060"/>
                <w:sz w:val="22"/>
                <w:szCs w:val="22"/>
              </w:rPr>
              <w:t>J</w:t>
            </w:r>
            <w:r w:rsidR="00171EDD" w:rsidRPr="00C64064">
              <w:rPr>
                <w:rFonts w:asciiTheme="majorHAnsi" w:eastAsia="Times New Roman" w:hAnsiTheme="majorHAnsi" w:cstheme="majorHAnsi"/>
                <w:color w:val="002060"/>
                <w:sz w:val="22"/>
                <w:szCs w:val="22"/>
              </w:rPr>
              <w:t>ava</w:t>
            </w:r>
            <w:r w:rsidRPr="00C64064">
              <w:rPr>
                <w:rFonts w:asciiTheme="majorHAnsi" w:eastAsia="Times New Roman" w:hAnsiTheme="majorHAnsi" w:cstheme="majorHAnsi"/>
                <w:color w:val="002060"/>
                <w:sz w:val="22"/>
                <w:szCs w:val="22"/>
              </w:rPr>
              <w:t xml:space="preserve">, </w:t>
            </w:r>
            <w:r w:rsidR="00CC486F" w:rsidRPr="00C64064">
              <w:rPr>
                <w:rFonts w:asciiTheme="majorHAnsi" w:eastAsia="Times New Roman" w:hAnsiTheme="majorHAnsi" w:cstheme="majorHAnsi"/>
                <w:color w:val="002060"/>
                <w:sz w:val="22"/>
                <w:szCs w:val="22"/>
              </w:rPr>
              <w:t>East Nusa Tenggara [</w:t>
            </w:r>
            <w:r w:rsidRPr="00C64064">
              <w:rPr>
                <w:rFonts w:asciiTheme="majorHAnsi" w:eastAsia="Times New Roman" w:hAnsiTheme="majorHAnsi" w:cstheme="majorHAnsi"/>
                <w:color w:val="002060"/>
                <w:sz w:val="22"/>
                <w:szCs w:val="22"/>
              </w:rPr>
              <w:t>NTT</w:t>
            </w:r>
            <w:r w:rsidR="00CC486F" w:rsidRPr="00C64064">
              <w:rPr>
                <w:rFonts w:asciiTheme="majorHAnsi" w:eastAsia="Times New Roman" w:hAnsiTheme="majorHAnsi" w:cstheme="majorHAnsi"/>
                <w:color w:val="002060"/>
                <w:sz w:val="22"/>
                <w:szCs w:val="22"/>
              </w:rPr>
              <w:t>]</w:t>
            </w:r>
            <w:r w:rsidRPr="00C64064">
              <w:rPr>
                <w:rFonts w:asciiTheme="majorHAnsi" w:eastAsia="Times New Roman" w:hAnsiTheme="majorHAnsi" w:cstheme="majorHAnsi"/>
                <w:color w:val="002060"/>
                <w:sz w:val="22"/>
                <w:szCs w:val="22"/>
              </w:rPr>
              <w:t xml:space="preserve"> and C</w:t>
            </w:r>
            <w:r w:rsidR="00171EDD" w:rsidRPr="00C64064">
              <w:rPr>
                <w:rFonts w:asciiTheme="majorHAnsi" w:eastAsia="Times New Roman" w:hAnsiTheme="majorHAnsi" w:cstheme="majorHAnsi"/>
                <w:color w:val="002060"/>
                <w:sz w:val="22"/>
                <w:szCs w:val="22"/>
              </w:rPr>
              <w:t xml:space="preserve">entral </w:t>
            </w:r>
            <w:r w:rsidRPr="00C64064">
              <w:rPr>
                <w:rFonts w:asciiTheme="majorHAnsi" w:eastAsia="Times New Roman" w:hAnsiTheme="majorHAnsi" w:cstheme="majorHAnsi"/>
                <w:color w:val="002060"/>
                <w:sz w:val="22"/>
                <w:szCs w:val="22"/>
              </w:rPr>
              <w:t>J</w:t>
            </w:r>
            <w:r w:rsidR="00171EDD" w:rsidRPr="00C64064">
              <w:rPr>
                <w:rFonts w:asciiTheme="majorHAnsi" w:eastAsia="Times New Roman" w:hAnsiTheme="majorHAnsi" w:cstheme="majorHAnsi"/>
                <w:color w:val="002060"/>
                <w:sz w:val="22"/>
                <w:szCs w:val="22"/>
              </w:rPr>
              <w:t>ava</w:t>
            </w:r>
            <w:r w:rsidRPr="00C64064">
              <w:rPr>
                <w:rFonts w:asciiTheme="majorHAnsi" w:eastAsia="Times New Roman" w:hAnsiTheme="majorHAnsi" w:cstheme="majorHAnsi"/>
                <w:color w:val="002060"/>
                <w:sz w:val="22"/>
                <w:szCs w:val="22"/>
              </w:rPr>
              <w:t>)</w:t>
            </w:r>
            <w:r w:rsidRPr="00C64064">
              <w:rPr>
                <w:rFonts w:asciiTheme="majorHAnsi" w:eastAsia="Times New Roman" w:hAnsiTheme="majorHAnsi" w:cstheme="majorHAnsi"/>
                <w:color w:val="002060"/>
                <w:sz w:val="22"/>
                <w:szCs w:val="22"/>
                <w:lang w:val="en-US"/>
              </w:rPr>
              <w:t> </w:t>
            </w:r>
          </w:p>
          <w:p w14:paraId="013903DA" w14:textId="77777777" w:rsidR="00C07794" w:rsidRPr="00C64064" w:rsidRDefault="00C07794" w:rsidP="00155BD6">
            <w:pPr>
              <w:textAlignment w:val="baseline"/>
              <w:rPr>
                <w:rFonts w:asciiTheme="majorHAnsi" w:eastAsia="Times New Roman" w:hAnsiTheme="majorHAnsi" w:cstheme="majorHAnsi"/>
                <w:sz w:val="22"/>
                <w:szCs w:val="22"/>
                <w:lang w:val="en-US"/>
              </w:rPr>
            </w:pPr>
            <w:r w:rsidRPr="00690E61">
              <w:rPr>
                <w:rFonts w:asciiTheme="majorHAnsi" w:eastAsia="Times New Roman" w:hAnsiTheme="majorHAnsi" w:cstheme="majorHAnsi"/>
                <w:color w:val="005E00"/>
                <w:sz w:val="22"/>
                <w:szCs w:val="22"/>
              </w:rPr>
              <w:t>18,467</w:t>
            </w:r>
            <w:r w:rsidRPr="00690E61">
              <w:rPr>
                <w:rFonts w:asciiTheme="majorHAnsi" w:eastAsia="Times New Roman" w:hAnsiTheme="majorHAnsi" w:cstheme="majorHAnsi"/>
                <w:color w:val="005E00"/>
                <w:sz w:val="22"/>
                <w:szCs w:val="22"/>
                <w:lang w:val="en-US"/>
              </w:rPr>
              <w:t> </w:t>
            </w:r>
          </w:p>
        </w:tc>
        <w:tc>
          <w:tcPr>
            <w:tcW w:w="7560" w:type="dxa"/>
            <w:hideMark/>
          </w:tcPr>
          <w:p w14:paraId="03556724" w14:textId="1C95C02C" w:rsidR="00C07794" w:rsidRPr="00C64064" w:rsidRDefault="00C07794" w:rsidP="00155BD6">
            <w:pPr>
              <w:textAlignment w:val="baseline"/>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22"/>
                <w:szCs w:val="22"/>
                <w:lang w:val="en-US"/>
              </w:rPr>
            </w:pPr>
            <w:r w:rsidRPr="00C64064">
              <w:rPr>
                <w:rFonts w:asciiTheme="majorHAnsi" w:eastAsia="Times New Roman" w:hAnsiTheme="majorHAnsi" w:cstheme="majorHAnsi"/>
                <w:b w:val="0"/>
                <w:bCs w:val="0"/>
                <w:sz w:val="22"/>
                <w:szCs w:val="22"/>
              </w:rPr>
              <w:t xml:space="preserve">PRISMA partnered with agriculture machine service providers to promote the use of combine harvesters during </w:t>
            </w:r>
            <w:r w:rsidR="00C70A70" w:rsidRPr="00C64064">
              <w:rPr>
                <w:rFonts w:asciiTheme="majorHAnsi" w:eastAsia="Times New Roman" w:hAnsiTheme="majorHAnsi" w:cstheme="majorHAnsi"/>
                <w:b w:val="0"/>
                <w:bCs w:val="0"/>
                <w:sz w:val="22"/>
                <w:szCs w:val="22"/>
              </w:rPr>
              <w:t xml:space="preserve">the </w:t>
            </w:r>
            <w:r w:rsidR="000F7A32" w:rsidRPr="00C64064">
              <w:rPr>
                <w:rFonts w:asciiTheme="majorHAnsi" w:eastAsia="Times New Roman" w:hAnsiTheme="majorHAnsi" w:cstheme="majorHAnsi"/>
                <w:b w:val="0"/>
                <w:bCs w:val="0"/>
                <w:sz w:val="22"/>
                <w:szCs w:val="22"/>
              </w:rPr>
              <w:t>rice</w:t>
            </w:r>
            <w:r w:rsidRPr="00C64064">
              <w:rPr>
                <w:rFonts w:asciiTheme="majorHAnsi" w:eastAsia="Times New Roman" w:hAnsiTheme="majorHAnsi" w:cstheme="majorHAnsi"/>
                <w:b w:val="0"/>
                <w:bCs w:val="0"/>
                <w:sz w:val="22"/>
                <w:szCs w:val="22"/>
              </w:rPr>
              <w:t xml:space="preserve"> and maize harvesting process. Combine harvesters can lower farmers' production costs, especially labour costs for harvesting and transporting crops, and labour food consumption during harvest. Two impact assessments and 3 extrapolations were conducted for mechanisation interventions</w:t>
            </w:r>
            <w:r w:rsidR="00C70A70" w:rsidRPr="00C64064">
              <w:rPr>
                <w:rFonts w:asciiTheme="majorHAnsi" w:eastAsia="Times New Roman" w:hAnsiTheme="majorHAnsi" w:cstheme="majorHAnsi"/>
                <w:b w:val="0"/>
                <w:bCs w:val="0"/>
                <w:sz w:val="22"/>
                <w:szCs w:val="22"/>
              </w:rPr>
              <w:t>,</w:t>
            </w:r>
            <w:r w:rsidRPr="00C64064">
              <w:rPr>
                <w:rFonts w:asciiTheme="majorHAnsi" w:eastAsia="Times New Roman" w:hAnsiTheme="majorHAnsi" w:cstheme="majorHAnsi"/>
                <w:b w:val="0"/>
                <w:bCs w:val="0"/>
                <w:sz w:val="22"/>
                <w:szCs w:val="22"/>
              </w:rPr>
              <w:t xml:space="preserve"> which resulted in 18,467 outreach in East Java, NTT, and Central Java.</w:t>
            </w:r>
            <w:r w:rsidRPr="00C64064">
              <w:rPr>
                <w:rFonts w:asciiTheme="majorHAnsi" w:eastAsia="Times New Roman" w:hAnsiTheme="majorHAnsi" w:cstheme="majorHAnsi"/>
                <w:b w:val="0"/>
                <w:bCs w:val="0"/>
                <w:sz w:val="22"/>
                <w:szCs w:val="22"/>
                <w:lang w:val="en-US"/>
              </w:rPr>
              <w:t> </w:t>
            </w:r>
          </w:p>
        </w:tc>
      </w:tr>
      <w:tr w:rsidR="00C07794" w:rsidRPr="00C64064" w14:paraId="21FCC526" w14:textId="77777777" w:rsidTr="00155B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85" w:type="dxa"/>
            <w:hideMark/>
          </w:tcPr>
          <w:p w14:paraId="21C5B9A2" w14:textId="77777777" w:rsidR="00C07794" w:rsidRPr="00C64064" w:rsidRDefault="00C07794" w:rsidP="00155BD6">
            <w:pPr>
              <w:textAlignment w:val="baseline"/>
              <w:rPr>
                <w:rFonts w:asciiTheme="majorHAnsi" w:eastAsia="Times New Roman" w:hAnsiTheme="majorHAnsi" w:cstheme="majorHAnsi"/>
                <w:sz w:val="22"/>
                <w:szCs w:val="22"/>
                <w:lang w:val="en-US"/>
              </w:rPr>
            </w:pPr>
            <w:r w:rsidRPr="00C64064">
              <w:rPr>
                <w:rFonts w:asciiTheme="majorHAnsi" w:eastAsia="Times New Roman" w:hAnsiTheme="majorHAnsi" w:cstheme="majorHAnsi"/>
                <w:color w:val="002060"/>
                <w:sz w:val="22"/>
                <w:szCs w:val="22"/>
              </w:rPr>
              <w:t>Mungbean</w:t>
            </w:r>
            <w:r w:rsidRPr="00C64064">
              <w:rPr>
                <w:rFonts w:asciiTheme="majorHAnsi" w:eastAsia="Times New Roman" w:hAnsiTheme="majorHAnsi" w:cstheme="majorHAnsi"/>
                <w:color w:val="002060"/>
                <w:sz w:val="22"/>
                <w:szCs w:val="22"/>
                <w:lang w:val="en-US"/>
              </w:rPr>
              <w:t> </w:t>
            </w:r>
          </w:p>
          <w:p w14:paraId="396F45CE" w14:textId="7410CD52" w:rsidR="00C07794" w:rsidRPr="00C64064" w:rsidRDefault="00C07794" w:rsidP="00155BD6">
            <w:pPr>
              <w:textAlignment w:val="baseline"/>
              <w:rPr>
                <w:rFonts w:asciiTheme="majorHAnsi" w:eastAsia="Times New Roman" w:hAnsiTheme="majorHAnsi" w:cstheme="majorHAnsi"/>
                <w:sz w:val="22"/>
                <w:szCs w:val="22"/>
                <w:lang w:val="en-US"/>
              </w:rPr>
            </w:pPr>
            <w:r w:rsidRPr="00C64064">
              <w:rPr>
                <w:rFonts w:asciiTheme="majorHAnsi" w:eastAsia="Times New Roman" w:hAnsiTheme="majorHAnsi" w:cstheme="majorHAnsi"/>
                <w:color w:val="002060"/>
                <w:sz w:val="22"/>
                <w:szCs w:val="22"/>
              </w:rPr>
              <w:t>(E</w:t>
            </w:r>
            <w:r w:rsidR="00171EDD" w:rsidRPr="00C64064">
              <w:rPr>
                <w:rFonts w:asciiTheme="majorHAnsi" w:eastAsia="Times New Roman" w:hAnsiTheme="majorHAnsi" w:cstheme="majorHAnsi"/>
                <w:color w:val="002060"/>
                <w:sz w:val="22"/>
                <w:szCs w:val="22"/>
              </w:rPr>
              <w:t xml:space="preserve">ast </w:t>
            </w:r>
            <w:r w:rsidRPr="00C64064">
              <w:rPr>
                <w:rFonts w:asciiTheme="majorHAnsi" w:eastAsia="Times New Roman" w:hAnsiTheme="majorHAnsi" w:cstheme="majorHAnsi"/>
                <w:color w:val="002060"/>
                <w:sz w:val="22"/>
                <w:szCs w:val="22"/>
              </w:rPr>
              <w:t>J</w:t>
            </w:r>
            <w:r w:rsidR="00171EDD" w:rsidRPr="00C64064">
              <w:rPr>
                <w:rFonts w:asciiTheme="majorHAnsi" w:eastAsia="Times New Roman" w:hAnsiTheme="majorHAnsi" w:cstheme="majorHAnsi"/>
                <w:color w:val="002060"/>
                <w:sz w:val="22"/>
                <w:szCs w:val="22"/>
              </w:rPr>
              <w:t>ava</w:t>
            </w:r>
            <w:r w:rsidRPr="00C64064">
              <w:rPr>
                <w:rFonts w:asciiTheme="majorHAnsi" w:eastAsia="Times New Roman" w:hAnsiTheme="majorHAnsi" w:cstheme="majorHAnsi"/>
                <w:color w:val="002060"/>
                <w:sz w:val="22"/>
                <w:szCs w:val="22"/>
              </w:rPr>
              <w:t xml:space="preserve"> and C</w:t>
            </w:r>
            <w:r w:rsidR="00171EDD" w:rsidRPr="00C64064">
              <w:rPr>
                <w:rFonts w:asciiTheme="majorHAnsi" w:eastAsia="Times New Roman" w:hAnsiTheme="majorHAnsi" w:cstheme="majorHAnsi"/>
                <w:color w:val="002060"/>
                <w:sz w:val="22"/>
                <w:szCs w:val="22"/>
              </w:rPr>
              <w:t xml:space="preserve">entral </w:t>
            </w:r>
            <w:r w:rsidRPr="00C64064">
              <w:rPr>
                <w:rFonts w:asciiTheme="majorHAnsi" w:eastAsia="Times New Roman" w:hAnsiTheme="majorHAnsi" w:cstheme="majorHAnsi"/>
                <w:color w:val="002060"/>
                <w:sz w:val="22"/>
                <w:szCs w:val="22"/>
              </w:rPr>
              <w:t>J</w:t>
            </w:r>
            <w:r w:rsidR="00171EDD" w:rsidRPr="00C64064">
              <w:rPr>
                <w:rFonts w:asciiTheme="majorHAnsi" w:eastAsia="Times New Roman" w:hAnsiTheme="majorHAnsi" w:cstheme="majorHAnsi"/>
                <w:color w:val="002060"/>
                <w:sz w:val="22"/>
                <w:szCs w:val="22"/>
              </w:rPr>
              <w:t>ava</w:t>
            </w:r>
            <w:r w:rsidRPr="00C64064">
              <w:rPr>
                <w:rFonts w:asciiTheme="majorHAnsi" w:eastAsia="Times New Roman" w:hAnsiTheme="majorHAnsi" w:cstheme="majorHAnsi"/>
                <w:color w:val="002060"/>
                <w:sz w:val="22"/>
                <w:szCs w:val="22"/>
              </w:rPr>
              <w:t>)</w:t>
            </w:r>
            <w:r w:rsidRPr="00C64064">
              <w:rPr>
                <w:rFonts w:asciiTheme="majorHAnsi" w:eastAsia="Times New Roman" w:hAnsiTheme="majorHAnsi" w:cstheme="majorHAnsi"/>
                <w:color w:val="002060"/>
                <w:sz w:val="22"/>
                <w:szCs w:val="22"/>
                <w:lang w:val="en-US"/>
              </w:rPr>
              <w:t> </w:t>
            </w:r>
          </w:p>
          <w:p w14:paraId="7CD5D463" w14:textId="77777777" w:rsidR="00C07794" w:rsidRPr="00C64064" w:rsidRDefault="00C07794" w:rsidP="00155BD6">
            <w:pPr>
              <w:textAlignment w:val="baseline"/>
              <w:rPr>
                <w:rFonts w:asciiTheme="majorHAnsi" w:eastAsia="Times New Roman" w:hAnsiTheme="majorHAnsi" w:cstheme="majorHAnsi"/>
                <w:sz w:val="22"/>
                <w:szCs w:val="22"/>
                <w:lang w:val="en-US"/>
              </w:rPr>
            </w:pPr>
            <w:r w:rsidRPr="00690E61">
              <w:rPr>
                <w:rFonts w:asciiTheme="majorHAnsi" w:eastAsia="Times New Roman" w:hAnsiTheme="majorHAnsi" w:cstheme="majorHAnsi"/>
                <w:color w:val="005E00"/>
                <w:sz w:val="22"/>
                <w:szCs w:val="22"/>
              </w:rPr>
              <w:t>17,707</w:t>
            </w:r>
            <w:r w:rsidRPr="00690E61">
              <w:rPr>
                <w:rFonts w:asciiTheme="majorHAnsi" w:eastAsia="Times New Roman" w:hAnsiTheme="majorHAnsi" w:cstheme="majorHAnsi"/>
                <w:color w:val="005E00"/>
                <w:sz w:val="22"/>
                <w:szCs w:val="22"/>
                <w:lang w:val="en-US"/>
              </w:rPr>
              <w:t> </w:t>
            </w:r>
          </w:p>
        </w:tc>
        <w:tc>
          <w:tcPr>
            <w:tcW w:w="7560" w:type="dxa"/>
            <w:hideMark/>
          </w:tcPr>
          <w:p w14:paraId="3241D107" w14:textId="4E87E2BA" w:rsidR="00C07794" w:rsidRPr="00C64064" w:rsidRDefault="00C07794" w:rsidP="00155BD6">
            <w:pPr>
              <w:textAlignment w:val="baseline"/>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2"/>
                <w:szCs w:val="22"/>
                <w:lang w:val="en-US"/>
              </w:rPr>
            </w:pPr>
            <w:r w:rsidRPr="00C64064">
              <w:rPr>
                <w:rFonts w:asciiTheme="majorHAnsi" w:eastAsia="Times New Roman" w:hAnsiTheme="majorHAnsi" w:cstheme="majorHAnsi"/>
                <w:sz w:val="22"/>
                <w:szCs w:val="22"/>
              </w:rPr>
              <w:t xml:space="preserve">PRISMA worked with 5 seed producers to promote </w:t>
            </w:r>
            <w:r w:rsidR="00CC486F" w:rsidRPr="00C64064">
              <w:rPr>
                <w:rFonts w:asciiTheme="majorHAnsi" w:eastAsia="Times New Roman" w:hAnsiTheme="majorHAnsi" w:cstheme="majorHAnsi"/>
                <w:sz w:val="22"/>
                <w:szCs w:val="22"/>
              </w:rPr>
              <w:t xml:space="preserve">the </w:t>
            </w:r>
            <w:r w:rsidRPr="00C64064">
              <w:rPr>
                <w:rFonts w:asciiTheme="majorHAnsi" w:eastAsia="Times New Roman" w:hAnsiTheme="majorHAnsi" w:cstheme="majorHAnsi"/>
                <w:sz w:val="22"/>
                <w:szCs w:val="22"/>
              </w:rPr>
              <w:t xml:space="preserve">commercial production of </w:t>
            </w:r>
            <w:r w:rsidR="002924F7" w:rsidRPr="00C64064">
              <w:rPr>
                <w:rFonts w:asciiTheme="majorHAnsi" w:eastAsia="Times New Roman" w:hAnsiTheme="majorHAnsi" w:cstheme="majorHAnsi"/>
                <w:sz w:val="22"/>
                <w:szCs w:val="22"/>
              </w:rPr>
              <w:t xml:space="preserve">a </w:t>
            </w:r>
            <w:r w:rsidRPr="00C64064">
              <w:rPr>
                <w:rFonts w:asciiTheme="majorHAnsi" w:eastAsia="Times New Roman" w:hAnsiTheme="majorHAnsi" w:cstheme="majorHAnsi"/>
                <w:sz w:val="22"/>
                <w:szCs w:val="22"/>
              </w:rPr>
              <w:t xml:space="preserve">high-quality mungbean seed variant, namely VIMA. With PRISMA's assistance, seed producers </w:t>
            </w:r>
            <w:r w:rsidR="00274DCD" w:rsidRPr="00C64064">
              <w:rPr>
                <w:rFonts w:asciiTheme="majorHAnsi" w:eastAsia="Times New Roman" w:hAnsiTheme="majorHAnsi" w:cstheme="majorHAnsi"/>
                <w:sz w:val="22"/>
                <w:szCs w:val="22"/>
              </w:rPr>
              <w:t xml:space="preserve">significantly </w:t>
            </w:r>
            <w:r w:rsidRPr="00C64064">
              <w:rPr>
                <w:rFonts w:asciiTheme="majorHAnsi" w:eastAsia="Times New Roman" w:hAnsiTheme="majorHAnsi" w:cstheme="majorHAnsi"/>
                <w:sz w:val="22"/>
                <w:szCs w:val="22"/>
              </w:rPr>
              <w:t>increased their sales by reaching smallholder farmers. This semester</w:t>
            </w:r>
            <w:r w:rsidR="00C70A70" w:rsidRPr="00C64064">
              <w:rPr>
                <w:rFonts w:asciiTheme="majorHAnsi" w:eastAsia="Times New Roman" w:hAnsiTheme="majorHAnsi" w:cstheme="majorHAnsi"/>
                <w:sz w:val="22"/>
                <w:szCs w:val="22"/>
              </w:rPr>
              <w:t>,</w:t>
            </w:r>
            <w:r w:rsidRPr="00C64064">
              <w:rPr>
                <w:rFonts w:asciiTheme="majorHAnsi" w:eastAsia="Times New Roman" w:hAnsiTheme="majorHAnsi" w:cstheme="majorHAnsi"/>
                <w:sz w:val="22"/>
                <w:szCs w:val="22"/>
              </w:rPr>
              <w:t xml:space="preserve"> PRISMA conducted extrapolation</w:t>
            </w:r>
            <w:r w:rsidR="00CC486F" w:rsidRPr="00C64064">
              <w:rPr>
                <w:rFonts w:asciiTheme="majorHAnsi" w:eastAsia="Times New Roman" w:hAnsiTheme="majorHAnsi" w:cstheme="majorHAnsi"/>
                <w:sz w:val="22"/>
                <w:szCs w:val="22"/>
              </w:rPr>
              <w:t>s</w:t>
            </w:r>
            <w:r w:rsidRPr="00C64064">
              <w:rPr>
                <w:rFonts w:asciiTheme="majorHAnsi" w:eastAsia="Times New Roman" w:hAnsiTheme="majorHAnsi" w:cstheme="majorHAnsi"/>
                <w:sz w:val="22"/>
                <w:szCs w:val="22"/>
              </w:rPr>
              <w:t xml:space="preserve"> based on mungbean sales from the partners and </w:t>
            </w:r>
            <w:r w:rsidR="002924F7" w:rsidRPr="00C64064">
              <w:rPr>
                <w:rFonts w:asciiTheme="majorHAnsi" w:eastAsia="Times New Roman" w:hAnsiTheme="majorHAnsi" w:cstheme="majorHAnsi"/>
                <w:sz w:val="22"/>
                <w:szCs w:val="22"/>
              </w:rPr>
              <w:t>ascertain</w:t>
            </w:r>
            <w:r w:rsidRPr="00C64064">
              <w:rPr>
                <w:rFonts w:asciiTheme="majorHAnsi" w:eastAsia="Times New Roman" w:hAnsiTheme="majorHAnsi" w:cstheme="majorHAnsi"/>
                <w:sz w:val="22"/>
                <w:szCs w:val="22"/>
              </w:rPr>
              <w:t xml:space="preserve">ed </w:t>
            </w:r>
            <w:r w:rsidR="00CC486F" w:rsidRPr="00C64064">
              <w:rPr>
                <w:rFonts w:asciiTheme="majorHAnsi" w:eastAsia="Times New Roman" w:hAnsiTheme="majorHAnsi" w:cstheme="majorHAnsi"/>
                <w:sz w:val="22"/>
                <w:szCs w:val="22"/>
              </w:rPr>
              <w:t xml:space="preserve">that </w:t>
            </w:r>
            <w:r w:rsidRPr="00C64064">
              <w:rPr>
                <w:rFonts w:asciiTheme="majorHAnsi" w:eastAsia="Times New Roman" w:hAnsiTheme="majorHAnsi" w:cstheme="majorHAnsi"/>
                <w:sz w:val="22"/>
                <w:szCs w:val="22"/>
              </w:rPr>
              <w:t>17,707 mungbean farmers have benefitted through improved productivity.</w:t>
            </w:r>
            <w:r w:rsidRPr="00C64064">
              <w:rPr>
                <w:rFonts w:asciiTheme="majorHAnsi" w:eastAsia="Times New Roman" w:hAnsiTheme="majorHAnsi" w:cstheme="majorHAnsi"/>
                <w:sz w:val="22"/>
                <w:szCs w:val="22"/>
                <w:lang w:val="en-US"/>
              </w:rPr>
              <w:t> </w:t>
            </w:r>
          </w:p>
        </w:tc>
      </w:tr>
      <w:tr w:rsidR="00C07794" w:rsidRPr="00C64064" w14:paraId="7AAC578A" w14:textId="77777777" w:rsidTr="00155BD6">
        <w:trPr>
          <w:trHeight w:val="300"/>
        </w:trPr>
        <w:tc>
          <w:tcPr>
            <w:cnfStyle w:val="001000000000" w:firstRow="0" w:lastRow="0" w:firstColumn="1" w:lastColumn="0" w:oddVBand="0" w:evenVBand="0" w:oddHBand="0" w:evenHBand="0" w:firstRowFirstColumn="0" w:firstRowLastColumn="0" w:lastRowFirstColumn="0" w:lastRowLastColumn="0"/>
            <w:tcW w:w="1785" w:type="dxa"/>
            <w:hideMark/>
          </w:tcPr>
          <w:p w14:paraId="792400D8" w14:textId="77777777" w:rsidR="00C07794" w:rsidRPr="00C64064" w:rsidRDefault="00C07794" w:rsidP="00155BD6">
            <w:pPr>
              <w:textAlignment w:val="baseline"/>
              <w:rPr>
                <w:rFonts w:asciiTheme="majorHAnsi" w:eastAsia="Times New Roman" w:hAnsiTheme="majorHAnsi" w:cstheme="majorHAnsi"/>
                <w:sz w:val="22"/>
                <w:szCs w:val="22"/>
                <w:lang w:val="en-US"/>
              </w:rPr>
            </w:pPr>
            <w:r w:rsidRPr="00C64064">
              <w:rPr>
                <w:rFonts w:asciiTheme="majorHAnsi" w:eastAsia="Times New Roman" w:hAnsiTheme="majorHAnsi" w:cstheme="majorHAnsi"/>
                <w:color w:val="002060"/>
                <w:sz w:val="22"/>
                <w:szCs w:val="22"/>
              </w:rPr>
              <w:t>Pig (NTT)</w:t>
            </w:r>
            <w:r w:rsidRPr="00C64064">
              <w:rPr>
                <w:rFonts w:asciiTheme="majorHAnsi" w:eastAsia="Times New Roman" w:hAnsiTheme="majorHAnsi" w:cstheme="majorHAnsi"/>
                <w:color w:val="002060"/>
                <w:sz w:val="22"/>
                <w:szCs w:val="22"/>
                <w:lang w:val="en-US"/>
              </w:rPr>
              <w:t> </w:t>
            </w:r>
          </w:p>
          <w:p w14:paraId="75414797" w14:textId="77777777" w:rsidR="00C07794" w:rsidRPr="00C64064" w:rsidRDefault="00C07794" w:rsidP="00155BD6">
            <w:pPr>
              <w:textAlignment w:val="baseline"/>
              <w:rPr>
                <w:rFonts w:asciiTheme="majorHAnsi" w:eastAsia="Times New Roman" w:hAnsiTheme="majorHAnsi" w:cstheme="majorHAnsi"/>
                <w:sz w:val="22"/>
                <w:szCs w:val="22"/>
                <w:lang w:val="en-US"/>
              </w:rPr>
            </w:pPr>
            <w:r w:rsidRPr="00690E61">
              <w:rPr>
                <w:rFonts w:asciiTheme="majorHAnsi" w:eastAsia="Times New Roman" w:hAnsiTheme="majorHAnsi" w:cstheme="majorHAnsi"/>
                <w:color w:val="005E00"/>
                <w:sz w:val="22"/>
                <w:szCs w:val="22"/>
              </w:rPr>
              <w:t>9,220</w:t>
            </w:r>
            <w:r w:rsidRPr="00690E61">
              <w:rPr>
                <w:rFonts w:asciiTheme="majorHAnsi" w:eastAsia="Times New Roman" w:hAnsiTheme="majorHAnsi" w:cstheme="majorHAnsi"/>
                <w:color w:val="005E00"/>
                <w:sz w:val="22"/>
                <w:szCs w:val="22"/>
                <w:lang w:val="en-US"/>
              </w:rPr>
              <w:t> </w:t>
            </w:r>
          </w:p>
        </w:tc>
        <w:tc>
          <w:tcPr>
            <w:tcW w:w="7560" w:type="dxa"/>
            <w:hideMark/>
          </w:tcPr>
          <w:p w14:paraId="64646610" w14:textId="1BAC030B" w:rsidR="00C07794" w:rsidRPr="00C64064" w:rsidRDefault="00C07794" w:rsidP="00155BD6">
            <w:pPr>
              <w:textAlignment w:val="baseline"/>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2"/>
                <w:szCs w:val="22"/>
                <w:lang w:val="en-US"/>
              </w:rPr>
            </w:pPr>
            <w:r w:rsidRPr="00C64064">
              <w:rPr>
                <w:rFonts w:asciiTheme="majorHAnsi" w:eastAsia="Times New Roman" w:hAnsiTheme="majorHAnsi" w:cstheme="majorHAnsi"/>
                <w:sz w:val="22"/>
                <w:szCs w:val="22"/>
              </w:rPr>
              <w:t>PRISMA worked with various breed partners to improve pig farmers’ access to quality piglets and artificial insemination. Additionally, PRISMA partnered with PT Sreeya Sewu Indonesia to promote high-quality feed among farmers. As a result of these interventions, farmers have experienced shorter rearing periods, increased productivity, and higher incomes. This semester, PRISMA’s extrapolation</w:t>
            </w:r>
            <w:r w:rsidR="00CC486F" w:rsidRPr="00C64064">
              <w:rPr>
                <w:rFonts w:asciiTheme="majorHAnsi" w:eastAsia="Times New Roman" w:hAnsiTheme="majorHAnsi" w:cstheme="majorHAnsi"/>
                <w:sz w:val="22"/>
                <w:szCs w:val="22"/>
              </w:rPr>
              <w:t>s</w:t>
            </w:r>
            <w:r w:rsidRPr="00C64064">
              <w:rPr>
                <w:rFonts w:asciiTheme="majorHAnsi" w:eastAsia="Times New Roman" w:hAnsiTheme="majorHAnsi" w:cstheme="majorHAnsi"/>
                <w:sz w:val="22"/>
                <w:szCs w:val="22"/>
              </w:rPr>
              <w:t xml:space="preserve"> from previous impact assessment data revealed that 9,206 pig farm</w:t>
            </w:r>
            <w:r w:rsidR="00CC486F" w:rsidRPr="00C64064">
              <w:rPr>
                <w:rFonts w:asciiTheme="majorHAnsi" w:eastAsia="Times New Roman" w:hAnsiTheme="majorHAnsi" w:cstheme="majorHAnsi"/>
                <w:sz w:val="22"/>
                <w:szCs w:val="22"/>
              </w:rPr>
              <w:t>ing</w:t>
            </w:r>
            <w:r w:rsidRPr="00C64064">
              <w:rPr>
                <w:rFonts w:asciiTheme="majorHAnsi" w:eastAsia="Times New Roman" w:hAnsiTheme="majorHAnsi" w:cstheme="majorHAnsi"/>
                <w:sz w:val="22"/>
                <w:szCs w:val="22"/>
              </w:rPr>
              <w:t xml:space="preserve"> households </w:t>
            </w:r>
            <w:r w:rsidR="009C7F57" w:rsidRPr="00C64064">
              <w:rPr>
                <w:rFonts w:asciiTheme="majorHAnsi" w:eastAsia="Times New Roman" w:hAnsiTheme="majorHAnsi" w:cstheme="majorHAnsi"/>
                <w:sz w:val="22"/>
                <w:szCs w:val="22"/>
              </w:rPr>
              <w:t xml:space="preserve">in NTT </w:t>
            </w:r>
            <w:r w:rsidRPr="00C64064">
              <w:rPr>
                <w:rFonts w:asciiTheme="majorHAnsi" w:eastAsia="Times New Roman" w:hAnsiTheme="majorHAnsi" w:cstheme="majorHAnsi"/>
                <w:sz w:val="22"/>
                <w:szCs w:val="22"/>
              </w:rPr>
              <w:t xml:space="preserve">have benefitted </w:t>
            </w:r>
            <w:r w:rsidR="002924F7" w:rsidRPr="00C64064">
              <w:rPr>
                <w:rFonts w:asciiTheme="majorHAnsi" w:eastAsia="Times New Roman" w:hAnsiTheme="majorHAnsi" w:cstheme="majorHAnsi"/>
                <w:sz w:val="22"/>
                <w:szCs w:val="22"/>
              </w:rPr>
              <w:t>due to</w:t>
            </w:r>
            <w:r w:rsidRPr="00C64064">
              <w:rPr>
                <w:rFonts w:asciiTheme="majorHAnsi" w:eastAsia="Times New Roman" w:hAnsiTheme="majorHAnsi" w:cstheme="majorHAnsi"/>
                <w:sz w:val="22"/>
                <w:szCs w:val="22"/>
              </w:rPr>
              <w:t xml:space="preserve"> PRISMA’s interventions.</w:t>
            </w:r>
            <w:r w:rsidRPr="00C64064">
              <w:rPr>
                <w:rFonts w:asciiTheme="majorHAnsi" w:eastAsia="Times New Roman" w:hAnsiTheme="majorHAnsi" w:cstheme="majorHAnsi"/>
                <w:sz w:val="22"/>
                <w:szCs w:val="22"/>
                <w:lang w:val="en-US"/>
              </w:rPr>
              <w:t> </w:t>
            </w:r>
          </w:p>
        </w:tc>
      </w:tr>
    </w:tbl>
    <w:p w14:paraId="40A74045" w14:textId="4ABDB27C" w:rsidR="00C07794" w:rsidRPr="00C64064" w:rsidRDefault="00C07794" w:rsidP="00C07794">
      <w:pPr>
        <w:spacing w:after="0" w:line="240" w:lineRule="auto"/>
        <w:jc w:val="both"/>
        <w:textAlignment w:val="baseline"/>
        <w:rPr>
          <w:rFonts w:asciiTheme="majorHAnsi" w:eastAsia="Times New Roman" w:hAnsiTheme="majorHAnsi" w:cstheme="majorHAnsi"/>
          <w:sz w:val="18"/>
          <w:szCs w:val="18"/>
          <w:lang w:val="en-US" w:eastAsia="en-US"/>
        </w:rPr>
      </w:pPr>
      <w:r w:rsidRPr="00C64064">
        <w:rPr>
          <w:rFonts w:asciiTheme="majorHAnsi" w:eastAsia="Times New Roman" w:hAnsiTheme="majorHAnsi" w:cstheme="majorHAnsi"/>
          <w:lang w:val="en-US" w:eastAsia="en-US"/>
        </w:rPr>
        <w:t> </w:t>
      </w:r>
    </w:p>
    <w:p w14:paraId="6B5969B6" w14:textId="10C3B6AF" w:rsidR="00C07794" w:rsidRPr="00C64064" w:rsidRDefault="00C07794" w:rsidP="00B03C3A">
      <w:pPr>
        <w:pStyle w:val="Head3"/>
      </w:pPr>
      <w:bookmarkStart w:id="988" w:name="_Toc173319166"/>
      <w:bookmarkStart w:id="989" w:name="_Toc179192335"/>
      <w:bookmarkStart w:id="990" w:name="_Toc180155198"/>
      <w:r w:rsidRPr="00C64064">
        <w:t xml:space="preserve">KPI 2 - </w:t>
      </w:r>
      <w:r w:rsidR="00606DB8" w:rsidRPr="00C64064">
        <w:t xml:space="preserve">Net </w:t>
      </w:r>
      <w:r w:rsidR="0027039A" w:rsidRPr="00C64064">
        <w:t>a</w:t>
      </w:r>
      <w:r w:rsidR="00606DB8" w:rsidRPr="00C64064">
        <w:t xml:space="preserve">ttributable </w:t>
      </w:r>
      <w:r w:rsidR="0027039A" w:rsidRPr="00C64064">
        <w:t>i</w:t>
      </w:r>
      <w:r w:rsidR="00606DB8" w:rsidRPr="00C64064">
        <w:t xml:space="preserve">ncome </w:t>
      </w:r>
      <w:r w:rsidR="0027039A" w:rsidRPr="00C64064">
        <w:t>c</w:t>
      </w:r>
      <w:r w:rsidR="00606DB8" w:rsidRPr="00C64064">
        <w:t>hange (</w:t>
      </w:r>
      <w:r w:rsidRPr="00C64064">
        <w:t>NAIC</w:t>
      </w:r>
      <w:r w:rsidR="00606DB8" w:rsidRPr="00C64064">
        <w:t>)</w:t>
      </w:r>
      <w:bookmarkEnd w:id="988"/>
      <w:bookmarkEnd w:id="989"/>
      <w:bookmarkEnd w:id="990"/>
      <w:r w:rsidRPr="00C64064">
        <w:t> </w:t>
      </w:r>
    </w:p>
    <w:p w14:paraId="6039525E" w14:textId="30FD8F58" w:rsidR="00C07794" w:rsidRPr="00C64064" w:rsidRDefault="00C07794" w:rsidP="00C07794">
      <w:pPr>
        <w:spacing w:after="0" w:line="240" w:lineRule="auto"/>
        <w:jc w:val="both"/>
        <w:textAlignment w:val="baseline"/>
        <w:rPr>
          <w:rFonts w:asciiTheme="majorHAnsi" w:eastAsia="Times New Roman" w:hAnsiTheme="majorHAnsi" w:cstheme="majorHAnsi"/>
          <w:sz w:val="18"/>
          <w:szCs w:val="18"/>
          <w:lang w:val="en-US" w:eastAsia="en-US"/>
        </w:rPr>
      </w:pPr>
      <w:r w:rsidRPr="00C64064">
        <w:rPr>
          <w:rFonts w:asciiTheme="majorHAnsi" w:eastAsia="Times New Roman" w:hAnsiTheme="majorHAnsi" w:cstheme="majorHAnsi"/>
          <w:lang w:val="en-AU" w:eastAsia="en-US"/>
        </w:rPr>
        <w:t>This semester, incremental NAIC from all beneficiary farm</w:t>
      </w:r>
      <w:r w:rsidR="00606DB8" w:rsidRPr="00C64064">
        <w:rPr>
          <w:rFonts w:asciiTheme="majorHAnsi" w:eastAsia="Times New Roman" w:hAnsiTheme="majorHAnsi" w:cstheme="majorHAnsi"/>
          <w:lang w:val="en-AU" w:eastAsia="en-US"/>
        </w:rPr>
        <w:t>ing</w:t>
      </w:r>
      <w:r w:rsidRPr="00C64064">
        <w:rPr>
          <w:rFonts w:asciiTheme="majorHAnsi" w:eastAsia="Times New Roman" w:hAnsiTheme="majorHAnsi" w:cstheme="majorHAnsi"/>
          <w:lang w:val="en-AU" w:eastAsia="en-US"/>
        </w:rPr>
        <w:t xml:space="preserve"> households reached IDR253 billion, which brought </w:t>
      </w:r>
      <w:r w:rsidR="0009113F" w:rsidRPr="00C64064">
        <w:rPr>
          <w:rFonts w:asciiTheme="majorHAnsi" w:eastAsia="Times New Roman" w:hAnsiTheme="majorHAnsi" w:cstheme="majorHAnsi"/>
          <w:lang w:val="en-AU" w:eastAsia="en-US"/>
        </w:rPr>
        <w:t xml:space="preserve">the </w:t>
      </w:r>
      <w:r w:rsidRPr="00C64064">
        <w:rPr>
          <w:rFonts w:asciiTheme="majorHAnsi" w:eastAsia="Times New Roman" w:hAnsiTheme="majorHAnsi" w:cstheme="majorHAnsi"/>
          <w:lang w:val="en-AU" w:eastAsia="en-US"/>
        </w:rPr>
        <w:t>cumulative NAIC up to IDR9.27 trillion or approximately AUD927 million. This number equals an accumulated average income increase of IDR4.79 million per household.  </w:t>
      </w:r>
      <w:r w:rsidRPr="00C64064">
        <w:rPr>
          <w:rFonts w:asciiTheme="majorHAnsi" w:eastAsia="Times New Roman" w:hAnsiTheme="majorHAnsi" w:cstheme="majorHAnsi"/>
          <w:lang w:val="en-US" w:eastAsia="en-US"/>
        </w:rPr>
        <w:t> </w:t>
      </w:r>
    </w:p>
    <w:p w14:paraId="1219C5AE" w14:textId="6117CA82" w:rsidR="00C07794" w:rsidRPr="00C64064" w:rsidRDefault="00C07794" w:rsidP="00C07794">
      <w:pPr>
        <w:spacing w:after="0" w:line="240" w:lineRule="auto"/>
        <w:jc w:val="both"/>
        <w:textAlignment w:val="baseline"/>
        <w:rPr>
          <w:rFonts w:asciiTheme="majorHAnsi" w:eastAsia="Times New Roman" w:hAnsiTheme="majorHAnsi" w:cstheme="majorHAnsi"/>
          <w:lang w:val="en-US" w:eastAsia="en-US"/>
        </w:rPr>
      </w:pPr>
      <w:r w:rsidRPr="00C64064">
        <w:rPr>
          <w:rFonts w:asciiTheme="majorHAnsi" w:eastAsia="Times New Roman" w:hAnsiTheme="majorHAnsi" w:cstheme="majorHAnsi"/>
          <w:lang w:val="en-AU" w:eastAsia="en-US"/>
        </w:rPr>
        <w:t>The detailed incremental NAIC per household in each sector is as follows:</w:t>
      </w:r>
      <w:r w:rsidRPr="00C64064">
        <w:rPr>
          <w:rFonts w:asciiTheme="majorHAnsi" w:eastAsia="Times New Roman" w:hAnsiTheme="majorHAnsi" w:cstheme="majorHAnsi"/>
          <w:lang w:val="en-US" w:eastAsia="en-US"/>
        </w:rPr>
        <w:t> </w:t>
      </w:r>
    </w:p>
    <w:p w14:paraId="68C0CC7E" w14:textId="77777777" w:rsidR="00155BD6" w:rsidRPr="00C64064" w:rsidRDefault="00155BD6" w:rsidP="00C07794">
      <w:pPr>
        <w:spacing w:after="0" w:line="240" w:lineRule="auto"/>
        <w:jc w:val="both"/>
        <w:textAlignment w:val="baseline"/>
        <w:rPr>
          <w:rFonts w:asciiTheme="majorHAnsi" w:eastAsia="Times New Roman" w:hAnsiTheme="majorHAnsi" w:cstheme="majorHAnsi"/>
          <w:sz w:val="18"/>
          <w:szCs w:val="18"/>
          <w:lang w:val="en-US" w:eastAsia="en-US"/>
        </w:rPr>
      </w:pPr>
    </w:p>
    <w:tbl>
      <w:tblPr>
        <w:tblStyle w:val="PlainTable2"/>
        <w:tblW w:w="0" w:type="dxa"/>
        <w:tblLook w:val="04A0" w:firstRow="1" w:lastRow="0" w:firstColumn="1" w:lastColumn="0" w:noHBand="0" w:noVBand="1"/>
      </w:tblPr>
      <w:tblGrid>
        <w:gridCol w:w="1965"/>
        <w:gridCol w:w="656"/>
        <w:gridCol w:w="1530"/>
      </w:tblGrid>
      <w:tr w:rsidR="00155BD6" w:rsidRPr="00C64064" w14:paraId="414D45E4" w14:textId="77777777" w:rsidTr="00155BD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65" w:type="dxa"/>
            <w:hideMark/>
          </w:tcPr>
          <w:p w14:paraId="01C15C69" w14:textId="77777777" w:rsidR="00C07794" w:rsidRPr="00C64064" w:rsidRDefault="00C07794" w:rsidP="00C07794">
            <w:pPr>
              <w:jc w:val="both"/>
              <w:textAlignment w:val="baseline"/>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AU" w:eastAsia="en-US"/>
              </w:rPr>
              <w:t>dairy</w:t>
            </w:r>
            <w:r w:rsidRPr="00C64064">
              <w:rPr>
                <w:rFonts w:asciiTheme="majorHAnsi" w:eastAsia="Times New Roman" w:hAnsiTheme="majorHAnsi" w:cstheme="majorHAnsi"/>
                <w:color w:val="252D65"/>
                <w:lang w:val="en-US" w:eastAsia="en-US"/>
              </w:rPr>
              <w:t> </w:t>
            </w:r>
          </w:p>
        </w:tc>
        <w:tc>
          <w:tcPr>
            <w:tcW w:w="540" w:type="dxa"/>
            <w:hideMark/>
          </w:tcPr>
          <w:p w14:paraId="7202E476" w14:textId="77777777" w:rsidR="00C07794" w:rsidRPr="00C64064" w:rsidRDefault="00C07794" w:rsidP="00C07794">
            <w:pPr>
              <w:jc w:val="both"/>
              <w:textAlignment w:val="baseline"/>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AU" w:eastAsia="en-US"/>
              </w:rPr>
              <w:t>IDR</w:t>
            </w:r>
            <w:r w:rsidRPr="00C64064">
              <w:rPr>
                <w:rFonts w:asciiTheme="majorHAnsi" w:eastAsia="Times New Roman" w:hAnsiTheme="majorHAnsi" w:cstheme="majorHAnsi"/>
                <w:color w:val="252D65"/>
                <w:lang w:val="en-US" w:eastAsia="en-US"/>
              </w:rPr>
              <w:t> </w:t>
            </w:r>
          </w:p>
        </w:tc>
        <w:tc>
          <w:tcPr>
            <w:tcW w:w="1530" w:type="dxa"/>
            <w:hideMark/>
          </w:tcPr>
          <w:p w14:paraId="7403652C" w14:textId="77777777" w:rsidR="00C07794" w:rsidRPr="00C64064" w:rsidRDefault="00C07794" w:rsidP="00C07794">
            <w:pPr>
              <w:jc w:val="both"/>
              <w:textAlignment w:val="baseline"/>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AU" w:eastAsia="en-US"/>
              </w:rPr>
              <w:t>9,140,304</w:t>
            </w:r>
            <w:r w:rsidRPr="00C64064">
              <w:rPr>
                <w:rFonts w:asciiTheme="majorHAnsi" w:eastAsia="Times New Roman" w:hAnsiTheme="majorHAnsi" w:cstheme="majorHAnsi"/>
                <w:color w:val="252D65"/>
                <w:lang w:val="en-US" w:eastAsia="en-US"/>
              </w:rPr>
              <w:t> </w:t>
            </w:r>
          </w:p>
        </w:tc>
      </w:tr>
      <w:tr w:rsidR="00155BD6" w:rsidRPr="00C64064" w14:paraId="2686AADB" w14:textId="77777777" w:rsidTr="00155B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65" w:type="dxa"/>
            <w:hideMark/>
          </w:tcPr>
          <w:p w14:paraId="4C7F0DE0" w14:textId="64E38A4F" w:rsidR="00C07794" w:rsidRPr="00C64064" w:rsidRDefault="00C07794" w:rsidP="00C07794">
            <w:pPr>
              <w:jc w:val="both"/>
              <w:textAlignment w:val="baseline"/>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AU" w:eastAsia="en-US"/>
              </w:rPr>
              <w:t>veg</w:t>
            </w:r>
            <w:r w:rsidR="0027039A" w:rsidRPr="00C64064">
              <w:rPr>
                <w:rFonts w:asciiTheme="majorHAnsi" w:eastAsia="Times New Roman" w:hAnsiTheme="majorHAnsi" w:cstheme="majorHAnsi"/>
                <w:color w:val="252D65"/>
                <w:lang w:val="en-AU" w:eastAsia="en-US"/>
              </w:rPr>
              <w:t>etable</w:t>
            </w:r>
            <w:r w:rsidRPr="00C64064">
              <w:rPr>
                <w:rFonts w:asciiTheme="majorHAnsi" w:eastAsia="Times New Roman" w:hAnsiTheme="majorHAnsi" w:cstheme="majorHAnsi"/>
                <w:color w:val="252D65"/>
                <w:lang w:val="en-US" w:eastAsia="en-US"/>
              </w:rPr>
              <w:t> </w:t>
            </w:r>
          </w:p>
        </w:tc>
        <w:tc>
          <w:tcPr>
            <w:tcW w:w="540" w:type="dxa"/>
            <w:hideMark/>
          </w:tcPr>
          <w:p w14:paraId="4144203E" w14:textId="77777777" w:rsidR="00C07794" w:rsidRPr="00C64064" w:rsidRDefault="00C07794" w:rsidP="00C07794">
            <w:pPr>
              <w:jc w:val="both"/>
              <w:textAlignment w:val="baseline"/>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AU" w:eastAsia="en-US"/>
              </w:rPr>
              <w:t>IDR</w:t>
            </w:r>
            <w:r w:rsidRPr="00C64064">
              <w:rPr>
                <w:rFonts w:asciiTheme="majorHAnsi" w:eastAsia="Times New Roman" w:hAnsiTheme="majorHAnsi" w:cstheme="majorHAnsi"/>
                <w:color w:val="252D65"/>
                <w:lang w:val="en-US" w:eastAsia="en-US"/>
              </w:rPr>
              <w:t> </w:t>
            </w:r>
          </w:p>
        </w:tc>
        <w:tc>
          <w:tcPr>
            <w:tcW w:w="1530" w:type="dxa"/>
            <w:hideMark/>
          </w:tcPr>
          <w:p w14:paraId="6D95CA81" w14:textId="77777777" w:rsidR="00C07794" w:rsidRPr="00C64064" w:rsidRDefault="00C07794" w:rsidP="00C07794">
            <w:pPr>
              <w:jc w:val="both"/>
              <w:textAlignment w:val="baseline"/>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AU" w:eastAsia="en-US"/>
              </w:rPr>
              <w:t>6,283,836</w:t>
            </w:r>
            <w:r w:rsidRPr="00C64064">
              <w:rPr>
                <w:rFonts w:asciiTheme="majorHAnsi" w:eastAsia="Times New Roman" w:hAnsiTheme="majorHAnsi" w:cstheme="majorHAnsi"/>
                <w:color w:val="252D65"/>
                <w:lang w:val="en-US" w:eastAsia="en-US"/>
              </w:rPr>
              <w:t> </w:t>
            </w:r>
          </w:p>
        </w:tc>
      </w:tr>
      <w:tr w:rsidR="00155BD6" w:rsidRPr="00C64064" w14:paraId="122E796F" w14:textId="77777777" w:rsidTr="00155BD6">
        <w:trPr>
          <w:trHeight w:val="300"/>
        </w:trPr>
        <w:tc>
          <w:tcPr>
            <w:cnfStyle w:val="001000000000" w:firstRow="0" w:lastRow="0" w:firstColumn="1" w:lastColumn="0" w:oddVBand="0" w:evenVBand="0" w:oddHBand="0" w:evenHBand="0" w:firstRowFirstColumn="0" w:firstRowLastColumn="0" w:lastRowFirstColumn="0" w:lastRowLastColumn="0"/>
            <w:tcW w:w="1965" w:type="dxa"/>
            <w:hideMark/>
          </w:tcPr>
          <w:p w14:paraId="17554DEE" w14:textId="661D000D" w:rsidR="00C07794" w:rsidRPr="00C64064" w:rsidRDefault="00C07794" w:rsidP="00C07794">
            <w:pPr>
              <w:jc w:val="both"/>
              <w:textAlignment w:val="baseline"/>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AU" w:eastAsia="en-US"/>
              </w:rPr>
              <w:t>ferti</w:t>
            </w:r>
            <w:r w:rsidR="0027039A" w:rsidRPr="00C64064">
              <w:rPr>
                <w:rFonts w:asciiTheme="majorHAnsi" w:eastAsia="Times New Roman" w:hAnsiTheme="majorHAnsi" w:cstheme="majorHAnsi"/>
                <w:color w:val="252D65"/>
                <w:lang w:val="en-AU" w:eastAsia="en-US"/>
              </w:rPr>
              <w:t>liser</w:t>
            </w:r>
            <w:r w:rsidRPr="00C64064">
              <w:rPr>
                <w:rFonts w:asciiTheme="majorHAnsi" w:eastAsia="Times New Roman" w:hAnsiTheme="majorHAnsi" w:cstheme="majorHAnsi"/>
                <w:color w:val="252D65"/>
                <w:lang w:val="en-US" w:eastAsia="en-US"/>
              </w:rPr>
              <w:t> </w:t>
            </w:r>
          </w:p>
        </w:tc>
        <w:tc>
          <w:tcPr>
            <w:tcW w:w="540" w:type="dxa"/>
            <w:hideMark/>
          </w:tcPr>
          <w:p w14:paraId="3E9B6A0B" w14:textId="77777777" w:rsidR="00C07794" w:rsidRPr="00C64064" w:rsidRDefault="00C07794" w:rsidP="00C07794">
            <w:pPr>
              <w:jc w:val="both"/>
              <w:textAlignment w:val="baseline"/>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AU" w:eastAsia="en-US"/>
              </w:rPr>
              <w:t>IDR</w:t>
            </w:r>
            <w:r w:rsidRPr="00C64064">
              <w:rPr>
                <w:rFonts w:asciiTheme="majorHAnsi" w:eastAsia="Times New Roman" w:hAnsiTheme="majorHAnsi" w:cstheme="majorHAnsi"/>
                <w:color w:val="252D65"/>
                <w:lang w:val="en-US" w:eastAsia="en-US"/>
              </w:rPr>
              <w:t> </w:t>
            </w:r>
          </w:p>
        </w:tc>
        <w:tc>
          <w:tcPr>
            <w:tcW w:w="1530" w:type="dxa"/>
            <w:hideMark/>
          </w:tcPr>
          <w:p w14:paraId="6B4005E1" w14:textId="77777777" w:rsidR="00C07794" w:rsidRPr="00C64064" w:rsidRDefault="00C07794" w:rsidP="00C07794">
            <w:pPr>
              <w:jc w:val="both"/>
              <w:textAlignment w:val="baseline"/>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AU" w:eastAsia="en-US"/>
              </w:rPr>
              <w:t>4,753,031</w:t>
            </w:r>
            <w:r w:rsidRPr="00C64064">
              <w:rPr>
                <w:rFonts w:asciiTheme="majorHAnsi" w:eastAsia="Times New Roman" w:hAnsiTheme="majorHAnsi" w:cstheme="majorHAnsi"/>
                <w:color w:val="252D65"/>
                <w:lang w:val="en-US" w:eastAsia="en-US"/>
              </w:rPr>
              <w:t> </w:t>
            </w:r>
          </w:p>
        </w:tc>
      </w:tr>
      <w:tr w:rsidR="00155BD6" w:rsidRPr="00C64064" w14:paraId="03FCED13" w14:textId="77777777" w:rsidTr="00155B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65" w:type="dxa"/>
            <w:hideMark/>
          </w:tcPr>
          <w:p w14:paraId="1BF551FF" w14:textId="77777777" w:rsidR="00C07794" w:rsidRPr="00C64064" w:rsidRDefault="00C07794" w:rsidP="00C07794">
            <w:pPr>
              <w:jc w:val="both"/>
              <w:textAlignment w:val="baseline"/>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AU" w:eastAsia="en-US"/>
              </w:rPr>
              <w:t>mungbean</w:t>
            </w:r>
            <w:r w:rsidRPr="00C64064">
              <w:rPr>
                <w:rFonts w:asciiTheme="majorHAnsi" w:eastAsia="Times New Roman" w:hAnsiTheme="majorHAnsi" w:cstheme="majorHAnsi"/>
                <w:color w:val="252D65"/>
                <w:lang w:val="en-US" w:eastAsia="en-US"/>
              </w:rPr>
              <w:t> </w:t>
            </w:r>
          </w:p>
        </w:tc>
        <w:tc>
          <w:tcPr>
            <w:tcW w:w="540" w:type="dxa"/>
            <w:hideMark/>
          </w:tcPr>
          <w:p w14:paraId="2D575FBB" w14:textId="77777777" w:rsidR="00C07794" w:rsidRPr="00C64064" w:rsidRDefault="00C07794" w:rsidP="00C07794">
            <w:pPr>
              <w:jc w:val="both"/>
              <w:textAlignment w:val="baseline"/>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AU" w:eastAsia="en-US"/>
              </w:rPr>
              <w:t>IDR</w:t>
            </w:r>
            <w:r w:rsidRPr="00C64064">
              <w:rPr>
                <w:rFonts w:asciiTheme="majorHAnsi" w:eastAsia="Times New Roman" w:hAnsiTheme="majorHAnsi" w:cstheme="majorHAnsi"/>
                <w:color w:val="252D65"/>
                <w:lang w:val="en-US" w:eastAsia="en-US"/>
              </w:rPr>
              <w:t> </w:t>
            </w:r>
          </w:p>
        </w:tc>
        <w:tc>
          <w:tcPr>
            <w:tcW w:w="1530" w:type="dxa"/>
            <w:hideMark/>
          </w:tcPr>
          <w:p w14:paraId="0C005657" w14:textId="77777777" w:rsidR="00C07794" w:rsidRPr="00C64064" w:rsidRDefault="00C07794" w:rsidP="00C07794">
            <w:pPr>
              <w:jc w:val="both"/>
              <w:textAlignment w:val="baseline"/>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AU" w:eastAsia="en-US"/>
              </w:rPr>
              <w:t>4,726,234</w:t>
            </w:r>
            <w:r w:rsidRPr="00C64064">
              <w:rPr>
                <w:rFonts w:asciiTheme="majorHAnsi" w:eastAsia="Times New Roman" w:hAnsiTheme="majorHAnsi" w:cstheme="majorHAnsi"/>
                <w:color w:val="252D65"/>
                <w:lang w:val="en-US" w:eastAsia="en-US"/>
              </w:rPr>
              <w:t> </w:t>
            </w:r>
          </w:p>
        </w:tc>
      </w:tr>
      <w:tr w:rsidR="00155BD6" w:rsidRPr="00C64064" w14:paraId="38856BEA" w14:textId="77777777" w:rsidTr="00155BD6">
        <w:trPr>
          <w:trHeight w:val="300"/>
        </w:trPr>
        <w:tc>
          <w:tcPr>
            <w:cnfStyle w:val="001000000000" w:firstRow="0" w:lastRow="0" w:firstColumn="1" w:lastColumn="0" w:oddVBand="0" w:evenVBand="0" w:oddHBand="0" w:evenHBand="0" w:firstRowFirstColumn="0" w:firstRowLastColumn="0" w:lastRowFirstColumn="0" w:lastRowLastColumn="0"/>
            <w:tcW w:w="1965" w:type="dxa"/>
            <w:hideMark/>
          </w:tcPr>
          <w:p w14:paraId="191F9E7D" w14:textId="77777777" w:rsidR="00C07794" w:rsidRPr="00C64064" w:rsidRDefault="00C07794" w:rsidP="00C07794">
            <w:pPr>
              <w:jc w:val="both"/>
              <w:textAlignment w:val="baseline"/>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US" w:eastAsia="en-US"/>
              </w:rPr>
              <w:t>beef </w:t>
            </w:r>
          </w:p>
        </w:tc>
        <w:tc>
          <w:tcPr>
            <w:tcW w:w="540" w:type="dxa"/>
            <w:hideMark/>
          </w:tcPr>
          <w:p w14:paraId="6D0FD7CE" w14:textId="77777777" w:rsidR="00C07794" w:rsidRPr="00C64064" w:rsidRDefault="00C07794" w:rsidP="00C07794">
            <w:pPr>
              <w:jc w:val="both"/>
              <w:textAlignment w:val="baseline"/>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AU" w:eastAsia="en-US"/>
              </w:rPr>
              <w:t>IDR</w:t>
            </w:r>
            <w:r w:rsidRPr="00C64064">
              <w:rPr>
                <w:rFonts w:asciiTheme="majorHAnsi" w:eastAsia="Times New Roman" w:hAnsiTheme="majorHAnsi" w:cstheme="majorHAnsi"/>
                <w:color w:val="252D65"/>
                <w:lang w:val="en-US" w:eastAsia="en-US"/>
              </w:rPr>
              <w:t> </w:t>
            </w:r>
          </w:p>
        </w:tc>
        <w:tc>
          <w:tcPr>
            <w:tcW w:w="1530" w:type="dxa"/>
            <w:hideMark/>
          </w:tcPr>
          <w:p w14:paraId="13D6F519" w14:textId="77777777" w:rsidR="00C07794" w:rsidRPr="00C64064" w:rsidRDefault="00C07794" w:rsidP="00C07794">
            <w:pPr>
              <w:jc w:val="both"/>
              <w:textAlignment w:val="baseline"/>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US" w:eastAsia="en-US"/>
              </w:rPr>
              <w:t>4,262,812 </w:t>
            </w:r>
          </w:p>
        </w:tc>
      </w:tr>
      <w:tr w:rsidR="00155BD6" w:rsidRPr="00C64064" w14:paraId="74133FAD" w14:textId="77777777" w:rsidTr="00155B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65" w:type="dxa"/>
            <w:hideMark/>
          </w:tcPr>
          <w:p w14:paraId="7189D3CF" w14:textId="77777777" w:rsidR="00C07794" w:rsidRPr="00C64064" w:rsidRDefault="00C07794" w:rsidP="00C07794">
            <w:pPr>
              <w:jc w:val="both"/>
              <w:textAlignment w:val="baseline"/>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US" w:eastAsia="en-US"/>
              </w:rPr>
              <w:t>pig </w:t>
            </w:r>
          </w:p>
        </w:tc>
        <w:tc>
          <w:tcPr>
            <w:tcW w:w="540" w:type="dxa"/>
            <w:hideMark/>
          </w:tcPr>
          <w:p w14:paraId="4F8FAA4E" w14:textId="77777777" w:rsidR="00C07794" w:rsidRPr="00C64064" w:rsidRDefault="00C07794" w:rsidP="00C07794">
            <w:pPr>
              <w:jc w:val="both"/>
              <w:textAlignment w:val="baseline"/>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AU" w:eastAsia="en-US"/>
              </w:rPr>
              <w:t>IDR</w:t>
            </w:r>
            <w:r w:rsidRPr="00C64064">
              <w:rPr>
                <w:rFonts w:asciiTheme="majorHAnsi" w:eastAsia="Times New Roman" w:hAnsiTheme="majorHAnsi" w:cstheme="majorHAnsi"/>
                <w:color w:val="252D65"/>
                <w:lang w:val="en-US" w:eastAsia="en-US"/>
              </w:rPr>
              <w:t> </w:t>
            </w:r>
          </w:p>
        </w:tc>
        <w:tc>
          <w:tcPr>
            <w:tcW w:w="1530" w:type="dxa"/>
            <w:hideMark/>
          </w:tcPr>
          <w:p w14:paraId="558540C9" w14:textId="77777777" w:rsidR="00C07794" w:rsidRPr="00C64064" w:rsidRDefault="00C07794" w:rsidP="00C07794">
            <w:pPr>
              <w:jc w:val="both"/>
              <w:textAlignment w:val="baseline"/>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US" w:eastAsia="en-US"/>
              </w:rPr>
              <w:t>2,606,400 </w:t>
            </w:r>
          </w:p>
        </w:tc>
      </w:tr>
      <w:tr w:rsidR="00155BD6" w:rsidRPr="00C64064" w14:paraId="12D936C8" w14:textId="77777777" w:rsidTr="00155BD6">
        <w:trPr>
          <w:trHeight w:val="300"/>
        </w:trPr>
        <w:tc>
          <w:tcPr>
            <w:cnfStyle w:val="001000000000" w:firstRow="0" w:lastRow="0" w:firstColumn="1" w:lastColumn="0" w:oddVBand="0" w:evenVBand="0" w:oddHBand="0" w:evenHBand="0" w:firstRowFirstColumn="0" w:firstRowLastColumn="0" w:lastRowFirstColumn="0" w:lastRowLastColumn="0"/>
            <w:tcW w:w="1965" w:type="dxa"/>
            <w:hideMark/>
          </w:tcPr>
          <w:p w14:paraId="217EB5D4" w14:textId="77777777" w:rsidR="00C07794" w:rsidRPr="00C64064" w:rsidRDefault="00C07794" w:rsidP="00C07794">
            <w:pPr>
              <w:jc w:val="both"/>
              <w:textAlignment w:val="baseline"/>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US" w:eastAsia="en-US"/>
              </w:rPr>
              <w:t>rice </w:t>
            </w:r>
          </w:p>
        </w:tc>
        <w:tc>
          <w:tcPr>
            <w:tcW w:w="540" w:type="dxa"/>
            <w:hideMark/>
          </w:tcPr>
          <w:p w14:paraId="151241BD" w14:textId="77777777" w:rsidR="00C07794" w:rsidRPr="00C64064" w:rsidRDefault="00C07794" w:rsidP="00C07794">
            <w:pPr>
              <w:jc w:val="both"/>
              <w:textAlignment w:val="baseline"/>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AU" w:eastAsia="en-US"/>
              </w:rPr>
              <w:t>IDR</w:t>
            </w:r>
            <w:r w:rsidRPr="00C64064">
              <w:rPr>
                <w:rFonts w:asciiTheme="majorHAnsi" w:eastAsia="Times New Roman" w:hAnsiTheme="majorHAnsi" w:cstheme="majorHAnsi"/>
                <w:color w:val="252D65"/>
                <w:lang w:val="en-US" w:eastAsia="en-US"/>
              </w:rPr>
              <w:t> </w:t>
            </w:r>
          </w:p>
        </w:tc>
        <w:tc>
          <w:tcPr>
            <w:tcW w:w="1530" w:type="dxa"/>
            <w:hideMark/>
          </w:tcPr>
          <w:p w14:paraId="78709A37" w14:textId="77777777" w:rsidR="00C07794" w:rsidRPr="00C64064" w:rsidRDefault="00C07794" w:rsidP="00C07794">
            <w:pPr>
              <w:jc w:val="both"/>
              <w:textAlignment w:val="baseline"/>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US" w:eastAsia="en-US"/>
              </w:rPr>
              <w:t>1,810,169 </w:t>
            </w:r>
          </w:p>
        </w:tc>
      </w:tr>
      <w:tr w:rsidR="00155BD6" w:rsidRPr="00C64064" w14:paraId="35FDE6BF" w14:textId="77777777" w:rsidTr="00155B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65" w:type="dxa"/>
            <w:hideMark/>
          </w:tcPr>
          <w:p w14:paraId="32174171" w14:textId="2FCB2F08" w:rsidR="00C07794" w:rsidRPr="00C64064" w:rsidRDefault="00C07794" w:rsidP="00C07794">
            <w:pPr>
              <w:jc w:val="both"/>
              <w:textAlignment w:val="baseline"/>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US" w:eastAsia="en-US"/>
              </w:rPr>
              <w:t>mech</w:t>
            </w:r>
            <w:r w:rsidR="0027039A" w:rsidRPr="00C64064">
              <w:rPr>
                <w:rFonts w:asciiTheme="majorHAnsi" w:eastAsia="Times New Roman" w:hAnsiTheme="majorHAnsi" w:cstheme="majorHAnsi"/>
                <w:color w:val="252D65"/>
                <w:lang w:val="en-US" w:eastAsia="en-US"/>
              </w:rPr>
              <w:t>anisation</w:t>
            </w:r>
            <w:r w:rsidRPr="00C64064">
              <w:rPr>
                <w:rFonts w:asciiTheme="majorHAnsi" w:eastAsia="Times New Roman" w:hAnsiTheme="majorHAnsi" w:cstheme="majorHAnsi"/>
                <w:color w:val="252D65"/>
                <w:lang w:val="en-US" w:eastAsia="en-US"/>
              </w:rPr>
              <w:t> </w:t>
            </w:r>
          </w:p>
        </w:tc>
        <w:tc>
          <w:tcPr>
            <w:tcW w:w="540" w:type="dxa"/>
            <w:hideMark/>
          </w:tcPr>
          <w:p w14:paraId="41365B07" w14:textId="77777777" w:rsidR="00C07794" w:rsidRPr="00C64064" w:rsidRDefault="00C07794" w:rsidP="00C07794">
            <w:pPr>
              <w:jc w:val="both"/>
              <w:textAlignment w:val="baseline"/>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AU" w:eastAsia="en-US"/>
              </w:rPr>
              <w:t>IDR</w:t>
            </w:r>
            <w:r w:rsidRPr="00C64064">
              <w:rPr>
                <w:rFonts w:asciiTheme="majorHAnsi" w:eastAsia="Times New Roman" w:hAnsiTheme="majorHAnsi" w:cstheme="majorHAnsi"/>
                <w:color w:val="252D65"/>
                <w:lang w:val="en-US" w:eastAsia="en-US"/>
              </w:rPr>
              <w:t> </w:t>
            </w:r>
          </w:p>
        </w:tc>
        <w:tc>
          <w:tcPr>
            <w:tcW w:w="1530" w:type="dxa"/>
            <w:hideMark/>
          </w:tcPr>
          <w:p w14:paraId="5D4EE040" w14:textId="77777777" w:rsidR="00C07794" w:rsidRPr="00C64064" w:rsidRDefault="00C07794" w:rsidP="00C07794">
            <w:pPr>
              <w:jc w:val="both"/>
              <w:textAlignment w:val="baseline"/>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52D65"/>
                <w:lang w:val="en-US" w:eastAsia="en-US"/>
              </w:rPr>
            </w:pPr>
            <w:r w:rsidRPr="00C64064">
              <w:rPr>
                <w:rFonts w:asciiTheme="majorHAnsi" w:eastAsia="Times New Roman" w:hAnsiTheme="majorHAnsi" w:cstheme="majorHAnsi"/>
                <w:color w:val="252D65"/>
                <w:lang w:val="en-US" w:eastAsia="en-US"/>
              </w:rPr>
              <w:t>1,356,029 </w:t>
            </w:r>
          </w:p>
        </w:tc>
      </w:tr>
    </w:tbl>
    <w:p w14:paraId="6889EBA6" w14:textId="286D3F91" w:rsidR="00C07794" w:rsidRPr="00C64064" w:rsidRDefault="00C07794" w:rsidP="00C07794">
      <w:pPr>
        <w:spacing w:after="0" w:line="240" w:lineRule="auto"/>
        <w:jc w:val="both"/>
        <w:textAlignment w:val="baseline"/>
        <w:rPr>
          <w:rFonts w:asciiTheme="majorHAnsi" w:eastAsia="Times New Roman" w:hAnsiTheme="majorHAnsi" w:cstheme="majorHAnsi"/>
          <w:sz w:val="18"/>
          <w:szCs w:val="18"/>
          <w:lang w:val="en-US" w:eastAsia="en-US"/>
        </w:rPr>
      </w:pPr>
      <w:r w:rsidRPr="00C64064">
        <w:rPr>
          <w:rFonts w:asciiTheme="majorHAnsi" w:eastAsia="Times New Roman" w:hAnsiTheme="majorHAnsi" w:cstheme="majorHAnsi"/>
          <w:lang w:val="en-US" w:eastAsia="en-US"/>
        </w:rPr>
        <w:t> </w:t>
      </w:r>
    </w:p>
    <w:p w14:paraId="0E223D56" w14:textId="548C2452" w:rsidR="00C07794" w:rsidRPr="00C64064" w:rsidRDefault="00C07794" w:rsidP="00B03C3A">
      <w:pPr>
        <w:pStyle w:val="Head3"/>
      </w:pPr>
      <w:bookmarkStart w:id="991" w:name="_Toc173319167"/>
      <w:bookmarkStart w:id="992" w:name="_Toc179192336"/>
      <w:bookmarkStart w:id="993" w:name="_Toc180155199"/>
      <w:r w:rsidRPr="00C64064">
        <w:lastRenderedPageBreak/>
        <w:t xml:space="preserve">KPI 3 - Number of </w:t>
      </w:r>
      <w:r w:rsidR="0027039A" w:rsidRPr="00C64064">
        <w:t>i</w:t>
      </w:r>
      <w:r w:rsidRPr="00C64064">
        <w:t xml:space="preserve">ntermediary </w:t>
      </w:r>
      <w:r w:rsidR="0027039A" w:rsidRPr="00C64064">
        <w:t>s</w:t>
      </w:r>
      <w:r w:rsidRPr="00C64064">
        <w:t xml:space="preserve">ervice </w:t>
      </w:r>
      <w:r w:rsidR="0027039A" w:rsidRPr="00C64064">
        <w:t>p</w:t>
      </w:r>
      <w:r w:rsidRPr="00C64064">
        <w:t>roviders (ISPs) providing additional or improved access to innovation to farm</w:t>
      </w:r>
      <w:r w:rsidR="00496E3E" w:rsidRPr="00C64064">
        <w:t>ing</w:t>
      </w:r>
      <w:r w:rsidRPr="00C64064">
        <w:t xml:space="preserve"> households</w:t>
      </w:r>
      <w:bookmarkEnd w:id="991"/>
      <w:bookmarkEnd w:id="992"/>
      <w:bookmarkEnd w:id="993"/>
    </w:p>
    <w:p w14:paraId="5297D3A6" w14:textId="576C059B" w:rsidR="00C07794" w:rsidRPr="00C64064" w:rsidRDefault="00C07794" w:rsidP="00C07794">
      <w:pPr>
        <w:spacing w:after="0" w:line="240" w:lineRule="auto"/>
        <w:jc w:val="both"/>
        <w:textAlignment w:val="baseline"/>
        <w:rPr>
          <w:rFonts w:asciiTheme="majorHAnsi" w:eastAsia="Times New Roman" w:hAnsiTheme="majorHAnsi" w:cstheme="majorHAnsi"/>
          <w:sz w:val="18"/>
          <w:szCs w:val="18"/>
          <w:lang w:val="en-US" w:eastAsia="en-US"/>
        </w:rPr>
      </w:pPr>
      <w:r w:rsidRPr="00C64064">
        <w:rPr>
          <w:rFonts w:asciiTheme="majorHAnsi" w:eastAsia="Times New Roman" w:hAnsiTheme="majorHAnsi" w:cstheme="majorHAnsi"/>
          <w:lang w:val="en-AU" w:eastAsia="en-US"/>
        </w:rPr>
        <w:t>This semester, 95 new ISPs started providing improved services and delivering innovation</w:t>
      </w:r>
      <w:r w:rsidR="00B66A43" w:rsidRPr="00C64064">
        <w:rPr>
          <w:rFonts w:asciiTheme="majorHAnsi" w:eastAsia="Times New Roman" w:hAnsiTheme="majorHAnsi" w:cstheme="majorHAnsi"/>
          <w:lang w:val="en-AU" w:eastAsia="en-US"/>
        </w:rPr>
        <w:t>s</w:t>
      </w:r>
      <w:r w:rsidRPr="00C64064">
        <w:rPr>
          <w:rFonts w:asciiTheme="majorHAnsi" w:eastAsia="Times New Roman" w:hAnsiTheme="majorHAnsi" w:cstheme="majorHAnsi"/>
          <w:lang w:val="en-AU" w:eastAsia="en-US"/>
        </w:rPr>
        <w:t xml:space="preserve"> from PRISMA’s partners to smallholder farmers, bringing the cumulative number </w:t>
      </w:r>
      <w:r w:rsidR="00496E3E" w:rsidRPr="00C64064">
        <w:rPr>
          <w:rFonts w:asciiTheme="majorHAnsi" w:eastAsia="Times New Roman" w:hAnsiTheme="majorHAnsi" w:cstheme="majorHAnsi"/>
          <w:lang w:val="en-AU" w:eastAsia="en-US"/>
        </w:rPr>
        <w:t xml:space="preserve">of ISPs </w:t>
      </w:r>
      <w:r w:rsidRPr="00C64064">
        <w:rPr>
          <w:rFonts w:asciiTheme="majorHAnsi" w:eastAsia="Times New Roman" w:hAnsiTheme="majorHAnsi" w:cstheme="majorHAnsi"/>
          <w:lang w:val="en-AU" w:eastAsia="en-US"/>
        </w:rPr>
        <w:t>to 15,107. Pig sector partners added 32 intermediary providers for breeding interventions</w:t>
      </w:r>
      <w:r w:rsidR="004A5338" w:rsidRPr="00C64064">
        <w:rPr>
          <w:rFonts w:asciiTheme="majorHAnsi" w:eastAsia="Times New Roman" w:hAnsiTheme="majorHAnsi" w:cstheme="majorHAnsi"/>
          <w:lang w:val="en-AU" w:eastAsia="en-US"/>
        </w:rPr>
        <w:t>,</w:t>
      </w:r>
      <w:r w:rsidRPr="00C64064">
        <w:rPr>
          <w:rFonts w:asciiTheme="majorHAnsi" w:eastAsia="Times New Roman" w:hAnsiTheme="majorHAnsi" w:cstheme="majorHAnsi"/>
          <w:lang w:val="en-AU" w:eastAsia="en-US"/>
        </w:rPr>
        <w:t xml:space="preserve"> and </w:t>
      </w:r>
      <w:r w:rsidR="00496E3E" w:rsidRPr="00C64064">
        <w:rPr>
          <w:rFonts w:asciiTheme="majorHAnsi" w:eastAsia="Times New Roman" w:hAnsiTheme="majorHAnsi" w:cstheme="majorHAnsi"/>
          <w:lang w:val="en-AU" w:eastAsia="en-US"/>
        </w:rPr>
        <w:t xml:space="preserve">the </w:t>
      </w:r>
      <w:r w:rsidRPr="00C64064">
        <w:rPr>
          <w:rFonts w:asciiTheme="majorHAnsi" w:eastAsia="Times New Roman" w:hAnsiTheme="majorHAnsi" w:cstheme="majorHAnsi"/>
          <w:lang w:val="en-AU" w:eastAsia="en-US"/>
        </w:rPr>
        <w:t>remaining ISPs came from partners in the mechanisation, beef, rice, and vegetable sectors. </w:t>
      </w:r>
      <w:r w:rsidRPr="00C64064">
        <w:rPr>
          <w:rFonts w:asciiTheme="majorHAnsi" w:eastAsia="Times New Roman" w:hAnsiTheme="majorHAnsi" w:cstheme="majorHAnsi"/>
          <w:lang w:val="en-US" w:eastAsia="en-US"/>
        </w:rPr>
        <w:t> </w:t>
      </w:r>
    </w:p>
    <w:p w14:paraId="259F651E" w14:textId="503A7391" w:rsidR="00C07794" w:rsidRPr="00C64064" w:rsidRDefault="00C07794" w:rsidP="00B03C3A">
      <w:pPr>
        <w:pStyle w:val="Head3"/>
      </w:pPr>
      <w:bookmarkStart w:id="994" w:name="_Toc173319168"/>
      <w:bookmarkStart w:id="995" w:name="_Toc179192337"/>
      <w:bookmarkStart w:id="996" w:name="_Toc180155200"/>
      <w:r w:rsidRPr="00C64064">
        <w:t xml:space="preserve">KPI 4 – </w:t>
      </w:r>
      <w:r w:rsidR="00496E3E" w:rsidRPr="00C64064">
        <w:t>Women’s economic empowerment (</w:t>
      </w:r>
      <w:r w:rsidRPr="00C64064">
        <w:t>WEE</w:t>
      </w:r>
      <w:r w:rsidR="00496E3E" w:rsidRPr="00C64064">
        <w:t>)</w:t>
      </w:r>
      <w:r w:rsidRPr="00C64064">
        <w:t xml:space="preserve"> </w:t>
      </w:r>
      <w:r w:rsidR="00496E3E" w:rsidRPr="00C64064">
        <w:t>e</w:t>
      </w:r>
      <w:r w:rsidRPr="00C64064">
        <w:t>ffectiveness within PRISMA innovations</w:t>
      </w:r>
      <w:bookmarkEnd w:id="994"/>
      <w:bookmarkEnd w:id="995"/>
      <w:bookmarkEnd w:id="996"/>
      <w:r w:rsidRPr="00C64064">
        <w:t> </w:t>
      </w:r>
    </w:p>
    <w:p w14:paraId="6EF6F342" w14:textId="6D70748A" w:rsidR="00C07794" w:rsidRPr="00C64064" w:rsidRDefault="00C07794" w:rsidP="00C07794">
      <w:pPr>
        <w:spacing w:after="0" w:line="240" w:lineRule="auto"/>
        <w:jc w:val="both"/>
        <w:textAlignment w:val="baseline"/>
        <w:rPr>
          <w:rFonts w:asciiTheme="majorHAnsi" w:eastAsia="Times New Roman" w:hAnsiTheme="majorHAnsi" w:cstheme="majorHAnsi"/>
          <w:sz w:val="18"/>
          <w:szCs w:val="18"/>
          <w:lang w:val="en-US" w:eastAsia="en-US"/>
        </w:rPr>
      </w:pPr>
      <w:r w:rsidRPr="00C64064">
        <w:rPr>
          <w:rFonts w:asciiTheme="majorHAnsi" w:eastAsia="Times New Roman" w:hAnsiTheme="majorHAnsi" w:cstheme="majorHAnsi"/>
          <w:lang w:val="en-AU" w:eastAsia="en-US"/>
        </w:rPr>
        <w:t>KPI 4 represents the ratio between the proportion of women accessed (by PRISMA's partners) to the proportion of their participation in farming. The ideal ratio is 1.0, which means th</w:t>
      </w:r>
      <w:r w:rsidR="00496E3E" w:rsidRPr="00C64064">
        <w:rPr>
          <w:rFonts w:asciiTheme="majorHAnsi" w:eastAsia="Times New Roman" w:hAnsiTheme="majorHAnsi" w:cstheme="majorHAnsi"/>
          <w:lang w:val="en-AU" w:eastAsia="en-US"/>
        </w:rPr>
        <w:t>at</w:t>
      </w:r>
      <w:r w:rsidRPr="00C64064">
        <w:rPr>
          <w:rFonts w:asciiTheme="majorHAnsi" w:eastAsia="Times New Roman" w:hAnsiTheme="majorHAnsi" w:cstheme="majorHAnsi"/>
          <w:lang w:val="en-AU" w:eastAsia="en-US"/>
        </w:rPr>
        <w:t xml:space="preserve"> agribusinesses provide information to the full proportion of women that match their farming participation.</w:t>
      </w:r>
      <w:r w:rsidRPr="00C64064">
        <w:rPr>
          <w:rFonts w:asciiTheme="majorHAnsi" w:eastAsia="Times New Roman" w:hAnsiTheme="majorHAnsi" w:cstheme="majorHAnsi"/>
          <w:lang w:val="en-US" w:eastAsia="en-US"/>
        </w:rPr>
        <w:t> </w:t>
      </w:r>
    </w:p>
    <w:p w14:paraId="12DF1022" w14:textId="61E94CC4" w:rsidR="00C07794" w:rsidRPr="00C64064" w:rsidRDefault="00C07794" w:rsidP="00C07794">
      <w:pPr>
        <w:spacing w:after="0" w:line="240" w:lineRule="auto"/>
        <w:jc w:val="both"/>
        <w:textAlignment w:val="baseline"/>
        <w:rPr>
          <w:rFonts w:asciiTheme="majorHAnsi" w:eastAsia="Times New Roman" w:hAnsiTheme="majorHAnsi" w:cstheme="majorHAnsi"/>
          <w:sz w:val="18"/>
          <w:szCs w:val="18"/>
          <w:lang w:val="en-US" w:eastAsia="en-US"/>
        </w:rPr>
      </w:pPr>
      <w:r w:rsidRPr="00C64064">
        <w:rPr>
          <w:rFonts w:asciiTheme="majorHAnsi" w:eastAsia="Times New Roman" w:hAnsiTheme="majorHAnsi" w:cstheme="majorHAnsi"/>
          <w:lang w:val="en-AU" w:eastAsia="en-US"/>
        </w:rPr>
        <w:t xml:space="preserve">The WEE effectiveness score increased significantly from </w:t>
      </w:r>
      <w:r w:rsidR="00D57399">
        <w:rPr>
          <w:rFonts w:asciiTheme="majorHAnsi" w:eastAsia="Times New Roman" w:hAnsiTheme="majorHAnsi" w:cstheme="majorHAnsi"/>
          <w:lang w:val="en-AU" w:eastAsia="en-US"/>
        </w:rPr>
        <w:t>0.91</w:t>
      </w:r>
      <w:r w:rsidRPr="00C64064">
        <w:rPr>
          <w:rFonts w:asciiTheme="majorHAnsi" w:eastAsia="Times New Roman" w:hAnsiTheme="majorHAnsi" w:cstheme="majorHAnsi"/>
          <w:lang w:val="en-AU" w:eastAsia="en-US"/>
        </w:rPr>
        <w:t xml:space="preserve"> to 1.59. PRISMA partners have successfully engage</w:t>
      </w:r>
      <w:r w:rsidR="00B66A43" w:rsidRPr="00C64064">
        <w:rPr>
          <w:rFonts w:asciiTheme="majorHAnsi" w:eastAsia="Times New Roman" w:hAnsiTheme="majorHAnsi" w:cstheme="majorHAnsi"/>
          <w:lang w:val="en-AU" w:eastAsia="en-US"/>
        </w:rPr>
        <w:t>d</w:t>
      </w:r>
      <w:r w:rsidRPr="00C64064">
        <w:rPr>
          <w:rFonts w:asciiTheme="majorHAnsi" w:eastAsia="Times New Roman" w:hAnsiTheme="majorHAnsi" w:cstheme="majorHAnsi"/>
          <w:lang w:val="en-AU" w:eastAsia="en-US"/>
        </w:rPr>
        <w:t xml:space="preserve"> more women</w:t>
      </w:r>
      <w:r w:rsidR="00B66A43" w:rsidRPr="00C64064">
        <w:rPr>
          <w:rFonts w:asciiTheme="majorHAnsi" w:eastAsia="Times New Roman" w:hAnsiTheme="majorHAnsi" w:cstheme="majorHAnsi"/>
          <w:lang w:val="en-AU" w:eastAsia="en-US"/>
        </w:rPr>
        <w:t xml:space="preserve"> proportionally</w:t>
      </w:r>
      <w:r w:rsidRPr="00C64064">
        <w:rPr>
          <w:rFonts w:asciiTheme="majorHAnsi" w:eastAsia="Times New Roman" w:hAnsiTheme="majorHAnsi" w:cstheme="majorHAnsi"/>
          <w:lang w:val="en-AU" w:eastAsia="en-US"/>
        </w:rPr>
        <w:t xml:space="preserve"> to</w:t>
      </w:r>
      <w:r w:rsidR="005C0D4E" w:rsidRPr="00C64064">
        <w:rPr>
          <w:rFonts w:asciiTheme="majorHAnsi" w:eastAsia="Times New Roman" w:hAnsiTheme="majorHAnsi" w:cstheme="majorHAnsi"/>
          <w:lang w:val="en-AU" w:eastAsia="en-US"/>
        </w:rPr>
        <w:t xml:space="preserve"> </w:t>
      </w:r>
      <w:r w:rsidRPr="00C64064">
        <w:rPr>
          <w:rFonts w:asciiTheme="majorHAnsi" w:eastAsia="Times New Roman" w:hAnsiTheme="majorHAnsi" w:cstheme="majorHAnsi"/>
          <w:lang w:val="en-AU" w:eastAsia="en-US"/>
        </w:rPr>
        <w:t xml:space="preserve">the overall </w:t>
      </w:r>
      <w:r w:rsidR="004A5338" w:rsidRPr="00C64064">
        <w:rPr>
          <w:rFonts w:asciiTheme="majorHAnsi" w:eastAsia="Times New Roman" w:hAnsiTheme="majorHAnsi" w:cstheme="majorHAnsi"/>
          <w:lang w:val="en-AU" w:eastAsia="en-US"/>
        </w:rPr>
        <w:t xml:space="preserve">involvement of </w:t>
      </w:r>
      <w:r w:rsidRPr="00C64064">
        <w:rPr>
          <w:rFonts w:asciiTheme="majorHAnsi" w:eastAsia="Times New Roman" w:hAnsiTheme="majorHAnsi" w:cstheme="majorHAnsi"/>
          <w:lang w:val="en-AU" w:eastAsia="en-US"/>
        </w:rPr>
        <w:t>women in the sector. The cumulative WEE effectiveness now stands at 0.79</w:t>
      </w:r>
      <w:r w:rsidR="00AE1C80" w:rsidRPr="00C64064">
        <w:rPr>
          <w:rFonts w:asciiTheme="majorHAnsi" w:eastAsia="Times New Roman" w:hAnsiTheme="majorHAnsi" w:cstheme="majorHAnsi"/>
          <w:lang w:val="en-AU" w:eastAsia="en-US"/>
        </w:rPr>
        <w:t>, which is</w:t>
      </w:r>
      <w:r w:rsidRPr="00C64064">
        <w:rPr>
          <w:rFonts w:asciiTheme="majorHAnsi" w:eastAsia="Times New Roman" w:hAnsiTheme="majorHAnsi" w:cstheme="majorHAnsi"/>
          <w:lang w:val="en-AU" w:eastAsia="en-US"/>
        </w:rPr>
        <w:t xml:space="preserve"> </w:t>
      </w:r>
      <w:r w:rsidR="000753C1" w:rsidRPr="00C64064">
        <w:rPr>
          <w:rFonts w:asciiTheme="majorHAnsi" w:eastAsia="Times New Roman" w:hAnsiTheme="majorHAnsi" w:cstheme="majorHAnsi"/>
          <w:lang w:val="en-AU" w:eastAsia="en-US"/>
        </w:rPr>
        <w:t xml:space="preserve">up </w:t>
      </w:r>
      <w:r w:rsidRPr="00C64064">
        <w:rPr>
          <w:rFonts w:asciiTheme="majorHAnsi" w:eastAsia="Times New Roman" w:hAnsiTheme="majorHAnsi" w:cstheme="majorHAnsi"/>
          <w:lang w:val="en-AU" w:eastAsia="en-US"/>
        </w:rPr>
        <w:t xml:space="preserve">from 0.75 in the previous semester. These results underscore PRISMA's commitment to promoting gender equality and inclusivity, showcasing the positive impact of </w:t>
      </w:r>
      <w:r w:rsidR="009028FE" w:rsidRPr="00C64064">
        <w:rPr>
          <w:rFonts w:asciiTheme="majorHAnsi" w:eastAsia="Times New Roman" w:hAnsiTheme="majorHAnsi" w:cstheme="majorHAnsi"/>
          <w:lang w:val="en-AU" w:eastAsia="en-US"/>
        </w:rPr>
        <w:t>its</w:t>
      </w:r>
      <w:r w:rsidRPr="00C64064">
        <w:rPr>
          <w:rFonts w:asciiTheme="majorHAnsi" w:eastAsia="Times New Roman" w:hAnsiTheme="majorHAnsi" w:cstheme="majorHAnsi"/>
          <w:lang w:val="en-AU" w:eastAsia="en-US"/>
        </w:rPr>
        <w:t xml:space="preserve"> interventions in empowering women economically within the agricultural sector.</w:t>
      </w:r>
      <w:r w:rsidRPr="00C64064">
        <w:rPr>
          <w:rFonts w:asciiTheme="majorHAnsi" w:eastAsia="Times New Roman" w:hAnsiTheme="majorHAnsi" w:cstheme="majorHAnsi"/>
          <w:lang w:val="en-US" w:eastAsia="en-US"/>
        </w:rPr>
        <w:t> </w:t>
      </w:r>
    </w:p>
    <w:p w14:paraId="127AA439" w14:textId="29674B56" w:rsidR="00C07794" w:rsidRPr="00C64064" w:rsidRDefault="00C07794" w:rsidP="00B03C3A">
      <w:pPr>
        <w:pStyle w:val="Head3"/>
      </w:pPr>
      <w:bookmarkStart w:id="997" w:name="_Toc173319169"/>
      <w:bookmarkStart w:id="998" w:name="_Toc179192338"/>
      <w:bookmarkStart w:id="999" w:name="_Toc180155201"/>
      <w:r w:rsidRPr="00C64064">
        <w:t>KPI 5 – Value of additional turnover of ISP</w:t>
      </w:r>
      <w:r w:rsidR="009028FE" w:rsidRPr="00C64064">
        <w:t>s</w:t>
      </w:r>
      <w:bookmarkEnd w:id="997"/>
      <w:bookmarkEnd w:id="998"/>
      <w:bookmarkEnd w:id="999"/>
      <w:r w:rsidRPr="00C64064">
        <w:t> </w:t>
      </w:r>
    </w:p>
    <w:p w14:paraId="05FAD735" w14:textId="128231E0" w:rsidR="00C07794" w:rsidRPr="00C64064" w:rsidRDefault="00C07794" w:rsidP="00C07794">
      <w:pPr>
        <w:spacing w:after="0" w:line="240" w:lineRule="auto"/>
        <w:jc w:val="both"/>
        <w:textAlignment w:val="baseline"/>
        <w:rPr>
          <w:rFonts w:asciiTheme="majorHAnsi" w:eastAsia="Times New Roman" w:hAnsiTheme="majorHAnsi" w:cstheme="majorHAnsi"/>
          <w:sz w:val="18"/>
          <w:szCs w:val="18"/>
          <w:lang w:val="en-US" w:eastAsia="en-US"/>
        </w:rPr>
      </w:pPr>
      <w:r w:rsidRPr="00C64064">
        <w:rPr>
          <w:rFonts w:asciiTheme="majorHAnsi" w:eastAsia="Times New Roman" w:hAnsiTheme="majorHAnsi" w:cstheme="majorHAnsi"/>
          <w:lang w:val="en-AU" w:eastAsia="en-US"/>
        </w:rPr>
        <w:t xml:space="preserve">PRISMA recorded an incremental </w:t>
      </w:r>
      <w:r w:rsidR="00D57399" w:rsidRPr="00C64064">
        <w:rPr>
          <w:rFonts w:asciiTheme="majorHAnsi" w:eastAsia="Times New Roman" w:hAnsiTheme="majorHAnsi" w:cstheme="majorHAnsi"/>
          <w:lang w:val="en-AU" w:eastAsia="en-US"/>
        </w:rPr>
        <w:t>IDR</w:t>
      </w:r>
      <w:r w:rsidR="00D57399">
        <w:rPr>
          <w:rFonts w:asciiTheme="majorHAnsi" w:eastAsia="Times New Roman" w:hAnsiTheme="majorHAnsi" w:cstheme="majorHAnsi"/>
          <w:lang w:val="en-AU" w:eastAsia="en-US"/>
        </w:rPr>
        <w:t>194</w:t>
      </w:r>
      <w:r w:rsidR="00D57399" w:rsidRPr="00C64064">
        <w:rPr>
          <w:rFonts w:asciiTheme="majorHAnsi" w:eastAsia="Times New Roman" w:hAnsiTheme="majorHAnsi" w:cstheme="majorHAnsi"/>
          <w:lang w:val="en-AU" w:eastAsia="en-US"/>
        </w:rPr>
        <w:t xml:space="preserve"> </w:t>
      </w:r>
      <w:r w:rsidRPr="00C64064">
        <w:rPr>
          <w:rFonts w:asciiTheme="majorHAnsi" w:eastAsia="Times New Roman" w:hAnsiTheme="majorHAnsi" w:cstheme="majorHAnsi"/>
          <w:lang w:val="en-AU" w:eastAsia="en-US"/>
        </w:rPr>
        <w:t>billion (equivalent to AUD</w:t>
      </w:r>
      <w:r w:rsidR="00D57399">
        <w:rPr>
          <w:rFonts w:asciiTheme="majorHAnsi" w:eastAsia="Times New Roman" w:hAnsiTheme="majorHAnsi" w:cstheme="majorHAnsi"/>
          <w:lang w:val="en-AU" w:eastAsia="en-US"/>
        </w:rPr>
        <w:t>19.4</w:t>
      </w:r>
      <w:r w:rsidRPr="00C64064">
        <w:rPr>
          <w:rFonts w:asciiTheme="majorHAnsi" w:eastAsia="Times New Roman" w:hAnsiTheme="majorHAnsi" w:cstheme="majorHAnsi"/>
          <w:lang w:val="en-AU" w:eastAsia="en-US"/>
        </w:rPr>
        <w:t xml:space="preserve"> million) turnover of </w:t>
      </w:r>
      <w:r w:rsidR="009028FE" w:rsidRPr="00C64064">
        <w:rPr>
          <w:rFonts w:asciiTheme="majorHAnsi" w:eastAsia="Times New Roman" w:hAnsiTheme="majorHAnsi" w:cstheme="majorHAnsi"/>
          <w:lang w:val="en-AU" w:eastAsia="en-US"/>
        </w:rPr>
        <w:t xml:space="preserve">its partners’ </w:t>
      </w:r>
      <w:r w:rsidRPr="00C64064">
        <w:rPr>
          <w:rFonts w:asciiTheme="majorHAnsi" w:eastAsia="Times New Roman" w:hAnsiTheme="majorHAnsi" w:cstheme="majorHAnsi"/>
          <w:lang w:val="en-AU" w:eastAsia="en-US"/>
        </w:rPr>
        <w:t>ISPs. The most significant contribution came from the ISPs in the beef sector</w:t>
      </w:r>
      <w:r w:rsidR="009028FE" w:rsidRPr="00C64064">
        <w:rPr>
          <w:rFonts w:asciiTheme="majorHAnsi" w:eastAsia="Times New Roman" w:hAnsiTheme="majorHAnsi" w:cstheme="majorHAnsi"/>
          <w:lang w:val="en-AU" w:eastAsia="en-US"/>
        </w:rPr>
        <w:t>,</w:t>
      </w:r>
      <w:r w:rsidRPr="00C64064">
        <w:rPr>
          <w:rFonts w:asciiTheme="majorHAnsi" w:eastAsia="Times New Roman" w:hAnsiTheme="majorHAnsi" w:cstheme="majorHAnsi"/>
          <w:lang w:val="en-AU" w:eastAsia="en-US"/>
        </w:rPr>
        <w:t xml:space="preserve"> which brought</w:t>
      </w:r>
      <w:r w:rsidR="009028FE" w:rsidRPr="00C64064">
        <w:rPr>
          <w:rFonts w:asciiTheme="majorHAnsi" w:eastAsia="Times New Roman" w:hAnsiTheme="majorHAnsi" w:cstheme="majorHAnsi"/>
          <w:lang w:val="en-AU" w:eastAsia="en-US"/>
        </w:rPr>
        <w:t xml:space="preserve"> the</w:t>
      </w:r>
      <w:r w:rsidRPr="00C64064">
        <w:rPr>
          <w:rFonts w:asciiTheme="majorHAnsi" w:eastAsia="Times New Roman" w:hAnsiTheme="majorHAnsi" w:cstheme="majorHAnsi"/>
          <w:lang w:val="en-AU" w:eastAsia="en-US"/>
        </w:rPr>
        <w:t xml:space="preserve"> cumulative ISP turnover to IDR2.46 trillion (AUD246 million) and is proof of the sustainability and effectiveness of the business models introduced through PRISMA's partners.</w:t>
      </w:r>
      <w:r w:rsidRPr="00C64064">
        <w:rPr>
          <w:rFonts w:asciiTheme="majorHAnsi" w:eastAsia="Times New Roman" w:hAnsiTheme="majorHAnsi" w:cstheme="majorHAnsi"/>
          <w:lang w:val="en-US" w:eastAsia="en-US"/>
        </w:rPr>
        <w:t> </w:t>
      </w:r>
    </w:p>
    <w:p w14:paraId="031EBE16" w14:textId="14179669" w:rsidR="00C07794" w:rsidRPr="00C64064" w:rsidRDefault="00C07794" w:rsidP="00B03C3A">
      <w:pPr>
        <w:pStyle w:val="Head3"/>
      </w:pPr>
      <w:bookmarkStart w:id="1000" w:name="_Toc173319170"/>
      <w:bookmarkStart w:id="1001" w:name="_Toc179192339"/>
      <w:bookmarkStart w:id="1002" w:name="_Toc180155202"/>
      <w:r w:rsidRPr="00C64064">
        <w:t>KPI 6 - Number of intervention partners (private and public sector)</w:t>
      </w:r>
      <w:bookmarkEnd w:id="1000"/>
      <w:bookmarkEnd w:id="1001"/>
      <w:bookmarkEnd w:id="1002"/>
    </w:p>
    <w:p w14:paraId="4D6EFD73" w14:textId="19401C44" w:rsidR="00C07794" w:rsidRPr="00C64064" w:rsidRDefault="00C07794" w:rsidP="00C07794">
      <w:pPr>
        <w:spacing w:after="0" w:line="240" w:lineRule="auto"/>
        <w:jc w:val="both"/>
        <w:textAlignment w:val="baseline"/>
        <w:rPr>
          <w:rFonts w:asciiTheme="majorHAnsi" w:eastAsia="Times New Roman" w:hAnsiTheme="majorHAnsi" w:cstheme="majorHAnsi"/>
          <w:sz w:val="18"/>
          <w:szCs w:val="18"/>
          <w:lang w:val="en-US" w:eastAsia="en-US"/>
        </w:rPr>
      </w:pPr>
      <w:r w:rsidRPr="00C64064">
        <w:rPr>
          <w:rFonts w:asciiTheme="majorHAnsi" w:eastAsia="Times New Roman" w:hAnsiTheme="majorHAnsi" w:cstheme="majorHAnsi"/>
          <w:lang w:val="en-AU" w:eastAsia="en-US"/>
        </w:rPr>
        <w:t>In this reporting period, PRISMA focused on conducting resilience activities with existing partners and did not record any new partnership</w:t>
      </w:r>
      <w:r w:rsidR="009028FE" w:rsidRPr="00C64064">
        <w:rPr>
          <w:rFonts w:asciiTheme="majorHAnsi" w:eastAsia="Times New Roman" w:hAnsiTheme="majorHAnsi" w:cstheme="majorHAnsi"/>
          <w:lang w:val="en-AU" w:eastAsia="en-US"/>
        </w:rPr>
        <w:t>s</w:t>
      </w:r>
      <w:r w:rsidRPr="00C64064">
        <w:rPr>
          <w:rFonts w:asciiTheme="majorHAnsi" w:eastAsia="Times New Roman" w:hAnsiTheme="majorHAnsi" w:cstheme="majorHAnsi"/>
          <w:lang w:val="en-AU" w:eastAsia="en-US"/>
        </w:rPr>
        <w:t>. </w:t>
      </w:r>
      <w:r w:rsidRPr="00C64064">
        <w:rPr>
          <w:rFonts w:asciiTheme="majorHAnsi" w:eastAsia="Times New Roman" w:hAnsiTheme="majorHAnsi" w:cstheme="majorHAnsi"/>
          <w:lang w:val="en-US" w:eastAsia="en-US"/>
        </w:rPr>
        <w:t> </w:t>
      </w:r>
    </w:p>
    <w:p w14:paraId="35FE0C1B" w14:textId="38C397EB" w:rsidR="00C07794" w:rsidRPr="00C64064" w:rsidRDefault="00C07794" w:rsidP="00B03C3A">
      <w:pPr>
        <w:pStyle w:val="Head3"/>
      </w:pPr>
      <w:bookmarkStart w:id="1003" w:name="_Toc173319171"/>
      <w:bookmarkStart w:id="1004" w:name="_Toc179192340"/>
      <w:bookmarkStart w:id="1005" w:name="_Toc180155203"/>
      <w:r w:rsidRPr="00C64064">
        <w:t xml:space="preserve">KPI 7 - Value of additional turnover of </w:t>
      </w:r>
      <w:r w:rsidR="009028FE" w:rsidRPr="00C64064">
        <w:t>p</w:t>
      </w:r>
      <w:r w:rsidRPr="00C64064">
        <w:t xml:space="preserve">rivate </w:t>
      </w:r>
      <w:r w:rsidR="009028FE" w:rsidRPr="00C64064">
        <w:t>s</w:t>
      </w:r>
      <w:r w:rsidRPr="00C64064">
        <w:t xml:space="preserve">ector </w:t>
      </w:r>
      <w:r w:rsidR="009028FE" w:rsidRPr="00C64064">
        <w:t>p</w:t>
      </w:r>
      <w:r w:rsidRPr="00C64064">
        <w:t>artners (PSP)</w:t>
      </w:r>
      <w:bookmarkEnd w:id="1003"/>
      <w:bookmarkEnd w:id="1004"/>
      <w:bookmarkEnd w:id="1005"/>
      <w:r w:rsidRPr="00C64064">
        <w:t> </w:t>
      </w:r>
    </w:p>
    <w:p w14:paraId="6E2344CB" w14:textId="6E995A24" w:rsidR="00C07794" w:rsidRPr="00C64064" w:rsidRDefault="00C07794" w:rsidP="00C07794">
      <w:pPr>
        <w:spacing w:after="0" w:line="240" w:lineRule="auto"/>
        <w:jc w:val="both"/>
        <w:textAlignment w:val="baseline"/>
        <w:rPr>
          <w:rFonts w:asciiTheme="majorHAnsi" w:eastAsia="Times New Roman" w:hAnsiTheme="majorHAnsi" w:cstheme="majorHAnsi"/>
          <w:sz w:val="18"/>
          <w:szCs w:val="18"/>
          <w:lang w:val="en-US" w:eastAsia="en-US"/>
        </w:rPr>
      </w:pPr>
      <w:r w:rsidRPr="00C64064">
        <w:rPr>
          <w:rFonts w:asciiTheme="majorHAnsi" w:eastAsia="Times New Roman" w:hAnsiTheme="majorHAnsi" w:cstheme="majorHAnsi"/>
          <w:lang w:val="en-AU" w:eastAsia="en-US"/>
        </w:rPr>
        <w:t xml:space="preserve">This semester, PRISMA’s private sector partners' turnover reached IDR144 billion (AUD14.4 million), raising the cumulative </w:t>
      </w:r>
      <w:r w:rsidR="009028FE" w:rsidRPr="00C64064">
        <w:rPr>
          <w:rFonts w:asciiTheme="majorHAnsi" w:eastAsia="Times New Roman" w:hAnsiTheme="majorHAnsi" w:cstheme="majorHAnsi"/>
          <w:lang w:val="en-AU" w:eastAsia="en-US"/>
        </w:rPr>
        <w:t xml:space="preserve">amount </w:t>
      </w:r>
      <w:r w:rsidRPr="00C64064">
        <w:rPr>
          <w:rFonts w:asciiTheme="majorHAnsi" w:eastAsia="Times New Roman" w:hAnsiTheme="majorHAnsi" w:cstheme="majorHAnsi"/>
          <w:lang w:val="en-AU" w:eastAsia="en-US"/>
        </w:rPr>
        <w:t xml:space="preserve">to IDR1.46 trillion (AUD146 million). </w:t>
      </w:r>
      <w:r w:rsidR="00D23F41" w:rsidRPr="00C64064">
        <w:rPr>
          <w:rFonts w:asciiTheme="majorHAnsi" w:eastAsia="Times New Roman" w:hAnsiTheme="majorHAnsi" w:cstheme="majorHAnsi"/>
          <w:lang w:val="en-AU" w:eastAsia="en-US"/>
        </w:rPr>
        <w:t xml:space="preserve">The beef, dairy, and pig sectors were </w:t>
      </w:r>
      <w:r w:rsidRPr="00C64064">
        <w:rPr>
          <w:rFonts w:asciiTheme="majorHAnsi" w:eastAsia="Times New Roman" w:hAnsiTheme="majorHAnsi" w:cstheme="majorHAnsi"/>
          <w:lang w:val="en-AU" w:eastAsia="en-US"/>
        </w:rPr>
        <w:t>significant contributors this semester (83</w:t>
      </w:r>
      <w:r w:rsidR="00012D28" w:rsidRPr="00C64064">
        <w:rPr>
          <w:rFonts w:asciiTheme="majorHAnsi" w:eastAsia="Times New Roman" w:hAnsiTheme="majorHAnsi" w:cstheme="majorHAnsi"/>
          <w:lang w:val="en-AU" w:eastAsia="en-US"/>
        </w:rPr>
        <w:t>%</w:t>
      </w:r>
      <w:r w:rsidRPr="00C64064">
        <w:rPr>
          <w:rFonts w:asciiTheme="majorHAnsi" w:eastAsia="Times New Roman" w:hAnsiTheme="majorHAnsi" w:cstheme="majorHAnsi"/>
          <w:lang w:val="en-AU" w:eastAsia="en-US"/>
        </w:rPr>
        <w:t xml:space="preserve"> of </w:t>
      </w:r>
      <w:r w:rsidR="00D23F41" w:rsidRPr="00C64064">
        <w:rPr>
          <w:rFonts w:asciiTheme="majorHAnsi" w:eastAsia="Times New Roman" w:hAnsiTheme="majorHAnsi" w:cstheme="majorHAnsi"/>
          <w:lang w:val="en-AU" w:eastAsia="en-US"/>
        </w:rPr>
        <w:t xml:space="preserve">the </w:t>
      </w:r>
      <w:r w:rsidRPr="00C64064">
        <w:rPr>
          <w:rFonts w:asciiTheme="majorHAnsi" w:eastAsia="Times New Roman" w:hAnsiTheme="majorHAnsi" w:cstheme="majorHAnsi"/>
          <w:lang w:val="en-AU" w:eastAsia="en-US"/>
        </w:rPr>
        <w:t xml:space="preserve">total additional PSP turnover </w:t>
      </w:r>
      <w:r w:rsidR="000753C1" w:rsidRPr="00C64064">
        <w:rPr>
          <w:rFonts w:asciiTheme="majorHAnsi" w:eastAsia="Times New Roman" w:hAnsiTheme="majorHAnsi" w:cstheme="majorHAnsi"/>
          <w:lang w:val="en-AU" w:eastAsia="en-US"/>
        </w:rPr>
        <w:t>amounts to</w:t>
      </w:r>
      <w:r w:rsidRPr="00C64064">
        <w:rPr>
          <w:rFonts w:asciiTheme="majorHAnsi" w:eastAsia="Times New Roman" w:hAnsiTheme="majorHAnsi" w:cstheme="majorHAnsi"/>
          <w:lang w:val="en-AU" w:eastAsia="en-US"/>
        </w:rPr>
        <w:t xml:space="preserve"> IDR120 billion)</w:t>
      </w:r>
      <w:r w:rsidR="00D23F41" w:rsidRPr="00C64064">
        <w:rPr>
          <w:rFonts w:asciiTheme="majorHAnsi" w:eastAsia="Times New Roman" w:hAnsiTheme="majorHAnsi" w:cstheme="majorHAnsi"/>
          <w:lang w:val="en-AU" w:eastAsia="en-US"/>
        </w:rPr>
        <w:t>.</w:t>
      </w:r>
      <w:r w:rsidRPr="00C64064">
        <w:rPr>
          <w:rFonts w:asciiTheme="majorHAnsi" w:eastAsia="Times New Roman" w:hAnsiTheme="majorHAnsi" w:cstheme="majorHAnsi"/>
          <w:lang w:val="en-US" w:eastAsia="en-US"/>
        </w:rPr>
        <w:t> </w:t>
      </w:r>
    </w:p>
    <w:p w14:paraId="5A13098B" w14:textId="39BFF664" w:rsidR="00C07794" w:rsidRPr="00C64064" w:rsidRDefault="00C07794" w:rsidP="00B03C3A">
      <w:pPr>
        <w:pStyle w:val="Head3"/>
        <w:rPr>
          <w:rFonts w:eastAsia="Times New Roman"/>
          <w:color w:val="2F5496"/>
          <w:sz w:val="18"/>
          <w:szCs w:val="18"/>
          <w:lang w:val="en-US" w:eastAsia="en-US"/>
        </w:rPr>
      </w:pPr>
      <w:bookmarkStart w:id="1006" w:name="_Toc173319172"/>
      <w:bookmarkStart w:id="1007" w:name="_Toc179192341"/>
      <w:bookmarkStart w:id="1008" w:name="_Toc180155204"/>
      <w:r w:rsidRPr="00C64064">
        <w:rPr>
          <w:lang w:eastAsia="en-US"/>
        </w:rPr>
        <w:t>KPI 8 - Value of attributable additional and/or more inclusive investment by PSP</w:t>
      </w:r>
      <w:r w:rsidR="00027380" w:rsidRPr="00C64064">
        <w:rPr>
          <w:lang w:eastAsia="en-US"/>
        </w:rPr>
        <w:t>s</w:t>
      </w:r>
      <w:r w:rsidRPr="00C64064">
        <w:rPr>
          <w:lang w:eastAsia="en-US"/>
        </w:rPr>
        <w:t>, ISP</w:t>
      </w:r>
      <w:r w:rsidR="00027380" w:rsidRPr="00C64064">
        <w:rPr>
          <w:lang w:eastAsia="en-US"/>
        </w:rPr>
        <w:t>s</w:t>
      </w:r>
      <w:r w:rsidRPr="00C64064">
        <w:rPr>
          <w:lang w:eastAsia="en-US"/>
        </w:rPr>
        <w:t>, and farmers</w:t>
      </w:r>
      <w:bookmarkEnd w:id="1006"/>
      <w:bookmarkEnd w:id="1007"/>
      <w:bookmarkEnd w:id="1008"/>
      <w:r w:rsidRPr="00C64064">
        <w:rPr>
          <w:rFonts w:eastAsia="Times New Roman"/>
          <w:color w:val="2F5496"/>
          <w:sz w:val="26"/>
          <w:lang w:val="en-US" w:eastAsia="en-US"/>
        </w:rPr>
        <w:t> </w:t>
      </w:r>
    </w:p>
    <w:p w14:paraId="2762059F" w14:textId="27C008B6" w:rsidR="00C07794" w:rsidRPr="00C64064" w:rsidRDefault="00C07794" w:rsidP="00C07794">
      <w:pPr>
        <w:spacing w:after="0" w:line="240" w:lineRule="auto"/>
        <w:jc w:val="both"/>
        <w:textAlignment w:val="baseline"/>
        <w:rPr>
          <w:rFonts w:asciiTheme="majorHAnsi" w:eastAsia="Times New Roman" w:hAnsiTheme="majorHAnsi" w:cstheme="majorHAnsi"/>
          <w:sz w:val="18"/>
          <w:szCs w:val="18"/>
          <w:lang w:val="en-US" w:eastAsia="en-US"/>
        </w:rPr>
      </w:pPr>
      <w:r w:rsidRPr="00C64064">
        <w:rPr>
          <w:rFonts w:asciiTheme="majorHAnsi" w:eastAsia="Times New Roman" w:hAnsiTheme="majorHAnsi" w:cstheme="majorHAnsi"/>
          <w:lang w:val="en-AU" w:eastAsia="en-US"/>
        </w:rPr>
        <w:t>The investment value committed by PRISMA's private and public partners, identifiable ISPs, and farmers this semester amounted to IDR246 billion (AUD24.6 million). Of this amount, IDR21.2 billion (8.6</w:t>
      </w:r>
      <w:r w:rsidR="002839D0" w:rsidRPr="00C64064">
        <w:rPr>
          <w:rFonts w:asciiTheme="majorHAnsi" w:eastAsia="Times New Roman" w:hAnsiTheme="majorHAnsi" w:cstheme="majorHAnsi"/>
          <w:lang w:val="en-AU" w:eastAsia="en-US"/>
        </w:rPr>
        <w:t>%</w:t>
      </w:r>
      <w:r w:rsidRPr="00C64064">
        <w:rPr>
          <w:rFonts w:asciiTheme="majorHAnsi" w:eastAsia="Times New Roman" w:hAnsiTheme="majorHAnsi" w:cstheme="majorHAnsi"/>
          <w:lang w:val="en-AU" w:eastAsia="en-US"/>
        </w:rPr>
        <w:t>) was invested by PRISMA's partners, IDR141 billion (57.3</w:t>
      </w:r>
      <w:r w:rsidR="002839D0" w:rsidRPr="00C64064">
        <w:rPr>
          <w:rFonts w:asciiTheme="majorHAnsi" w:eastAsia="Times New Roman" w:hAnsiTheme="majorHAnsi" w:cstheme="majorHAnsi"/>
          <w:lang w:val="en-AU" w:eastAsia="en-US"/>
        </w:rPr>
        <w:t>%</w:t>
      </w:r>
      <w:r w:rsidRPr="00C64064">
        <w:rPr>
          <w:rFonts w:asciiTheme="majorHAnsi" w:eastAsia="Times New Roman" w:hAnsiTheme="majorHAnsi" w:cstheme="majorHAnsi"/>
          <w:lang w:val="en-AU" w:eastAsia="en-US"/>
        </w:rPr>
        <w:t xml:space="preserve">) by the ISPs, and </w:t>
      </w:r>
      <w:r w:rsidR="001F24F2" w:rsidRPr="00C64064">
        <w:rPr>
          <w:rFonts w:asciiTheme="majorHAnsi" w:eastAsia="Times New Roman" w:hAnsiTheme="majorHAnsi" w:cstheme="majorHAnsi"/>
          <w:lang w:val="en-AU" w:eastAsia="en-US"/>
        </w:rPr>
        <w:t>IDR</w:t>
      </w:r>
      <w:r w:rsidR="001F24F2">
        <w:rPr>
          <w:rFonts w:asciiTheme="majorHAnsi" w:eastAsia="Times New Roman" w:hAnsiTheme="majorHAnsi" w:cstheme="majorHAnsi"/>
          <w:lang w:val="en-AU" w:eastAsia="en-US"/>
        </w:rPr>
        <w:t>83.4</w:t>
      </w:r>
      <w:r w:rsidR="001F24F2" w:rsidRPr="00C64064">
        <w:rPr>
          <w:rFonts w:asciiTheme="majorHAnsi" w:eastAsia="Times New Roman" w:hAnsiTheme="majorHAnsi" w:cstheme="majorHAnsi"/>
          <w:lang w:val="en-AU" w:eastAsia="en-US"/>
        </w:rPr>
        <w:t xml:space="preserve"> </w:t>
      </w:r>
      <w:r w:rsidRPr="00C64064">
        <w:rPr>
          <w:rFonts w:asciiTheme="majorHAnsi" w:eastAsia="Times New Roman" w:hAnsiTheme="majorHAnsi" w:cstheme="majorHAnsi"/>
          <w:lang w:val="en-AU" w:eastAsia="en-US"/>
        </w:rPr>
        <w:t>billion (34.1</w:t>
      </w:r>
      <w:r w:rsidR="002839D0" w:rsidRPr="00C64064">
        <w:rPr>
          <w:rFonts w:asciiTheme="majorHAnsi" w:eastAsia="Times New Roman" w:hAnsiTheme="majorHAnsi" w:cstheme="majorHAnsi"/>
          <w:lang w:val="en-AU" w:eastAsia="en-US"/>
        </w:rPr>
        <w:t>%</w:t>
      </w:r>
      <w:r w:rsidRPr="00C64064">
        <w:rPr>
          <w:rFonts w:asciiTheme="majorHAnsi" w:eastAsia="Times New Roman" w:hAnsiTheme="majorHAnsi" w:cstheme="majorHAnsi"/>
          <w:lang w:val="en-AU" w:eastAsia="en-US"/>
        </w:rPr>
        <w:t>) by the smallholder farmers adopting innovation</w:t>
      </w:r>
      <w:r w:rsidR="000753C1" w:rsidRPr="00C64064">
        <w:rPr>
          <w:rFonts w:asciiTheme="majorHAnsi" w:eastAsia="Times New Roman" w:hAnsiTheme="majorHAnsi" w:cstheme="majorHAnsi"/>
          <w:lang w:val="en-AU" w:eastAsia="en-US"/>
        </w:rPr>
        <w:t>s</w:t>
      </w:r>
      <w:r w:rsidRPr="00C64064">
        <w:rPr>
          <w:rFonts w:asciiTheme="majorHAnsi" w:eastAsia="Times New Roman" w:hAnsiTheme="majorHAnsi" w:cstheme="majorHAnsi"/>
          <w:lang w:val="en-AU" w:eastAsia="en-US"/>
        </w:rPr>
        <w:t>. Cumulatively, the total investment from PSPs, ISPs, and farmers attributable to PRISMA</w:t>
      </w:r>
      <w:r w:rsidR="000753C1" w:rsidRPr="00C64064">
        <w:rPr>
          <w:rFonts w:asciiTheme="majorHAnsi" w:eastAsia="Times New Roman" w:hAnsiTheme="majorHAnsi" w:cstheme="majorHAnsi"/>
          <w:lang w:val="en-AU" w:eastAsia="en-US"/>
        </w:rPr>
        <w:t>’s</w:t>
      </w:r>
      <w:r w:rsidRPr="00C64064">
        <w:rPr>
          <w:rFonts w:asciiTheme="majorHAnsi" w:eastAsia="Times New Roman" w:hAnsiTheme="majorHAnsi" w:cstheme="majorHAnsi"/>
          <w:lang w:val="en-AU" w:eastAsia="en-US"/>
        </w:rPr>
        <w:t xml:space="preserve"> intervention</w:t>
      </w:r>
      <w:r w:rsidR="000753C1" w:rsidRPr="00C64064">
        <w:rPr>
          <w:rFonts w:asciiTheme="majorHAnsi" w:eastAsia="Times New Roman" w:hAnsiTheme="majorHAnsi" w:cstheme="majorHAnsi"/>
          <w:lang w:val="en-AU" w:eastAsia="en-US"/>
        </w:rPr>
        <w:t>s</w:t>
      </w:r>
      <w:r w:rsidRPr="00C64064">
        <w:rPr>
          <w:rFonts w:asciiTheme="majorHAnsi" w:eastAsia="Times New Roman" w:hAnsiTheme="majorHAnsi" w:cstheme="majorHAnsi"/>
          <w:lang w:val="en-AU" w:eastAsia="en-US"/>
        </w:rPr>
        <w:t xml:space="preserve"> reached IDR3.06 trillion (AUD306 million).</w:t>
      </w:r>
      <w:r w:rsidRPr="00C64064">
        <w:rPr>
          <w:rFonts w:asciiTheme="majorHAnsi" w:eastAsia="Times New Roman" w:hAnsiTheme="majorHAnsi" w:cstheme="majorHAnsi"/>
          <w:lang w:val="en-US" w:eastAsia="en-US"/>
        </w:rPr>
        <w:t> </w:t>
      </w:r>
    </w:p>
    <w:p w14:paraId="767E5C5B" w14:textId="483B865B" w:rsidR="00C07794" w:rsidRPr="00C64064" w:rsidRDefault="00C07794" w:rsidP="00B03C3A">
      <w:pPr>
        <w:pStyle w:val="Head3"/>
        <w:rPr>
          <w:rFonts w:eastAsia="Times New Roman"/>
          <w:color w:val="2F5496"/>
          <w:sz w:val="18"/>
          <w:szCs w:val="18"/>
          <w:lang w:val="en-US" w:eastAsia="en-US"/>
        </w:rPr>
      </w:pPr>
      <w:bookmarkStart w:id="1009" w:name="_Toc173319173"/>
      <w:bookmarkStart w:id="1010" w:name="_Toc179192342"/>
      <w:bookmarkStart w:id="1011" w:name="_Toc180155205"/>
      <w:r w:rsidRPr="00C64064">
        <w:rPr>
          <w:lang w:eastAsia="en-US"/>
        </w:rPr>
        <w:lastRenderedPageBreak/>
        <w:t>KPI 9 - Number of crowding</w:t>
      </w:r>
      <w:r w:rsidR="00BC4E16" w:rsidRPr="00C64064">
        <w:rPr>
          <w:lang w:eastAsia="en-US"/>
        </w:rPr>
        <w:t>-</w:t>
      </w:r>
      <w:r w:rsidRPr="00C64064">
        <w:rPr>
          <w:lang w:eastAsia="en-US"/>
        </w:rPr>
        <w:t>in business</w:t>
      </w:r>
      <w:r w:rsidR="00BB0949" w:rsidRPr="00C64064">
        <w:rPr>
          <w:lang w:eastAsia="en-US"/>
        </w:rPr>
        <w:t>es</w:t>
      </w:r>
      <w:r w:rsidRPr="00C64064">
        <w:rPr>
          <w:lang w:eastAsia="en-US"/>
        </w:rPr>
        <w:t>/institution</w:t>
      </w:r>
      <w:r w:rsidR="00BB0949" w:rsidRPr="00C64064">
        <w:rPr>
          <w:lang w:eastAsia="en-US"/>
        </w:rPr>
        <w:t>s</w:t>
      </w:r>
      <w:bookmarkEnd w:id="1009"/>
      <w:bookmarkEnd w:id="1010"/>
      <w:bookmarkEnd w:id="1011"/>
      <w:r w:rsidRPr="00C64064">
        <w:rPr>
          <w:rFonts w:eastAsia="Times New Roman"/>
          <w:color w:val="2F5496"/>
          <w:sz w:val="26"/>
          <w:lang w:val="en-US" w:eastAsia="en-US"/>
        </w:rPr>
        <w:t> </w:t>
      </w:r>
    </w:p>
    <w:p w14:paraId="68AA06B8" w14:textId="35605798" w:rsidR="00C07794" w:rsidRPr="00C64064" w:rsidRDefault="00C07794" w:rsidP="00C07794">
      <w:pPr>
        <w:spacing w:after="0" w:line="240" w:lineRule="auto"/>
        <w:jc w:val="both"/>
        <w:textAlignment w:val="baseline"/>
        <w:rPr>
          <w:rFonts w:asciiTheme="majorHAnsi" w:eastAsia="Times New Roman" w:hAnsiTheme="majorHAnsi" w:cstheme="majorHAnsi"/>
          <w:sz w:val="18"/>
          <w:szCs w:val="18"/>
          <w:lang w:val="en-US" w:eastAsia="en-US"/>
        </w:rPr>
      </w:pPr>
      <w:r w:rsidRPr="00C64064">
        <w:rPr>
          <w:rFonts w:asciiTheme="majorHAnsi" w:eastAsia="Times New Roman" w:hAnsiTheme="majorHAnsi" w:cstheme="majorHAnsi"/>
          <w:lang w:val="en-AU" w:eastAsia="en-US"/>
        </w:rPr>
        <w:t xml:space="preserve">During this reporting period, PRISMA successfully identified and confirmed 2 </w:t>
      </w:r>
      <w:r w:rsidR="000753C1" w:rsidRPr="00C64064">
        <w:rPr>
          <w:rFonts w:asciiTheme="majorHAnsi" w:eastAsia="Times New Roman" w:hAnsiTheme="majorHAnsi" w:cstheme="majorHAnsi"/>
          <w:lang w:val="en-AU" w:eastAsia="en-US"/>
        </w:rPr>
        <w:t xml:space="preserve">crowding-in </w:t>
      </w:r>
      <w:r w:rsidRPr="00C64064">
        <w:rPr>
          <w:rFonts w:asciiTheme="majorHAnsi" w:eastAsia="Times New Roman" w:hAnsiTheme="majorHAnsi" w:cstheme="majorHAnsi"/>
          <w:lang w:val="en-AU" w:eastAsia="en-US"/>
        </w:rPr>
        <w:t xml:space="preserve">businesses from </w:t>
      </w:r>
      <w:r w:rsidR="00BB0949" w:rsidRPr="00C64064">
        <w:rPr>
          <w:rFonts w:asciiTheme="majorHAnsi" w:eastAsia="Times New Roman" w:hAnsiTheme="majorHAnsi" w:cstheme="majorHAnsi"/>
          <w:lang w:val="en-AU" w:eastAsia="en-US"/>
        </w:rPr>
        <w:t xml:space="preserve">the </w:t>
      </w:r>
      <w:r w:rsidRPr="00C64064">
        <w:rPr>
          <w:rFonts w:asciiTheme="majorHAnsi" w:eastAsia="Times New Roman" w:hAnsiTheme="majorHAnsi" w:cstheme="majorHAnsi"/>
          <w:lang w:val="en-AU" w:eastAsia="en-US"/>
        </w:rPr>
        <w:t>rice and vegetable sectors. In the rice sector, UD Arif Tani Mandiri in Karawang adopted PRISMA’s partner</w:t>
      </w:r>
      <w:r w:rsidR="000753C1" w:rsidRPr="00C64064">
        <w:rPr>
          <w:rFonts w:asciiTheme="majorHAnsi" w:eastAsia="Times New Roman" w:hAnsiTheme="majorHAnsi" w:cstheme="majorHAnsi"/>
          <w:lang w:val="en-AU" w:eastAsia="en-US"/>
        </w:rPr>
        <w:t>,</w:t>
      </w:r>
      <w:r w:rsidRPr="00C64064">
        <w:rPr>
          <w:rFonts w:asciiTheme="majorHAnsi" w:eastAsia="Times New Roman" w:hAnsiTheme="majorHAnsi" w:cstheme="majorHAnsi"/>
          <w:lang w:val="en-AU" w:eastAsia="en-US"/>
        </w:rPr>
        <w:t xml:space="preserve"> CV Fiona Benih Mandiri's business model, focusing on producing and promoting high-yielding rice seed varieties (HYV).  </w:t>
      </w:r>
      <w:r w:rsidR="000753C1" w:rsidRPr="00C64064">
        <w:rPr>
          <w:rFonts w:asciiTheme="majorHAnsi" w:eastAsia="Times New Roman" w:hAnsiTheme="majorHAnsi" w:cstheme="majorHAnsi"/>
          <w:lang w:val="en-AU" w:eastAsia="en-US"/>
        </w:rPr>
        <w:t>I</w:t>
      </w:r>
      <w:r w:rsidRPr="00C64064">
        <w:rPr>
          <w:rFonts w:asciiTheme="majorHAnsi" w:eastAsia="Times New Roman" w:hAnsiTheme="majorHAnsi" w:cstheme="majorHAnsi"/>
          <w:lang w:val="en-AU" w:eastAsia="en-US"/>
        </w:rPr>
        <w:t xml:space="preserve">n the vegetable sector, PT Benih Citra Asia, a national seed company in Indonesia, introduced </w:t>
      </w:r>
      <w:r w:rsidR="00BB0949" w:rsidRPr="00C64064">
        <w:rPr>
          <w:rFonts w:asciiTheme="majorHAnsi" w:eastAsia="Times New Roman" w:hAnsiTheme="majorHAnsi" w:cstheme="majorHAnsi"/>
          <w:lang w:val="en-AU" w:eastAsia="en-US"/>
        </w:rPr>
        <w:t>its</w:t>
      </w:r>
      <w:r w:rsidRPr="00C64064">
        <w:rPr>
          <w:rFonts w:asciiTheme="majorHAnsi" w:eastAsia="Times New Roman" w:hAnsiTheme="majorHAnsi" w:cstheme="majorHAnsi"/>
          <w:lang w:val="en-AU" w:eastAsia="en-US"/>
        </w:rPr>
        <w:t xml:space="preserve"> vegetable seeds under the brand name "Bintang Asia"</w:t>
      </w:r>
      <w:r w:rsidR="00BB0949" w:rsidRPr="00C64064">
        <w:rPr>
          <w:rFonts w:asciiTheme="majorHAnsi" w:eastAsia="Times New Roman" w:hAnsiTheme="majorHAnsi" w:cstheme="majorHAnsi"/>
          <w:lang w:val="en-AU" w:eastAsia="en-US"/>
        </w:rPr>
        <w:t xml:space="preserve"> and</w:t>
      </w:r>
      <w:r w:rsidRPr="00C64064">
        <w:rPr>
          <w:rFonts w:asciiTheme="majorHAnsi" w:eastAsia="Times New Roman" w:hAnsiTheme="majorHAnsi" w:cstheme="majorHAnsi"/>
          <w:lang w:val="en-AU" w:eastAsia="en-US"/>
        </w:rPr>
        <w:t xml:space="preserve"> is using similar business strategies </w:t>
      </w:r>
      <w:r w:rsidR="00BB0949" w:rsidRPr="00C64064">
        <w:rPr>
          <w:rFonts w:asciiTheme="majorHAnsi" w:eastAsia="Times New Roman" w:hAnsiTheme="majorHAnsi" w:cstheme="majorHAnsi"/>
          <w:lang w:val="en-AU" w:eastAsia="en-US"/>
        </w:rPr>
        <w:t>with</w:t>
      </w:r>
      <w:r w:rsidRPr="00C64064">
        <w:rPr>
          <w:rFonts w:asciiTheme="majorHAnsi" w:eastAsia="Times New Roman" w:hAnsiTheme="majorHAnsi" w:cstheme="majorHAnsi"/>
          <w:lang w:val="en-AU" w:eastAsia="en-US"/>
        </w:rPr>
        <w:t xml:space="preserve"> PRISMA’s </w:t>
      </w:r>
      <w:r w:rsidR="001657B9" w:rsidRPr="00C64064">
        <w:rPr>
          <w:rFonts w:asciiTheme="majorHAnsi" w:eastAsia="Times New Roman" w:hAnsiTheme="majorHAnsi" w:cstheme="majorHAnsi"/>
          <w:lang w:val="en-AU" w:eastAsia="en-US"/>
        </w:rPr>
        <w:t>p</w:t>
      </w:r>
      <w:r w:rsidRPr="00C64064">
        <w:rPr>
          <w:rFonts w:asciiTheme="majorHAnsi" w:eastAsia="Times New Roman" w:hAnsiTheme="majorHAnsi" w:cstheme="majorHAnsi"/>
          <w:lang w:val="en-AU" w:eastAsia="en-US"/>
        </w:rPr>
        <w:t xml:space="preserve">artner </w:t>
      </w:r>
      <w:r w:rsidR="001657B9" w:rsidRPr="00C64064">
        <w:rPr>
          <w:rFonts w:asciiTheme="majorHAnsi" w:eastAsia="Times New Roman" w:hAnsiTheme="majorHAnsi" w:cstheme="majorHAnsi"/>
          <w:lang w:val="en-AU" w:eastAsia="en-US"/>
        </w:rPr>
        <w:t>East West Indonesia (</w:t>
      </w:r>
      <w:r w:rsidRPr="00C64064">
        <w:rPr>
          <w:rFonts w:asciiTheme="majorHAnsi" w:eastAsia="Times New Roman" w:hAnsiTheme="majorHAnsi" w:cstheme="majorHAnsi"/>
          <w:lang w:val="en-AU" w:eastAsia="en-US"/>
        </w:rPr>
        <w:t>Ewindo</w:t>
      </w:r>
      <w:r w:rsidR="001657B9" w:rsidRPr="00C64064">
        <w:rPr>
          <w:rFonts w:asciiTheme="majorHAnsi" w:eastAsia="Times New Roman" w:hAnsiTheme="majorHAnsi" w:cstheme="majorHAnsi"/>
          <w:lang w:val="en-AU" w:eastAsia="en-US"/>
        </w:rPr>
        <w:t>)</w:t>
      </w:r>
      <w:r w:rsidRPr="00C64064">
        <w:rPr>
          <w:rFonts w:asciiTheme="majorHAnsi" w:eastAsia="Times New Roman" w:hAnsiTheme="majorHAnsi" w:cstheme="majorHAnsi"/>
          <w:lang w:val="en-AU" w:eastAsia="en-US"/>
        </w:rPr>
        <w:t xml:space="preserve"> in marketing </w:t>
      </w:r>
      <w:r w:rsidR="00BB0949" w:rsidRPr="00C64064">
        <w:rPr>
          <w:rFonts w:asciiTheme="majorHAnsi" w:eastAsia="Times New Roman" w:hAnsiTheme="majorHAnsi" w:cstheme="majorHAnsi"/>
          <w:lang w:val="en-AU" w:eastAsia="en-US"/>
        </w:rPr>
        <w:t>its</w:t>
      </w:r>
      <w:r w:rsidRPr="00C64064">
        <w:rPr>
          <w:rFonts w:asciiTheme="majorHAnsi" w:eastAsia="Times New Roman" w:hAnsiTheme="majorHAnsi" w:cstheme="majorHAnsi"/>
          <w:lang w:val="en-AU" w:eastAsia="en-US"/>
        </w:rPr>
        <w:t xml:space="preserve"> quality seeds in Tanah Papua. The copying strategy includes starting business penetration from the cluster's entry point, setting up distribution channels through Ewindo's distributors, hiring local field staff, building relationships with Ewindo's key farmers and farmer group leaders, and conducting inclusive promotional activities.</w:t>
      </w:r>
      <w:r w:rsidRPr="00C64064">
        <w:rPr>
          <w:rFonts w:asciiTheme="majorHAnsi" w:eastAsia="Times New Roman" w:hAnsiTheme="majorHAnsi" w:cstheme="majorHAnsi"/>
          <w:lang w:val="en-US" w:eastAsia="en-US"/>
        </w:rPr>
        <w:t> </w:t>
      </w:r>
    </w:p>
    <w:p w14:paraId="5DD09DD4" w14:textId="4C0D2EF2" w:rsidR="00C07794" w:rsidRPr="00C64064" w:rsidRDefault="00C07794" w:rsidP="00B03C3A">
      <w:pPr>
        <w:pStyle w:val="Head3"/>
        <w:rPr>
          <w:rFonts w:eastAsia="Times New Roman"/>
          <w:color w:val="2F5496"/>
          <w:sz w:val="18"/>
          <w:szCs w:val="18"/>
          <w:lang w:val="en-US" w:eastAsia="en-US"/>
        </w:rPr>
      </w:pPr>
      <w:bookmarkStart w:id="1012" w:name="_Toc173319174"/>
      <w:bookmarkStart w:id="1013" w:name="_Toc179192343"/>
      <w:bookmarkStart w:id="1014" w:name="_Toc180155206"/>
      <w:r w:rsidRPr="00C64064">
        <w:rPr>
          <w:lang w:eastAsia="en-US"/>
        </w:rPr>
        <w:t>KPI 10 - Number of responding businesses/institutions</w:t>
      </w:r>
      <w:bookmarkEnd w:id="1012"/>
      <w:bookmarkEnd w:id="1013"/>
      <w:bookmarkEnd w:id="1014"/>
      <w:r w:rsidRPr="00C64064">
        <w:rPr>
          <w:rFonts w:eastAsia="Times New Roman"/>
          <w:color w:val="2F5496"/>
          <w:sz w:val="26"/>
          <w:lang w:val="en-US" w:eastAsia="en-US"/>
        </w:rPr>
        <w:t> </w:t>
      </w:r>
    </w:p>
    <w:p w14:paraId="2743B7D1" w14:textId="0D1AF9A6" w:rsidR="00C07794" w:rsidRPr="00C64064" w:rsidRDefault="00C07794" w:rsidP="00C07794">
      <w:pPr>
        <w:spacing w:after="0" w:line="240" w:lineRule="auto"/>
        <w:jc w:val="both"/>
        <w:textAlignment w:val="baseline"/>
        <w:rPr>
          <w:rFonts w:asciiTheme="majorHAnsi" w:eastAsia="Times New Roman" w:hAnsiTheme="majorHAnsi" w:cstheme="majorHAnsi"/>
          <w:sz w:val="18"/>
          <w:szCs w:val="18"/>
          <w:lang w:val="en-US" w:eastAsia="en-US"/>
        </w:rPr>
      </w:pPr>
      <w:r w:rsidRPr="00C64064">
        <w:rPr>
          <w:rFonts w:asciiTheme="majorHAnsi" w:eastAsia="Times New Roman" w:hAnsiTheme="majorHAnsi" w:cstheme="majorHAnsi"/>
          <w:lang w:val="en-AU" w:eastAsia="en-US"/>
        </w:rPr>
        <w:t xml:space="preserve">PRISMA identified and facilitated the growth of </w:t>
      </w:r>
      <w:r w:rsidR="001F24F2">
        <w:rPr>
          <w:rFonts w:asciiTheme="majorHAnsi" w:eastAsia="Times New Roman" w:hAnsiTheme="majorHAnsi" w:cstheme="majorHAnsi"/>
          <w:lang w:val="en-AU" w:eastAsia="en-US"/>
        </w:rPr>
        <w:t>6</w:t>
      </w:r>
      <w:r w:rsidR="001F24F2" w:rsidRPr="00C64064">
        <w:rPr>
          <w:rFonts w:asciiTheme="majorHAnsi" w:eastAsia="Times New Roman" w:hAnsiTheme="majorHAnsi" w:cstheme="majorHAnsi"/>
          <w:lang w:val="en-AU" w:eastAsia="en-US"/>
        </w:rPr>
        <w:t xml:space="preserve"> </w:t>
      </w:r>
      <w:r w:rsidRPr="00C64064">
        <w:rPr>
          <w:rFonts w:asciiTheme="majorHAnsi" w:eastAsia="Times New Roman" w:hAnsiTheme="majorHAnsi" w:cstheme="majorHAnsi"/>
          <w:lang w:val="en-AU" w:eastAsia="en-US"/>
        </w:rPr>
        <w:t>additional responding businesses in the soil treatment sector. PT Seger Agro Nusantara and PT Syngenta Seed Indonesia collaborat</w:t>
      </w:r>
      <w:r w:rsidR="00AF66D3" w:rsidRPr="00C64064">
        <w:rPr>
          <w:rFonts w:asciiTheme="majorHAnsi" w:eastAsia="Times New Roman" w:hAnsiTheme="majorHAnsi" w:cstheme="majorHAnsi"/>
          <w:lang w:val="en-AU" w:eastAsia="en-US"/>
        </w:rPr>
        <w:t>ed</w:t>
      </w:r>
      <w:r w:rsidRPr="00C64064">
        <w:rPr>
          <w:rFonts w:asciiTheme="majorHAnsi" w:eastAsia="Times New Roman" w:hAnsiTheme="majorHAnsi" w:cstheme="majorHAnsi"/>
          <w:lang w:val="en-AU" w:eastAsia="en-US"/>
        </w:rPr>
        <w:t xml:space="preserve"> with PRISMA’s partner</w:t>
      </w:r>
      <w:r w:rsidR="005F60D8" w:rsidRPr="00C64064">
        <w:rPr>
          <w:rFonts w:asciiTheme="majorHAnsi" w:eastAsia="Times New Roman" w:hAnsiTheme="majorHAnsi" w:cstheme="majorHAnsi"/>
          <w:lang w:val="en-AU" w:eastAsia="en-US"/>
        </w:rPr>
        <w:t>,</w:t>
      </w:r>
      <w:r w:rsidRPr="00C64064">
        <w:rPr>
          <w:rFonts w:asciiTheme="majorHAnsi" w:eastAsia="Times New Roman" w:hAnsiTheme="majorHAnsi" w:cstheme="majorHAnsi"/>
          <w:lang w:val="en-AU" w:eastAsia="en-US"/>
        </w:rPr>
        <w:t xml:space="preserve"> PT Saprotan Utama Nusantara</w:t>
      </w:r>
      <w:r w:rsidR="005F60D8" w:rsidRPr="00C64064">
        <w:rPr>
          <w:rFonts w:asciiTheme="majorHAnsi" w:eastAsia="Times New Roman" w:hAnsiTheme="majorHAnsi" w:cstheme="majorHAnsi"/>
          <w:lang w:val="en-AU" w:eastAsia="en-US"/>
        </w:rPr>
        <w:t>,</w:t>
      </w:r>
      <w:r w:rsidRPr="00C64064">
        <w:rPr>
          <w:rFonts w:asciiTheme="majorHAnsi" w:eastAsia="Times New Roman" w:hAnsiTheme="majorHAnsi" w:cstheme="majorHAnsi"/>
          <w:lang w:val="en-AU" w:eastAsia="en-US"/>
        </w:rPr>
        <w:t xml:space="preserve"> </w:t>
      </w:r>
      <w:r w:rsidR="00274DCD" w:rsidRPr="00C64064">
        <w:rPr>
          <w:rFonts w:asciiTheme="majorHAnsi" w:eastAsia="Times New Roman" w:hAnsiTheme="majorHAnsi" w:cstheme="majorHAnsi"/>
          <w:lang w:val="en-AU" w:eastAsia="en-US"/>
        </w:rPr>
        <w:t>to</w:t>
      </w:r>
      <w:r w:rsidRPr="00C64064">
        <w:rPr>
          <w:rFonts w:asciiTheme="majorHAnsi" w:eastAsia="Times New Roman" w:hAnsiTheme="majorHAnsi" w:cstheme="majorHAnsi"/>
          <w:lang w:val="en-AU" w:eastAsia="en-US"/>
        </w:rPr>
        <w:t xml:space="preserve"> provid</w:t>
      </w:r>
      <w:r w:rsidR="00274DCD" w:rsidRPr="00C64064">
        <w:rPr>
          <w:rFonts w:asciiTheme="majorHAnsi" w:eastAsia="Times New Roman" w:hAnsiTheme="majorHAnsi" w:cstheme="majorHAnsi"/>
          <w:lang w:val="en-AU" w:eastAsia="en-US"/>
        </w:rPr>
        <w:t>e</w:t>
      </w:r>
      <w:r w:rsidRPr="00C64064">
        <w:rPr>
          <w:rFonts w:asciiTheme="majorHAnsi" w:eastAsia="Times New Roman" w:hAnsiTheme="majorHAnsi" w:cstheme="majorHAnsi"/>
          <w:lang w:val="en-AU" w:eastAsia="en-US"/>
        </w:rPr>
        <w:t xml:space="preserve"> services </w:t>
      </w:r>
      <w:r w:rsidR="00274DCD" w:rsidRPr="00C64064">
        <w:rPr>
          <w:rFonts w:asciiTheme="majorHAnsi" w:eastAsia="Times New Roman" w:hAnsiTheme="majorHAnsi" w:cstheme="majorHAnsi"/>
          <w:lang w:val="en-AU" w:eastAsia="en-US"/>
        </w:rPr>
        <w:t>to</w:t>
      </w:r>
      <w:r w:rsidRPr="00C64064">
        <w:rPr>
          <w:rFonts w:asciiTheme="majorHAnsi" w:eastAsia="Times New Roman" w:hAnsiTheme="majorHAnsi" w:cstheme="majorHAnsi"/>
          <w:lang w:val="en-AU" w:eastAsia="en-US"/>
        </w:rPr>
        <w:t xml:space="preserve"> </w:t>
      </w:r>
      <w:r w:rsidR="00790706" w:rsidRPr="00C64064">
        <w:rPr>
          <w:rFonts w:asciiTheme="majorHAnsi" w:eastAsia="Times New Roman" w:hAnsiTheme="majorHAnsi" w:cstheme="majorHAnsi"/>
          <w:lang w:val="en-AU" w:eastAsia="en-US"/>
        </w:rPr>
        <w:t>improv</w:t>
      </w:r>
      <w:r w:rsidR="00274DCD" w:rsidRPr="00C64064">
        <w:rPr>
          <w:rFonts w:asciiTheme="majorHAnsi" w:eastAsia="Times New Roman" w:hAnsiTheme="majorHAnsi" w:cstheme="majorHAnsi"/>
          <w:lang w:val="en-AU" w:eastAsia="en-US"/>
        </w:rPr>
        <w:t>e</w:t>
      </w:r>
      <w:r w:rsidRPr="00C64064">
        <w:rPr>
          <w:rFonts w:asciiTheme="majorHAnsi" w:eastAsia="Times New Roman" w:hAnsiTheme="majorHAnsi" w:cstheme="majorHAnsi"/>
          <w:lang w:val="en-AU" w:eastAsia="en-US"/>
        </w:rPr>
        <w:t xml:space="preserve"> the maize sector in underserved area</w:t>
      </w:r>
      <w:r w:rsidR="00790706" w:rsidRPr="00C64064">
        <w:rPr>
          <w:rFonts w:asciiTheme="majorHAnsi" w:eastAsia="Times New Roman" w:hAnsiTheme="majorHAnsi" w:cstheme="majorHAnsi"/>
          <w:lang w:val="en-AU" w:eastAsia="en-US"/>
        </w:rPr>
        <w:t>s</w:t>
      </w:r>
      <w:r w:rsidRPr="00C64064">
        <w:rPr>
          <w:rFonts w:asciiTheme="majorHAnsi" w:eastAsia="Times New Roman" w:hAnsiTheme="majorHAnsi" w:cstheme="majorHAnsi"/>
          <w:lang w:val="en-AU" w:eastAsia="en-US"/>
        </w:rPr>
        <w:t xml:space="preserve"> in NT</w:t>
      </w:r>
      <w:r w:rsidR="00274DCD" w:rsidRPr="00C64064">
        <w:rPr>
          <w:rFonts w:asciiTheme="majorHAnsi" w:eastAsia="Times New Roman" w:hAnsiTheme="majorHAnsi" w:cstheme="majorHAnsi"/>
          <w:lang w:val="en-AU" w:eastAsia="en-US"/>
        </w:rPr>
        <w:t>T.</w:t>
      </w:r>
      <w:r w:rsidRPr="00C64064">
        <w:rPr>
          <w:rFonts w:asciiTheme="majorHAnsi" w:eastAsia="Times New Roman" w:hAnsiTheme="majorHAnsi" w:cstheme="majorHAnsi"/>
          <w:lang w:val="en-AU" w:eastAsia="en-US"/>
        </w:rPr>
        <w:t xml:space="preserve"> Bank Rakyat Indonesia (BRI) and Bank Mandiri offered financing program</w:t>
      </w:r>
      <w:r w:rsidR="00790706" w:rsidRPr="00C64064">
        <w:rPr>
          <w:rFonts w:asciiTheme="majorHAnsi" w:eastAsia="Times New Roman" w:hAnsiTheme="majorHAnsi" w:cstheme="majorHAnsi"/>
          <w:lang w:val="en-AU" w:eastAsia="en-US"/>
        </w:rPr>
        <w:t>s</w:t>
      </w:r>
      <w:r w:rsidRPr="00C64064">
        <w:rPr>
          <w:rFonts w:asciiTheme="majorHAnsi" w:eastAsia="Times New Roman" w:hAnsiTheme="majorHAnsi" w:cstheme="majorHAnsi"/>
          <w:lang w:val="en-AU" w:eastAsia="en-US"/>
        </w:rPr>
        <w:t xml:space="preserve"> to agri-kiosk</w:t>
      </w:r>
      <w:r w:rsidR="00790706" w:rsidRPr="00C64064">
        <w:rPr>
          <w:rFonts w:asciiTheme="majorHAnsi" w:eastAsia="Times New Roman" w:hAnsiTheme="majorHAnsi" w:cstheme="majorHAnsi"/>
          <w:lang w:val="en-AU" w:eastAsia="en-US"/>
        </w:rPr>
        <w:t>s</w:t>
      </w:r>
      <w:r w:rsidRPr="00C64064">
        <w:rPr>
          <w:rFonts w:asciiTheme="majorHAnsi" w:eastAsia="Times New Roman" w:hAnsiTheme="majorHAnsi" w:cstheme="majorHAnsi"/>
          <w:lang w:val="en-AU" w:eastAsia="en-US"/>
        </w:rPr>
        <w:t xml:space="preserve">/retailers during the collaboration event with PRISMA soil treatment partner, PT ATS. As </w:t>
      </w:r>
      <w:r w:rsidR="00D23F41" w:rsidRPr="00C64064">
        <w:rPr>
          <w:rFonts w:asciiTheme="majorHAnsi" w:eastAsia="Times New Roman" w:hAnsiTheme="majorHAnsi" w:cstheme="majorHAnsi"/>
          <w:lang w:val="en-AU" w:eastAsia="en-US"/>
        </w:rPr>
        <w:t xml:space="preserve">a </w:t>
      </w:r>
      <w:r w:rsidRPr="00C64064">
        <w:rPr>
          <w:rFonts w:asciiTheme="majorHAnsi" w:eastAsia="Times New Roman" w:hAnsiTheme="majorHAnsi" w:cstheme="majorHAnsi"/>
          <w:lang w:val="en-AU" w:eastAsia="en-US"/>
        </w:rPr>
        <w:t>follow</w:t>
      </w:r>
      <w:r w:rsidR="00D23F41" w:rsidRPr="00C64064">
        <w:rPr>
          <w:rFonts w:asciiTheme="majorHAnsi" w:eastAsia="Times New Roman" w:hAnsiTheme="majorHAnsi" w:cstheme="majorHAnsi"/>
          <w:lang w:val="en-AU" w:eastAsia="en-US"/>
        </w:rPr>
        <w:t>-</w:t>
      </w:r>
      <w:r w:rsidRPr="00C64064">
        <w:rPr>
          <w:rFonts w:asciiTheme="majorHAnsi" w:eastAsia="Times New Roman" w:hAnsiTheme="majorHAnsi" w:cstheme="majorHAnsi"/>
          <w:lang w:val="en-AU" w:eastAsia="en-US"/>
        </w:rPr>
        <w:t>up, BRI and Mandiri offered financing to 50 agri-kiosks in Central and East Java.</w:t>
      </w:r>
      <w:r w:rsidRPr="00E073E2">
        <w:rPr>
          <w:rFonts w:asciiTheme="majorHAnsi" w:eastAsia="Times New Roman" w:hAnsiTheme="majorHAnsi" w:cstheme="majorHAnsi"/>
          <w:lang w:val="en-AU" w:eastAsia="en-US"/>
        </w:rPr>
        <w:t> </w:t>
      </w:r>
      <w:r w:rsidR="00965A65" w:rsidRPr="00E073E2">
        <w:rPr>
          <w:rFonts w:asciiTheme="majorHAnsi" w:eastAsia="Times New Roman" w:hAnsiTheme="majorHAnsi" w:cstheme="majorHAnsi"/>
          <w:lang w:eastAsia="en-US"/>
        </w:rPr>
        <w:t>Meanwhile, PT Terra Agro Digital has used the fertilizer recommendation tools from PT Mitra Sejahtera Membangun Bangsa, PRISMA’s partner in ICT sector, to provide their contract farmers with suitable fertilizer dosage. PT Bina Pertiwi, a agri-machinery company authorized dealer, has implemented machinery tools financing scheme for seven service providers  in collaboration with PT Bank Nano Syariah, PRISMA partner in finance sector.</w:t>
      </w:r>
    </w:p>
    <w:p w14:paraId="6BEF92AF" w14:textId="3700893D" w:rsidR="00C07794" w:rsidRPr="00C64064" w:rsidRDefault="00C07794" w:rsidP="00B03C3A">
      <w:pPr>
        <w:pStyle w:val="Head3"/>
        <w:rPr>
          <w:rFonts w:eastAsia="Times New Roman"/>
          <w:color w:val="2F5496"/>
          <w:sz w:val="18"/>
          <w:szCs w:val="18"/>
          <w:lang w:val="en-US" w:eastAsia="en-US"/>
        </w:rPr>
      </w:pPr>
      <w:bookmarkStart w:id="1015" w:name="_Toc173319175"/>
      <w:bookmarkStart w:id="1016" w:name="_Toc179192344"/>
      <w:bookmarkStart w:id="1017" w:name="_Toc180155207"/>
      <w:r w:rsidRPr="00C64064">
        <w:rPr>
          <w:lang w:eastAsia="en-US"/>
        </w:rPr>
        <w:t>KPI 11 - Number of policy engagement</w:t>
      </w:r>
      <w:bookmarkEnd w:id="1015"/>
      <w:bookmarkEnd w:id="1016"/>
      <w:bookmarkEnd w:id="1017"/>
      <w:r w:rsidRPr="00C64064">
        <w:rPr>
          <w:rFonts w:eastAsia="Times New Roman"/>
          <w:color w:val="2F5496"/>
          <w:sz w:val="26"/>
          <w:lang w:val="en-US" w:eastAsia="en-US"/>
        </w:rPr>
        <w:t> </w:t>
      </w:r>
    </w:p>
    <w:p w14:paraId="60DB2188" w14:textId="1F418EBB" w:rsidR="00C07794" w:rsidRPr="00C64064" w:rsidRDefault="00C07794" w:rsidP="5583D54B">
      <w:pPr>
        <w:spacing w:after="0" w:line="240" w:lineRule="auto"/>
        <w:jc w:val="both"/>
        <w:textAlignment w:val="baseline"/>
        <w:rPr>
          <w:rFonts w:asciiTheme="majorHAnsi" w:eastAsia="Times New Roman" w:hAnsiTheme="majorHAnsi" w:cstheme="majorBidi"/>
          <w:lang w:val="en-US" w:eastAsia="en-US"/>
        </w:rPr>
      </w:pPr>
      <w:r w:rsidRPr="5583D54B">
        <w:rPr>
          <w:rFonts w:asciiTheme="majorHAnsi" w:eastAsia="Times New Roman" w:hAnsiTheme="majorHAnsi" w:cstheme="majorBidi"/>
          <w:lang w:val="en-AU" w:eastAsia="en-US"/>
        </w:rPr>
        <w:t>During this semester, PRISMA undert</w:t>
      </w:r>
      <w:r w:rsidR="00790706" w:rsidRPr="5583D54B">
        <w:rPr>
          <w:rFonts w:asciiTheme="majorHAnsi" w:eastAsia="Times New Roman" w:hAnsiTheme="majorHAnsi" w:cstheme="majorBidi"/>
          <w:lang w:val="en-AU" w:eastAsia="en-US"/>
        </w:rPr>
        <w:t>ook</w:t>
      </w:r>
      <w:r w:rsidRPr="5583D54B">
        <w:rPr>
          <w:rFonts w:asciiTheme="majorHAnsi" w:eastAsia="Times New Roman" w:hAnsiTheme="majorHAnsi" w:cstheme="majorBidi"/>
          <w:lang w:val="en-AU" w:eastAsia="en-US"/>
        </w:rPr>
        <w:t xml:space="preserve"> 48 policy engagement initiatives. These engagements </w:t>
      </w:r>
      <w:r w:rsidR="004F566E" w:rsidRPr="5583D54B">
        <w:rPr>
          <w:rFonts w:asciiTheme="majorHAnsi" w:eastAsia="Times New Roman" w:hAnsiTheme="majorHAnsi" w:cstheme="majorBidi"/>
          <w:lang w:val="en-AU" w:eastAsia="en-US"/>
        </w:rPr>
        <w:t>derived</w:t>
      </w:r>
      <w:r w:rsidRPr="5583D54B">
        <w:rPr>
          <w:rFonts w:asciiTheme="majorHAnsi" w:eastAsia="Times New Roman" w:hAnsiTheme="majorHAnsi" w:cstheme="majorBidi"/>
          <w:lang w:val="en-AU" w:eastAsia="en-US"/>
        </w:rPr>
        <w:t xml:space="preserve"> from cross-sectoral initiatives</w:t>
      </w:r>
      <w:r w:rsidR="00BF3D5A" w:rsidRPr="5583D54B">
        <w:rPr>
          <w:rFonts w:asciiTheme="majorHAnsi" w:eastAsia="Times New Roman" w:hAnsiTheme="majorHAnsi" w:cstheme="majorBidi"/>
          <w:lang w:val="en-AU" w:eastAsia="en-US"/>
        </w:rPr>
        <w:t>,</w:t>
      </w:r>
      <w:r w:rsidRPr="5583D54B">
        <w:rPr>
          <w:rFonts w:asciiTheme="majorHAnsi" w:eastAsia="Times New Roman" w:hAnsiTheme="majorHAnsi" w:cstheme="majorBidi"/>
          <w:lang w:val="en-AU" w:eastAsia="en-US"/>
        </w:rPr>
        <w:t xml:space="preserve"> such as capacity development training for government and academics on </w:t>
      </w:r>
      <w:r w:rsidR="00BF3D5A" w:rsidRPr="5583D54B">
        <w:rPr>
          <w:rFonts w:asciiTheme="majorHAnsi" w:eastAsia="Times New Roman" w:hAnsiTheme="majorHAnsi" w:cstheme="majorBidi"/>
          <w:lang w:val="en-AU" w:eastAsia="en-US"/>
        </w:rPr>
        <w:t>market systems development (</w:t>
      </w:r>
      <w:r w:rsidRPr="5583D54B">
        <w:rPr>
          <w:rFonts w:asciiTheme="majorHAnsi" w:eastAsia="Times New Roman" w:hAnsiTheme="majorHAnsi" w:cstheme="majorBidi"/>
          <w:lang w:val="en-AU" w:eastAsia="en-US"/>
        </w:rPr>
        <w:t>MSD</w:t>
      </w:r>
      <w:r w:rsidR="00BF3D5A" w:rsidRPr="5583D54B">
        <w:rPr>
          <w:rFonts w:asciiTheme="majorHAnsi" w:eastAsia="Times New Roman" w:hAnsiTheme="majorHAnsi" w:cstheme="majorBidi"/>
          <w:lang w:val="en-AU" w:eastAsia="en-US"/>
        </w:rPr>
        <w:t>)</w:t>
      </w:r>
      <w:r w:rsidRPr="5583D54B">
        <w:rPr>
          <w:rFonts w:asciiTheme="majorHAnsi" w:eastAsia="Times New Roman" w:hAnsiTheme="majorHAnsi" w:cstheme="majorBidi"/>
          <w:lang w:val="en-AU" w:eastAsia="en-US"/>
        </w:rPr>
        <w:t xml:space="preserve"> and supporting the development of </w:t>
      </w:r>
      <w:r w:rsidR="00BF3D5A" w:rsidRPr="5583D54B">
        <w:rPr>
          <w:rFonts w:asciiTheme="majorHAnsi" w:eastAsia="Times New Roman" w:hAnsiTheme="majorHAnsi" w:cstheme="majorBidi"/>
          <w:lang w:val="en-AU" w:eastAsia="en-US"/>
        </w:rPr>
        <w:t xml:space="preserve">the 2024-29 </w:t>
      </w:r>
      <w:r w:rsidRPr="5583D54B">
        <w:rPr>
          <w:rFonts w:asciiTheme="majorHAnsi" w:eastAsia="Times New Roman" w:hAnsiTheme="majorHAnsi" w:cstheme="majorBidi"/>
          <w:lang w:val="en-AU" w:eastAsia="en-US"/>
        </w:rPr>
        <w:t xml:space="preserve">RPJMD </w:t>
      </w:r>
      <w:r w:rsidR="00BF3D5A" w:rsidRPr="5583D54B">
        <w:rPr>
          <w:rFonts w:asciiTheme="majorHAnsi" w:eastAsia="Times New Roman" w:hAnsiTheme="majorHAnsi" w:cstheme="majorBidi"/>
          <w:lang w:val="en-AU" w:eastAsia="en-US"/>
        </w:rPr>
        <w:t>in</w:t>
      </w:r>
      <w:r w:rsidRPr="5583D54B">
        <w:rPr>
          <w:rFonts w:asciiTheme="majorHAnsi" w:eastAsia="Times New Roman" w:hAnsiTheme="majorHAnsi" w:cstheme="majorBidi"/>
          <w:lang w:val="en-AU" w:eastAsia="en-US"/>
        </w:rPr>
        <w:t xml:space="preserve"> NTT province (14 policy engagement</w:t>
      </w:r>
      <w:r w:rsidR="00BF3D5A" w:rsidRPr="5583D54B">
        <w:rPr>
          <w:rFonts w:asciiTheme="majorHAnsi" w:eastAsia="Times New Roman" w:hAnsiTheme="majorHAnsi" w:cstheme="majorBidi"/>
          <w:lang w:val="en-AU" w:eastAsia="en-US"/>
        </w:rPr>
        <w:t>s</w:t>
      </w:r>
      <w:r w:rsidRPr="5583D54B">
        <w:rPr>
          <w:rFonts w:asciiTheme="majorHAnsi" w:eastAsia="Times New Roman" w:hAnsiTheme="majorHAnsi" w:cstheme="majorBidi"/>
          <w:lang w:val="en-AU" w:eastAsia="en-US"/>
        </w:rPr>
        <w:t>), and sector</w:t>
      </w:r>
      <w:r w:rsidR="00BF3D5A" w:rsidRPr="5583D54B">
        <w:rPr>
          <w:rFonts w:asciiTheme="majorHAnsi" w:eastAsia="Times New Roman" w:hAnsiTheme="majorHAnsi" w:cstheme="majorBidi"/>
          <w:lang w:val="en-AU" w:eastAsia="en-US"/>
        </w:rPr>
        <w:t>-</w:t>
      </w:r>
      <w:r w:rsidRPr="5583D54B">
        <w:rPr>
          <w:rFonts w:asciiTheme="majorHAnsi" w:eastAsia="Times New Roman" w:hAnsiTheme="majorHAnsi" w:cstheme="majorBidi"/>
          <w:lang w:val="en-AU" w:eastAsia="en-US"/>
        </w:rPr>
        <w:t>specific strategies, including mechanisation (9 engagements), maize (7 engagements), soil treatment (6 engagements), dairy (4</w:t>
      </w:r>
      <w:r w:rsidR="00BF3D5A" w:rsidRPr="5583D54B">
        <w:rPr>
          <w:rFonts w:asciiTheme="majorHAnsi" w:eastAsia="Times New Roman" w:hAnsiTheme="majorHAnsi" w:cstheme="majorBidi"/>
          <w:lang w:val="en-AU" w:eastAsia="en-US"/>
        </w:rPr>
        <w:t xml:space="preserve"> </w:t>
      </w:r>
      <w:r w:rsidRPr="5583D54B">
        <w:rPr>
          <w:rFonts w:asciiTheme="majorHAnsi" w:eastAsia="Times New Roman" w:hAnsiTheme="majorHAnsi" w:cstheme="majorBidi"/>
          <w:lang w:val="en-AU" w:eastAsia="en-US"/>
        </w:rPr>
        <w:t xml:space="preserve">engagements), beef (3 engagements), mungbean (3 engagements), and </w:t>
      </w:r>
      <w:r w:rsidR="00BF3D5A" w:rsidRPr="5583D54B">
        <w:rPr>
          <w:rFonts w:asciiTheme="majorHAnsi" w:eastAsia="Times New Roman" w:hAnsiTheme="majorHAnsi" w:cstheme="majorBidi"/>
          <w:lang w:val="en-AU" w:eastAsia="en-US"/>
        </w:rPr>
        <w:t>information and communications technology (</w:t>
      </w:r>
      <w:r w:rsidRPr="5583D54B">
        <w:rPr>
          <w:rFonts w:asciiTheme="majorHAnsi" w:eastAsia="Times New Roman" w:hAnsiTheme="majorHAnsi" w:cstheme="majorBidi"/>
          <w:lang w:val="en-AU" w:eastAsia="en-US"/>
        </w:rPr>
        <w:t>ICT</w:t>
      </w:r>
      <w:r w:rsidR="00BF3D5A" w:rsidRPr="5583D54B">
        <w:rPr>
          <w:rFonts w:asciiTheme="majorHAnsi" w:eastAsia="Times New Roman" w:hAnsiTheme="majorHAnsi" w:cstheme="majorBidi"/>
          <w:lang w:val="en-AU" w:eastAsia="en-US"/>
        </w:rPr>
        <w:t>)</w:t>
      </w:r>
      <w:r w:rsidRPr="5583D54B">
        <w:rPr>
          <w:rFonts w:asciiTheme="majorHAnsi" w:eastAsia="Times New Roman" w:hAnsiTheme="majorHAnsi" w:cstheme="majorBidi"/>
          <w:lang w:val="en-AU" w:eastAsia="en-US"/>
        </w:rPr>
        <w:t xml:space="preserve"> (2 engagements). The notable engagements </w:t>
      </w:r>
      <w:r w:rsidR="00BF3D5A" w:rsidRPr="5583D54B">
        <w:rPr>
          <w:rFonts w:asciiTheme="majorHAnsi" w:eastAsia="Times New Roman" w:hAnsiTheme="majorHAnsi" w:cstheme="majorBidi"/>
          <w:lang w:val="en-AU" w:eastAsia="en-US"/>
        </w:rPr>
        <w:t>are as follows.</w:t>
      </w:r>
      <w:r w:rsidRPr="5583D54B">
        <w:rPr>
          <w:rFonts w:asciiTheme="majorHAnsi" w:eastAsia="Times New Roman" w:hAnsiTheme="majorHAnsi" w:cstheme="majorBidi"/>
          <w:lang w:val="en-AU" w:eastAsia="en-US"/>
        </w:rPr>
        <w:t> </w:t>
      </w:r>
      <w:r w:rsidRPr="5583D54B">
        <w:rPr>
          <w:rFonts w:asciiTheme="majorHAnsi" w:eastAsia="Times New Roman" w:hAnsiTheme="majorHAnsi" w:cstheme="majorBidi"/>
          <w:lang w:val="en-US" w:eastAsia="en-US"/>
        </w:rPr>
        <w:t> </w:t>
      </w:r>
    </w:p>
    <w:p w14:paraId="1206B7BF" w14:textId="77777777" w:rsidR="00B726C6" w:rsidRPr="00C64064" w:rsidRDefault="00B726C6" w:rsidP="00C07794">
      <w:pPr>
        <w:spacing w:after="0" w:line="240" w:lineRule="auto"/>
        <w:jc w:val="both"/>
        <w:textAlignment w:val="baseline"/>
        <w:rPr>
          <w:rFonts w:asciiTheme="majorHAnsi" w:eastAsia="Times New Roman" w:hAnsiTheme="majorHAnsi" w:cstheme="majorHAnsi"/>
          <w:sz w:val="18"/>
          <w:szCs w:val="18"/>
          <w:lang w:val="en-US" w:eastAsia="en-US"/>
        </w:rPr>
      </w:pPr>
    </w:p>
    <w:p w14:paraId="51A25637" w14:textId="0ADB964B" w:rsidR="00C07794" w:rsidRPr="00C64064" w:rsidRDefault="00C07794" w:rsidP="00C07794">
      <w:pPr>
        <w:spacing w:after="0" w:line="240" w:lineRule="auto"/>
        <w:jc w:val="both"/>
        <w:textAlignment w:val="baseline"/>
        <w:rPr>
          <w:rFonts w:asciiTheme="majorHAnsi" w:eastAsia="Times New Roman" w:hAnsiTheme="majorHAnsi" w:cstheme="majorHAnsi"/>
          <w:lang w:val="en-US" w:eastAsia="en-US"/>
        </w:rPr>
      </w:pPr>
      <w:r w:rsidRPr="00C64064">
        <w:rPr>
          <w:rFonts w:asciiTheme="majorHAnsi" w:eastAsia="Times New Roman" w:hAnsiTheme="majorHAnsi" w:cstheme="majorHAnsi"/>
          <w:lang w:val="en-AU" w:eastAsia="en-US"/>
        </w:rPr>
        <w:t xml:space="preserve">PRISMA conducted MSD training for participants from Bappenas, </w:t>
      </w:r>
      <w:r w:rsidR="00B91546" w:rsidRPr="00C64064">
        <w:rPr>
          <w:rFonts w:asciiTheme="majorHAnsi" w:eastAsia="Times New Roman" w:hAnsiTheme="majorHAnsi" w:cstheme="majorHAnsi"/>
          <w:lang w:val="en-AU" w:eastAsia="en-US"/>
        </w:rPr>
        <w:t xml:space="preserve">the </w:t>
      </w:r>
      <w:r w:rsidRPr="00C64064">
        <w:rPr>
          <w:rFonts w:asciiTheme="majorHAnsi" w:eastAsia="Times New Roman" w:hAnsiTheme="majorHAnsi" w:cstheme="majorHAnsi"/>
          <w:lang w:val="en-AU" w:eastAsia="en-US"/>
        </w:rPr>
        <w:t>MoA, province and district</w:t>
      </w:r>
      <w:r w:rsidR="005F60D8" w:rsidRPr="00C64064">
        <w:rPr>
          <w:rFonts w:asciiTheme="majorHAnsi" w:eastAsia="Times New Roman" w:hAnsiTheme="majorHAnsi" w:cstheme="majorHAnsi"/>
          <w:lang w:val="en-AU" w:eastAsia="en-US"/>
        </w:rPr>
        <w:t>-</w:t>
      </w:r>
      <w:r w:rsidRPr="00C64064">
        <w:rPr>
          <w:rFonts w:asciiTheme="majorHAnsi" w:eastAsia="Times New Roman" w:hAnsiTheme="majorHAnsi" w:cstheme="majorHAnsi"/>
          <w:lang w:val="en-AU" w:eastAsia="en-US"/>
        </w:rPr>
        <w:t>level governments, and universities. Th</w:t>
      </w:r>
      <w:r w:rsidR="00CA3526" w:rsidRPr="00C64064">
        <w:rPr>
          <w:rFonts w:asciiTheme="majorHAnsi" w:eastAsia="Times New Roman" w:hAnsiTheme="majorHAnsi" w:cstheme="majorHAnsi"/>
          <w:lang w:val="en-AU" w:eastAsia="en-US"/>
        </w:rPr>
        <w:t>e training</w:t>
      </w:r>
      <w:r w:rsidRPr="00C64064">
        <w:rPr>
          <w:rFonts w:asciiTheme="majorHAnsi" w:eastAsia="Times New Roman" w:hAnsiTheme="majorHAnsi" w:cstheme="majorHAnsi"/>
          <w:lang w:val="en-AU" w:eastAsia="en-US"/>
        </w:rPr>
        <w:t xml:space="preserve"> aimed to introduce the MSD concept</w:t>
      </w:r>
      <w:r w:rsidR="00CA3526" w:rsidRPr="00C64064">
        <w:rPr>
          <w:rFonts w:asciiTheme="majorHAnsi" w:eastAsia="Times New Roman" w:hAnsiTheme="majorHAnsi" w:cstheme="majorHAnsi"/>
          <w:lang w:val="en-AU" w:eastAsia="en-US"/>
        </w:rPr>
        <w:t>.</w:t>
      </w:r>
      <w:r w:rsidRPr="00C64064">
        <w:rPr>
          <w:rFonts w:asciiTheme="majorHAnsi" w:eastAsia="Times New Roman" w:hAnsiTheme="majorHAnsi" w:cstheme="majorHAnsi"/>
          <w:lang w:val="en-AU" w:eastAsia="en-US"/>
        </w:rPr>
        <w:t xml:space="preserve"> </w:t>
      </w:r>
      <w:r w:rsidR="00CA3526" w:rsidRPr="00C64064">
        <w:rPr>
          <w:rFonts w:asciiTheme="majorHAnsi" w:eastAsia="Times New Roman" w:hAnsiTheme="majorHAnsi" w:cstheme="majorHAnsi"/>
          <w:lang w:val="en-AU" w:eastAsia="en-US"/>
        </w:rPr>
        <w:t>T</w:t>
      </w:r>
      <w:r w:rsidRPr="00C64064">
        <w:rPr>
          <w:rFonts w:asciiTheme="majorHAnsi" w:eastAsia="Times New Roman" w:hAnsiTheme="majorHAnsi" w:cstheme="majorHAnsi"/>
          <w:lang w:val="en-AU" w:eastAsia="en-US"/>
        </w:rPr>
        <w:t xml:space="preserve">he government </w:t>
      </w:r>
      <w:r w:rsidR="00CA3526" w:rsidRPr="00C64064">
        <w:rPr>
          <w:rFonts w:asciiTheme="majorHAnsi" w:eastAsia="Times New Roman" w:hAnsiTheme="majorHAnsi" w:cstheme="majorHAnsi"/>
          <w:lang w:val="en-AU" w:eastAsia="en-US"/>
        </w:rPr>
        <w:t>is expected to</w:t>
      </w:r>
      <w:r w:rsidRPr="00C64064">
        <w:rPr>
          <w:rFonts w:asciiTheme="majorHAnsi" w:eastAsia="Times New Roman" w:hAnsiTheme="majorHAnsi" w:cstheme="majorHAnsi"/>
          <w:lang w:val="en-AU" w:eastAsia="en-US"/>
        </w:rPr>
        <w:t xml:space="preserve"> adopt relevant </w:t>
      </w:r>
      <w:r w:rsidR="00CA3526" w:rsidRPr="00C64064">
        <w:rPr>
          <w:rFonts w:asciiTheme="majorHAnsi" w:eastAsia="Times New Roman" w:hAnsiTheme="majorHAnsi" w:cstheme="majorHAnsi"/>
          <w:lang w:val="en-AU" w:eastAsia="en-US"/>
        </w:rPr>
        <w:t xml:space="preserve">MSD </w:t>
      </w:r>
      <w:r w:rsidRPr="00C64064">
        <w:rPr>
          <w:rFonts w:asciiTheme="majorHAnsi" w:eastAsia="Times New Roman" w:hAnsiTheme="majorHAnsi" w:cstheme="majorHAnsi"/>
          <w:lang w:val="en-AU" w:eastAsia="en-US"/>
        </w:rPr>
        <w:t xml:space="preserve">principles to deliver </w:t>
      </w:r>
      <w:r w:rsidR="00CA3526" w:rsidRPr="00C64064">
        <w:rPr>
          <w:rFonts w:asciiTheme="majorHAnsi" w:eastAsia="Times New Roman" w:hAnsiTheme="majorHAnsi" w:cstheme="majorHAnsi"/>
          <w:lang w:val="en-AU" w:eastAsia="en-US"/>
        </w:rPr>
        <w:t xml:space="preserve">more </w:t>
      </w:r>
      <w:r w:rsidRPr="00C64064">
        <w:rPr>
          <w:rFonts w:asciiTheme="majorHAnsi" w:eastAsia="Times New Roman" w:hAnsiTheme="majorHAnsi" w:cstheme="majorHAnsi"/>
          <w:lang w:val="en-AU" w:eastAsia="en-US"/>
        </w:rPr>
        <w:t>sustainable impact</w:t>
      </w:r>
      <w:r w:rsidR="00CA3526" w:rsidRPr="00C64064">
        <w:rPr>
          <w:rFonts w:asciiTheme="majorHAnsi" w:eastAsia="Times New Roman" w:hAnsiTheme="majorHAnsi" w:cstheme="majorHAnsi"/>
          <w:lang w:val="en-AU" w:eastAsia="en-US"/>
        </w:rPr>
        <w:t>s</w:t>
      </w:r>
      <w:r w:rsidR="00274DCD" w:rsidRPr="00C64064">
        <w:rPr>
          <w:rFonts w:asciiTheme="majorHAnsi" w:eastAsia="Times New Roman" w:hAnsiTheme="majorHAnsi" w:cstheme="majorHAnsi"/>
          <w:lang w:val="en-AU" w:eastAsia="en-US"/>
        </w:rPr>
        <w:t xml:space="preserve"> in its program planning</w:t>
      </w:r>
      <w:r w:rsidRPr="00C64064">
        <w:rPr>
          <w:rFonts w:asciiTheme="majorHAnsi" w:eastAsia="Times New Roman" w:hAnsiTheme="majorHAnsi" w:cstheme="majorHAnsi"/>
          <w:lang w:val="en-AU" w:eastAsia="en-US"/>
        </w:rPr>
        <w:t xml:space="preserve">. </w:t>
      </w:r>
      <w:r w:rsidR="00CA3526" w:rsidRPr="00C64064">
        <w:rPr>
          <w:rFonts w:asciiTheme="majorHAnsi" w:eastAsia="Times New Roman" w:hAnsiTheme="majorHAnsi" w:cstheme="majorHAnsi"/>
          <w:lang w:val="en-AU" w:eastAsia="en-US"/>
        </w:rPr>
        <w:t>T</w:t>
      </w:r>
      <w:r w:rsidRPr="00C64064">
        <w:rPr>
          <w:rFonts w:asciiTheme="majorHAnsi" w:eastAsia="Times New Roman" w:hAnsiTheme="majorHAnsi" w:cstheme="majorHAnsi"/>
          <w:lang w:val="en-AU" w:eastAsia="en-US"/>
        </w:rPr>
        <w:t xml:space="preserve">he participating universities </w:t>
      </w:r>
      <w:r w:rsidR="00CA3526" w:rsidRPr="00C64064">
        <w:rPr>
          <w:rFonts w:asciiTheme="majorHAnsi" w:eastAsia="Times New Roman" w:hAnsiTheme="majorHAnsi" w:cstheme="majorHAnsi"/>
          <w:lang w:val="en-AU" w:eastAsia="en-US"/>
        </w:rPr>
        <w:t>are also</w:t>
      </w:r>
      <w:r w:rsidRPr="00C64064">
        <w:rPr>
          <w:rFonts w:asciiTheme="majorHAnsi" w:eastAsia="Times New Roman" w:hAnsiTheme="majorHAnsi" w:cstheme="majorHAnsi"/>
          <w:lang w:val="en-AU" w:eastAsia="en-US"/>
        </w:rPr>
        <w:t xml:space="preserve"> </w:t>
      </w:r>
      <w:r w:rsidR="00CA3526" w:rsidRPr="00C64064">
        <w:rPr>
          <w:rFonts w:asciiTheme="majorHAnsi" w:eastAsia="Times New Roman" w:hAnsiTheme="majorHAnsi" w:cstheme="majorHAnsi"/>
          <w:lang w:val="en-AU" w:eastAsia="en-US"/>
        </w:rPr>
        <w:t xml:space="preserve">anticipated to </w:t>
      </w:r>
      <w:r w:rsidRPr="00C64064">
        <w:rPr>
          <w:rFonts w:asciiTheme="majorHAnsi" w:eastAsia="Times New Roman" w:hAnsiTheme="majorHAnsi" w:cstheme="majorHAnsi"/>
          <w:lang w:val="en-AU" w:eastAsia="en-US"/>
        </w:rPr>
        <w:t>embed MSD principles in their learning curricul</w:t>
      </w:r>
      <w:r w:rsidR="00CA3526" w:rsidRPr="00C64064">
        <w:rPr>
          <w:rFonts w:asciiTheme="majorHAnsi" w:eastAsia="Times New Roman" w:hAnsiTheme="majorHAnsi" w:cstheme="majorHAnsi"/>
          <w:lang w:val="en-AU" w:eastAsia="en-US"/>
        </w:rPr>
        <w:t>a</w:t>
      </w:r>
      <w:r w:rsidRPr="00C64064">
        <w:rPr>
          <w:rFonts w:asciiTheme="majorHAnsi" w:eastAsia="Times New Roman" w:hAnsiTheme="majorHAnsi" w:cstheme="majorHAnsi"/>
          <w:lang w:val="en-AU" w:eastAsia="en-US"/>
        </w:rPr>
        <w:t>. </w:t>
      </w:r>
      <w:r w:rsidRPr="00C64064">
        <w:rPr>
          <w:rFonts w:asciiTheme="majorHAnsi" w:eastAsia="Times New Roman" w:hAnsiTheme="majorHAnsi" w:cstheme="majorHAnsi"/>
          <w:lang w:val="en-US" w:eastAsia="en-US"/>
        </w:rPr>
        <w:t> </w:t>
      </w:r>
    </w:p>
    <w:p w14:paraId="5D0232E7" w14:textId="77777777" w:rsidR="00B726C6" w:rsidRPr="00C64064" w:rsidRDefault="00B726C6" w:rsidP="00C07794">
      <w:pPr>
        <w:spacing w:after="0" w:line="240" w:lineRule="auto"/>
        <w:jc w:val="both"/>
        <w:textAlignment w:val="baseline"/>
        <w:rPr>
          <w:rFonts w:asciiTheme="majorHAnsi" w:eastAsia="Times New Roman" w:hAnsiTheme="majorHAnsi" w:cstheme="majorHAnsi"/>
          <w:sz w:val="18"/>
          <w:szCs w:val="18"/>
          <w:lang w:val="en-US" w:eastAsia="en-US"/>
        </w:rPr>
      </w:pPr>
    </w:p>
    <w:p w14:paraId="5BD266D4" w14:textId="7558B420" w:rsidR="00C07794" w:rsidRPr="00C64064" w:rsidRDefault="00CA3526" w:rsidP="00C07794">
      <w:pPr>
        <w:spacing w:after="0" w:line="240" w:lineRule="auto"/>
        <w:jc w:val="both"/>
        <w:textAlignment w:val="baseline"/>
        <w:rPr>
          <w:rFonts w:asciiTheme="majorHAnsi" w:eastAsia="Times New Roman" w:hAnsiTheme="majorHAnsi" w:cstheme="majorHAnsi"/>
          <w:lang w:val="en-US" w:eastAsia="en-US"/>
        </w:rPr>
      </w:pPr>
      <w:r w:rsidRPr="00C64064">
        <w:rPr>
          <w:rFonts w:asciiTheme="majorHAnsi" w:eastAsia="Times New Roman" w:hAnsiTheme="majorHAnsi" w:cstheme="majorHAnsi"/>
          <w:lang w:val="en-AU" w:eastAsia="en-US"/>
        </w:rPr>
        <w:t>The m</w:t>
      </w:r>
      <w:r w:rsidR="00C07794" w:rsidRPr="00C64064">
        <w:rPr>
          <w:rFonts w:asciiTheme="majorHAnsi" w:eastAsia="Times New Roman" w:hAnsiTheme="majorHAnsi" w:cstheme="majorHAnsi"/>
          <w:lang w:val="en-AU" w:eastAsia="en-US"/>
        </w:rPr>
        <w:t xml:space="preserve">aize, beef, and pig sectors worked with </w:t>
      </w:r>
      <w:r w:rsidRPr="00C64064">
        <w:rPr>
          <w:rFonts w:asciiTheme="majorHAnsi" w:eastAsia="Times New Roman" w:hAnsiTheme="majorHAnsi" w:cstheme="majorHAnsi"/>
          <w:lang w:val="en-AU" w:eastAsia="en-US"/>
        </w:rPr>
        <w:t xml:space="preserve">the NTT </w:t>
      </w:r>
      <w:r w:rsidR="00C07794" w:rsidRPr="00C64064">
        <w:rPr>
          <w:rFonts w:asciiTheme="majorHAnsi" w:eastAsia="Times New Roman" w:hAnsiTheme="majorHAnsi" w:cstheme="majorHAnsi"/>
          <w:lang w:val="en-AU" w:eastAsia="en-US"/>
        </w:rPr>
        <w:t xml:space="preserve">Research and Innovation Development Planning Agency (Bapperida) to support the development of </w:t>
      </w:r>
      <w:r w:rsidRPr="00C64064">
        <w:rPr>
          <w:rFonts w:asciiTheme="majorHAnsi" w:eastAsia="Times New Roman" w:hAnsiTheme="majorHAnsi" w:cstheme="majorHAnsi"/>
          <w:lang w:val="en-AU" w:eastAsia="en-US"/>
        </w:rPr>
        <w:t xml:space="preserve">the </w:t>
      </w:r>
      <w:r w:rsidR="00C07794" w:rsidRPr="00C64064">
        <w:rPr>
          <w:rFonts w:asciiTheme="majorHAnsi" w:eastAsia="Times New Roman" w:hAnsiTheme="majorHAnsi" w:cstheme="majorHAnsi"/>
          <w:lang w:val="en-AU" w:eastAsia="en-US"/>
        </w:rPr>
        <w:t>NTT 2025-2029</w:t>
      </w:r>
      <w:r w:rsidRPr="00C64064">
        <w:rPr>
          <w:rFonts w:asciiTheme="majorHAnsi" w:eastAsia="Times New Roman" w:hAnsiTheme="majorHAnsi" w:cstheme="majorHAnsi"/>
          <w:lang w:val="en-AU" w:eastAsia="en-US"/>
        </w:rPr>
        <w:t xml:space="preserve"> RPJMD</w:t>
      </w:r>
      <w:r w:rsidR="00C07794" w:rsidRPr="00C64064">
        <w:rPr>
          <w:rFonts w:asciiTheme="majorHAnsi" w:eastAsia="Times New Roman" w:hAnsiTheme="majorHAnsi" w:cstheme="majorHAnsi"/>
          <w:lang w:val="en-AU" w:eastAsia="en-US"/>
        </w:rPr>
        <w:t>. This aim</w:t>
      </w:r>
      <w:r w:rsidR="002D5CD0" w:rsidRPr="00C64064">
        <w:rPr>
          <w:rFonts w:asciiTheme="majorHAnsi" w:eastAsia="Times New Roman" w:hAnsiTheme="majorHAnsi" w:cstheme="majorHAnsi"/>
          <w:lang w:val="en-AU" w:eastAsia="en-US"/>
        </w:rPr>
        <w:t>ed</w:t>
      </w:r>
      <w:r w:rsidR="00C07794" w:rsidRPr="00C64064">
        <w:rPr>
          <w:rFonts w:asciiTheme="majorHAnsi" w:eastAsia="Times New Roman" w:hAnsiTheme="majorHAnsi" w:cstheme="majorHAnsi"/>
          <w:lang w:val="en-AU" w:eastAsia="en-US"/>
        </w:rPr>
        <w:t xml:space="preserve"> to </w:t>
      </w:r>
      <w:r w:rsidR="002D5CD0" w:rsidRPr="00C64064">
        <w:rPr>
          <w:rFonts w:asciiTheme="majorHAnsi" w:eastAsia="Times New Roman" w:hAnsiTheme="majorHAnsi" w:cstheme="majorHAnsi"/>
          <w:lang w:val="en-AU" w:eastAsia="en-US"/>
        </w:rPr>
        <w:t>provide</w:t>
      </w:r>
      <w:r w:rsidR="00C07794" w:rsidRPr="00C64064">
        <w:rPr>
          <w:rFonts w:asciiTheme="majorHAnsi" w:eastAsia="Times New Roman" w:hAnsiTheme="majorHAnsi" w:cstheme="majorHAnsi"/>
          <w:lang w:val="en-AU" w:eastAsia="en-US"/>
        </w:rPr>
        <w:t xml:space="preserve"> evidence-based policy advocacy for vital commodities in NTT and stimulate </w:t>
      </w:r>
      <w:r w:rsidR="002D5CD0" w:rsidRPr="00C64064">
        <w:rPr>
          <w:rFonts w:asciiTheme="majorHAnsi" w:eastAsia="Times New Roman" w:hAnsiTheme="majorHAnsi" w:cstheme="majorHAnsi"/>
          <w:lang w:val="en-AU" w:eastAsia="en-US"/>
        </w:rPr>
        <w:t xml:space="preserve">private sector </w:t>
      </w:r>
      <w:r w:rsidR="00C07794" w:rsidRPr="00C64064">
        <w:rPr>
          <w:rFonts w:asciiTheme="majorHAnsi" w:eastAsia="Times New Roman" w:hAnsiTheme="majorHAnsi" w:cstheme="majorHAnsi"/>
          <w:lang w:val="en-AU" w:eastAsia="en-US"/>
        </w:rPr>
        <w:t xml:space="preserve">investment. PRISMA </w:t>
      </w:r>
      <w:r w:rsidR="002D5CD0" w:rsidRPr="00C64064">
        <w:rPr>
          <w:rFonts w:asciiTheme="majorHAnsi" w:eastAsia="Times New Roman" w:hAnsiTheme="majorHAnsi" w:cstheme="majorHAnsi"/>
          <w:lang w:val="en-AU" w:eastAsia="en-US"/>
        </w:rPr>
        <w:t xml:space="preserve">also </w:t>
      </w:r>
      <w:r w:rsidR="00C07794" w:rsidRPr="00C64064">
        <w:rPr>
          <w:rFonts w:asciiTheme="majorHAnsi" w:eastAsia="Times New Roman" w:hAnsiTheme="majorHAnsi" w:cstheme="majorHAnsi"/>
          <w:lang w:val="en-AU" w:eastAsia="en-US"/>
        </w:rPr>
        <w:t xml:space="preserve">supported the development of </w:t>
      </w:r>
      <w:r w:rsidR="002D5CD0" w:rsidRPr="00C64064">
        <w:rPr>
          <w:rFonts w:asciiTheme="majorHAnsi" w:eastAsia="Times New Roman" w:hAnsiTheme="majorHAnsi" w:cstheme="majorHAnsi"/>
          <w:lang w:val="en-AU" w:eastAsia="en-US"/>
        </w:rPr>
        <w:t xml:space="preserve">the </w:t>
      </w:r>
      <w:r w:rsidR="00C07794" w:rsidRPr="00C64064">
        <w:rPr>
          <w:rFonts w:asciiTheme="majorHAnsi" w:eastAsia="Times New Roman" w:hAnsiTheme="majorHAnsi" w:cstheme="majorHAnsi"/>
          <w:lang w:val="en-AU" w:eastAsia="en-US"/>
        </w:rPr>
        <w:t xml:space="preserve">commodity mapping instrument and </w:t>
      </w:r>
      <w:r w:rsidR="002D5CD0" w:rsidRPr="00C64064">
        <w:rPr>
          <w:rFonts w:asciiTheme="majorHAnsi" w:eastAsia="Times New Roman" w:hAnsiTheme="majorHAnsi" w:cstheme="majorHAnsi"/>
          <w:lang w:val="en-AU" w:eastAsia="en-US"/>
        </w:rPr>
        <w:t xml:space="preserve">the </w:t>
      </w:r>
      <w:r w:rsidR="00C07794" w:rsidRPr="00C64064">
        <w:rPr>
          <w:rFonts w:asciiTheme="majorHAnsi" w:eastAsia="Times New Roman" w:hAnsiTheme="majorHAnsi" w:cstheme="majorHAnsi"/>
          <w:lang w:val="en-AU" w:eastAsia="en-US"/>
        </w:rPr>
        <w:t xml:space="preserve">agriculture background study research with inputs from local and national government agencies and </w:t>
      </w:r>
      <w:r w:rsidR="002D5CD0" w:rsidRPr="00C64064">
        <w:rPr>
          <w:rFonts w:asciiTheme="majorHAnsi" w:eastAsia="Times New Roman" w:hAnsiTheme="majorHAnsi" w:cstheme="majorHAnsi"/>
          <w:lang w:val="en-AU" w:eastAsia="en-US"/>
        </w:rPr>
        <w:t xml:space="preserve">the </w:t>
      </w:r>
      <w:r w:rsidR="00C07794" w:rsidRPr="00C64064">
        <w:rPr>
          <w:rFonts w:asciiTheme="majorHAnsi" w:eastAsia="Times New Roman" w:hAnsiTheme="majorHAnsi" w:cstheme="majorHAnsi"/>
          <w:lang w:val="en-AU" w:eastAsia="en-US"/>
        </w:rPr>
        <w:t>private sector.</w:t>
      </w:r>
      <w:r w:rsidR="00C07794" w:rsidRPr="00C64064">
        <w:rPr>
          <w:rFonts w:asciiTheme="majorHAnsi" w:eastAsia="Times New Roman" w:hAnsiTheme="majorHAnsi" w:cstheme="majorHAnsi"/>
          <w:lang w:val="en-US" w:eastAsia="en-US"/>
        </w:rPr>
        <w:t> </w:t>
      </w:r>
    </w:p>
    <w:p w14:paraId="40B7C591" w14:textId="77777777" w:rsidR="00B726C6" w:rsidRPr="00C64064" w:rsidRDefault="00B726C6" w:rsidP="00C07794">
      <w:pPr>
        <w:spacing w:after="0" w:line="240" w:lineRule="auto"/>
        <w:jc w:val="both"/>
        <w:textAlignment w:val="baseline"/>
        <w:rPr>
          <w:rFonts w:asciiTheme="majorHAnsi" w:eastAsia="Times New Roman" w:hAnsiTheme="majorHAnsi" w:cstheme="majorHAnsi"/>
          <w:sz w:val="18"/>
          <w:szCs w:val="18"/>
          <w:lang w:val="en-US" w:eastAsia="en-US"/>
        </w:rPr>
      </w:pPr>
    </w:p>
    <w:p w14:paraId="31BFAD9B" w14:textId="5B6DCBF6" w:rsidR="00C07794" w:rsidRPr="00C64064" w:rsidRDefault="00C07794" w:rsidP="00C07794">
      <w:pPr>
        <w:spacing w:after="0" w:line="240" w:lineRule="auto"/>
        <w:jc w:val="both"/>
        <w:textAlignment w:val="baseline"/>
        <w:rPr>
          <w:rFonts w:asciiTheme="majorHAnsi" w:eastAsia="Times New Roman" w:hAnsiTheme="majorHAnsi" w:cstheme="majorHAnsi"/>
          <w:sz w:val="18"/>
          <w:szCs w:val="18"/>
          <w:lang w:val="en-US" w:eastAsia="en-US"/>
        </w:rPr>
      </w:pPr>
      <w:r w:rsidRPr="00C64064">
        <w:rPr>
          <w:rFonts w:asciiTheme="majorHAnsi" w:eastAsia="Times New Roman" w:hAnsiTheme="majorHAnsi" w:cstheme="majorHAnsi"/>
          <w:lang w:val="en-AU" w:eastAsia="en-US"/>
        </w:rPr>
        <w:t xml:space="preserve">PRISMA also facilitated </w:t>
      </w:r>
      <w:r w:rsidR="00AE1C80" w:rsidRPr="00C64064">
        <w:rPr>
          <w:rFonts w:asciiTheme="majorHAnsi" w:eastAsia="Times New Roman" w:hAnsiTheme="majorHAnsi" w:cstheme="majorHAnsi"/>
          <w:lang w:val="en-AU" w:eastAsia="en-US"/>
        </w:rPr>
        <w:t xml:space="preserve">collaboration </w:t>
      </w:r>
      <w:r w:rsidR="007170DC" w:rsidRPr="00C64064">
        <w:rPr>
          <w:rFonts w:asciiTheme="majorHAnsi" w:eastAsia="Times New Roman" w:hAnsiTheme="majorHAnsi" w:cstheme="majorHAnsi"/>
          <w:lang w:val="en-AU" w:eastAsia="en-US"/>
        </w:rPr>
        <w:t xml:space="preserve">between the </w:t>
      </w:r>
      <w:r w:rsidR="005F60D8" w:rsidRPr="00C64064">
        <w:rPr>
          <w:rFonts w:asciiTheme="majorHAnsi" w:eastAsia="Times New Roman" w:hAnsiTheme="majorHAnsi" w:cstheme="majorHAnsi"/>
          <w:lang w:val="en-AU" w:eastAsia="en-US"/>
        </w:rPr>
        <w:t xml:space="preserve">private sector and </w:t>
      </w:r>
      <w:r w:rsidR="007170DC" w:rsidRPr="00C64064">
        <w:rPr>
          <w:rFonts w:asciiTheme="majorHAnsi" w:eastAsia="Times New Roman" w:hAnsiTheme="majorHAnsi" w:cstheme="majorHAnsi"/>
          <w:lang w:val="en-AU" w:eastAsia="en-US"/>
        </w:rPr>
        <w:t xml:space="preserve">the </w:t>
      </w:r>
      <w:r w:rsidR="005F60D8" w:rsidRPr="00C64064">
        <w:rPr>
          <w:rFonts w:asciiTheme="majorHAnsi" w:eastAsia="Times New Roman" w:hAnsiTheme="majorHAnsi" w:cstheme="majorHAnsi"/>
          <w:lang w:val="en-AU" w:eastAsia="en-US"/>
        </w:rPr>
        <w:t xml:space="preserve">government </w:t>
      </w:r>
      <w:r w:rsidR="007170DC" w:rsidRPr="00C64064">
        <w:rPr>
          <w:rFonts w:asciiTheme="majorHAnsi" w:eastAsia="Times New Roman" w:hAnsiTheme="majorHAnsi" w:cstheme="majorHAnsi"/>
          <w:lang w:val="en-AU" w:eastAsia="en-US"/>
        </w:rPr>
        <w:t>in</w:t>
      </w:r>
      <w:r w:rsidRPr="00C64064">
        <w:rPr>
          <w:rFonts w:asciiTheme="majorHAnsi" w:eastAsia="Times New Roman" w:hAnsiTheme="majorHAnsi" w:cstheme="majorHAnsi"/>
          <w:lang w:val="en-AU" w:eastAsia="en-US"/>
        </w:rPr>
        <w:t xml:space="preserve"> resilience activities c</w:t>
      </w:r>
      <w:r w:rsidR="005F60D8" w:rsidRPr="00C64064">
        <w:rPr>
          <w:rFonts w:asciiTheme="majorHAnsi" w:eastAsia="Times New Roman" w:hAnsiTheme="majorHAnsi" w:cstheme="majorHAnsi"/>
          <w:lang w:val="en-AU" w:eastAsia="en-US"/>
        </w:rPr>
        <w:t>onducted</w:t>
      </w:r>
      <w:r w:rsidRPr="00C64064">
        <w:rPr>
          <w:rFonts w:asciiTheme="majorHAnsi" w:eastAsia="Times New Roman" w:hAnsiTheme="majorHAnsi" w:cstheme="majorHAnsi"/>
          <w:lang w:val="en-AU" w:eastAsia="en-US"/>
        </w:rPr>
        <w:t xml:space="preserve"> by different sectors. In the mechanisation sector, </w:t>
      </w:r>
      <w:r w:rsidRPr="00C64064">
        <w:rPr>
          <w:rFonts w:asciiTheme="majorHAnsi" w:eastAsia="Times New Roman" w:hAnsiTheme="majorHAnsi" w:cstheme="majorHAnsi"/>
          <w:lang w:val="en-US" w:eastAsia="en-US"/>
        </w:rPr>
        <w:t xml:space="preserve">PRISMA supported a series of workshops in East and Central Java with </w:t>
      </w:r>
      <w:r w:rsidR="002D5CD0" w:rsidRPr="00C64064">
        <w:rPr>
          <w:rFonts w:asciiTheme="majorHAnsi" w:eastAsia="Times New Roman" w:hAnsiTheme="majorHAnsi" w:cstheme="majorHAnsi"/>
          <w:lang w:val="en-US" w:eastAsia="en-US"/>
        </w:rPr>
        <w:t>p</w:t>
      </w:r>
      <w:r w:rsidRPr="00C64064">
        <w:rPr>
          <w:rFonts w:asciiTheme="majorHAnsi" w:eastAsia="Times New Roman" w:hAnsiTheme="majorHAnsi" w:cstheme="majorHAnsi"/>
          <w:lang w:val="en-US" w:eastAsia="en-US"/>
        </w:rPr>
        <w:t>rovincial</w:t>
      </w:r>
      <w:r w:rsidR="00DA4084" w:rsidRPr="00C64064">
        <w:rPr>
          <w:rFonts w:asciiTheme="majorHAnsi" w:eastAsia="Times New Roman" w:hAnsiTheme="majorHAnsi" w:cstheme="majorHAnsi"/>
          <w:lang w:val="en-US" w:eastAsia="en-US"/>
        </w:rPr>
        <w:t>-</w:t>
      </w:r>
      <w:r w:rsidR="002D5CD0" w:rsidRPr="00C64064">
        <w:rPr>
          <w:rFonts w:asciiTheme="majorHAnsi" w:eastAsia="Times New Roman" w:hAnsiTheme="majorHAnsi" w:cstheme="majorHAnsi"/>
          <w:lang w:val="en-US" w:eastAsia="en-US"/>
        </w:rPr>
        <w:t>l</w:t>
      </w:r>
      <w:r w:rsidRPr="00C64064">
        <w:rPr>
          <w:rFonts w:asciiTheme="majorHAnsi" w:eastAsia="Times New Roman" w:hAnsiTheme="majorHAnsi" w:cstheme="majorHAnsi"/>
          <w:lang w:val="en-US" w:eastAsia="en-US"/>
        </w:rPr>
        <w:t xml:space="preserve">evel </w:t>
      </w:r>
      <w:r w:rsidR="002D5CD0" w:rsidRPr="00C64064">
        <w:rPr>
          <w:rFonts w:asciiTheme="majorHAnsi" w:eastAsia="Times New Roman" w:hAnsiTheme="majorHAnsi" w:cstheme="majorHAnsi"/>
          <w:lang w:val="en-US" w:eastAsia="en-US"/>
        </w:rPr>
        <w:t>a</w:t>
      </w:r>
      <w:r w:rsidRPr="00C64064">
        <w:rPr>
          <w:rFonts w:asciiTheme="majorHAnsi" w:eastAsia="Times New Roman" w:hAnsiTheme="majorHAnsi" w:cstheme="majorHAnsi"/>
          <w:lang w:val="en-US" w:eastAsia="en-US"/>
        </w:rPr>
        <w:t>griculture training centres to i</w:t>
      </w:r>
      <w:r w:rsidR="005F60D8" w:rsidRPr="00C64064">
        <w:rPr>
          <w:rFonts w:asciiTheme="majorHAnsi" w:eastAsia="Times New Roman" w:hAnsiTheme="majorHAnsi" w:cstheme="majorHAnsi"/>
          <w:lang w:val="en-US" w:eastAsia="en-US"/>
        </w:rPr>
        <w:t>ncrease</w:t>
      </w:r>
      <w:r w:rsidRPr="00C64064">
        <w:rPr>
          <w:rFonts w:asciiTheme="majorHAnsi" w:eastAsia="Times New Roman" w:hAnsiTheme="majorHAnsi" w:cstheme="majorHAnsi"/>
          <w:lang w:val="en-US" w:eastAsia="en-US"/>
        </w:rPr>
        <w:t xml:space="preserve"> the utilisation rate of agriculture mechanisation services and thereby sustain the business of </w:t>
      </w:r>
      <w:r w:rsidR="00244BA7" w:rsidRPr="00C64064">
        <w:rPr>
          <w:rFonts w:asciiTheme="majorHAnsi" w:eastAsia="Times New Roman" w:hAnsiTheme="majorHAnsi" w:cstheme="majorHAnsi"/>
          <w:lang w:val="en-US" w:eastAsia="en-US"/>
        </w:rPr>
        <w:t xml:space="preserve">the </w:t>
      </w:r>
      <w:r w:rsidR="00DA4392" w:rsidRPr="00C64064">
        <w:rPr>
          <w:rFonts w:asciiTheme="majorHAnsi" w:eastAsia="Times New Roman" w:hAnsiTheme="majorHAnsi" w:cstheme="majorHAnsi"/>
          <w:lang w:val="en-US" w:eastAsia="en-US"/>
        </w:rPr>
        <w:t>g</w:t>
      </w:r>
      <w:r w:rsidRPr="00C64064">
        <w:rPr>
          <w:rFonts w:asciiTheme="majorHAnsi" w:eastAsia="Times New Roman" w:hAnsiTheme="majorHAnsi" w:cstheme="majorHAnsi"/>
          <w:lang w:val="en-US" w:eastAsia="en-US"/>
        </w:rPr>
        <w:t xml:space="preserve">overnment </w:t>
      </w:r>
      <w:r w:rsidR="00DA4392" w:rsidRPr="00C64064">
        <w:rPr>
          <w:rFonts w:asciiTheme="majorHAnsi" w:eastAsia="Times New Roman" w:hAnsiTheme="majorHAnsi" w:cstheme="majorHAnsi"/>
          <w:lang w:val="en-US" w:eastAsia="en-US"/>
        </w:rPr>
        <w:t>m</w:t>
      </w:r>
      <w:r w:rsidRPr="00C64064">
        <w:rPr>
          <w:rFonts w:asciiTheme="majorHAnsi" w:eastAsia="Times New Roman" w:hAnsiTheme="majorHAnsi" w:cstheme="majorHAnsi"/>
          <w:lang w:val="en-US" w:eastAsia="en-US"/>
        </w:rPr>
        <w:t xml:space="preserve">echanisation </w:t>
      </w:r>
      <w:r w:rsidR="00DA4392" w:rsidRPr="00C64064">
        <w:rPr>
          <w:rFonts w:asciiTheme="majorHAnsi" w:eastAsia="Times New Roman" w:hAnsiTheme="majorHAnsi" w:cstheme="majorHAnsi"/>
          <w:lang w:val="en-US" w:eastAsia="en-US"/>
        </w:rPr>
        <w:t>s</w:t>
      </w:r>
      <w:r w:rsidRPr="00C64064">
        <w:rPr>
          <w:rFonts w:asciiTheme="majorHAnsi" w:eastAsia="Times New Roman" w:hAnsiTheme="majorHAnsi" w:cstheme="majorHAnsi"/>
          <w:lang w:val="en-US" w:eastAsia="en-US"/>
        </w:rPr>
        <w:t xml:space="preserve">ervice </w:t>
      </w:r>
      <w:r w:rsidR="00DA4392" w:rsidRPr="00C64064">
        <w:rPr>
          <w:rFonts w:asciiTheme="majorHAnsi" w:eastAsia="Times New Roman" w:hAnsiTheme="majorHAnsi" w:cstheme="majorHAnsi"/>
          <w:lang w:val="en-US" w:eastAsia="en-US"/>
        </w:rPr>
        <w:t>u</w:t>
      </w:r>
      <w:r w:rsidRPr="00C64064">
        <w:rPr>
          <w:rFonts w:asciiTheme="majorHAnsi" w:eastAsia="Times New Roman" w:hAnsiTheme="majorHAnsi" w:cstheme="majorHAnsi"/>
          <w:lang w:val="en-US" w:eastAsia="en-US"/>
        </w:rPr>
        <w:t>nit</w:t>
      </w:r>
      <w:r w:rsidR="00DA4392" w:rsidRPr="00C64064">
        <w:rPr>
          <w:rFonts w:asciiTheme="majorHAnsi" w:eastAsia="Times New Roman" w:hAnsiTheme="majorHAnsi" w:cstheme="majorHAnsi"/>
          <w:lang w:val="en-US" w:eastAsia="en-US"/>
        </w:rPr>
        <w:t>s</w:t>
      </w:r>
      <w:r w:rsidRPr="00C64064">
        <w:rPr>
          <w:rFonts w:asciiTheme="majorHAnsi" w:eastAsia="Times New Roman" w:hAnsiTheme="majorHAnsi" w:cstheme="majorHAnsi"/>
          <w:lang w:val="en-US" w:eastAsia="en-US"/>
        </w:rPr>
        <w:t xml:space="preserve"> (UPJA). </w:t>
      </w:r>
      <w:r w:rsidRPr="00C64064">
        <w:rPr>
          <w:rFonts w:asciiTheme="majorHAnsi" w:eastAsia="Times New Roman" w:hAnsiTheme="majorHAnsi" w:cstheme="majorHAnsi"/>
          <w:lang w:val="en-AU" w:eastAsia="en-US"/>
        </w:rPr>
        <w:t>The dairy sector has continued develop</w:t>
      </w:r>
      <w:r w:rsidR="00DA4392" w:rsidRPr="00C64064">
        <w:rPr>
          <w:rFonts w:asciiTheme="majorHAnsi" w:eastAsia="Times New Roman" w:hAnsiTheme="majorHAnsi" w:cstheme="majorHAnsi"/>
          <w:lang w:val="en-AU" w:eastAsia="en-US"/>
        </w:rPr>
        <w:t>ing</w:t>
      </w:r>
      <w:r w:rsidR="00DA4084" w:rsidRPr="00C64064">
        <w:rPr>
          <w:rFonts w:asciiTheme="majorHAnsi" w:eastAsia="Times New Roman" w:hAnsiTheme="majorHAnsi" w:cstheme="majorHAnsi"/>
          <w:lang w:val="en-AU" w:eastAsia="en-US"/>
        </w:rPr>
        <w:t xml:space="preserve"> the </w:t>
      </w:r>
      <w:r w:rsidR="00DA4084" w:rsidRPr="00C64064">
        <w:rPr>
          <w:rFonts w:asciiTheme="majorHAnsi" w:eastAsia="Times New Roman" w:hAnsiTheme="majorHAnsi" w:cstheme="majorHAnsi"/>
          <w:lang w:val="en-AU" w:eastAsia="en-US"/>
        </w:rPr>
        <w:lastRenderedPageBreak/>
        <w:t>“</w:t>
      </w:r>
      <w:r w:rsidRPr="00C64064">
        <w:rPr>
          <w:rFonts w:asciiTheme="majorHAnsi" w:eastAsia="Times New Roman" w:hAnsiTheme="majorHAnsi" w:cstheme="majorHAnsi"/>
          <w:lang w:val="en-AU" w:eastAsia="en-US"/>
        </w:rPr>
        <w:t xml:space="preserve">Good Dairy Farming Practices </w:t>
      </w:r>
      <w:r w:rsidR="00DA4084" w:rsidRPr="00C64064">
        <w:rPr>
          <w:rFonts w:asciiTheme="majorHAnsi" w:eastAsia="Times New Roman" w:hAnsiTheme="majorHAnsi" w:cstheme="majorHAnsi"/>
          <w:lang w:val="en-AU" w:eastAsia="en-US"/>
        </w:rPr>
        <w:t>G</w:t>
      </w:r>
      <w:r w:rsidRPr="00C64064">
        <w:rPr>
          <w:rFonts w:asciiTheme="majorHAnsi" w:eastAsia="Times New Roman" w:hAnsiTheme="majorHAnsi" w:cstheme="majorHAnsi"/>
          <w:lang w:val="en-AU" w:eastAsia="en-US"/>
        </w:rPr>
        <w:t>uidelines</w:t>
      </w:r>
      <w:r w:rsidR="00DA4084" w:rsidRPr="00C64064">
        <w:rPr>
          <w:rFonts w:asciiTheme="majorHAnsi" w:eastAsia="Times New Roman" w:hAnsiTheme="majorHAnsi" w:cstheme="majorHAnsi"/>
          <w:lang w:val="en-AU" w:eastAsia="en-US"/>
        </w:rPr>
        <w:t>”</w:t>
      </w:r>
      <w:r w:rsidRPr="00C64064">
        <w:rPr>
          <w:rFonts w:asciiTheme="majorHAnsi" w:eastAsia="Times New Roman" w:hAnsiTheme="majorHAnsi" w:cstheme="majorHAnsi"/>
          <w:lang w:val="en-AU" w:eastAsia="en-US"/>
        </w:rPr>
        <w:t xml:space="preserve"> </w:t>
      </w:r>
      <w:r w:rsidR="00DA4392" w:rsidRPr="00C64064">
        <w:rPr>
          <w:rFonts w:asciiTheme="majorHAnsi" w:eastAsia="Times New Roman" w:hAnsiTheme="majorHAnsi" w:cstheme="majorHAnsi"/>
          <w:lang w:val="en-AU" w:eastAsia="en-US"/>
        </w:rPr>
        <w:t>that will be</w:t>
      </w:r>
      <w:r w:rsidR="007170DC" w:rsidRPr="00C64064">
        <w:rPr>
          <w:rFonts w:asciiTheme="majorHAnsi" w:eastAsia="Times New Roman" w:hAnsiTheme="majorHAnsi" w:cstheme="majorHAnsi"/>
          <w:lang w:val="en-AU" w:eastAsia="en-US"/>
        </w:rPr>
        <w:t xml:space="preserve"> integrated into</w:t>
      </w:r>
      <w:r w:rsidR="00DA4392" w:rsidRPr="00C64064">
        <w:rPr>
          <w:rFonts w:asciiTheme="majorHAnsi" w:eastAsia="Times New Roman" w:hAnsiTheme="majorHAnsi" w:cstheme="majorHAnsi"/>
          <w:lang w:val="en-AU" w:eastAsia="en-US"/>
        </w:rPr>
        <w:t xml:space="preserve"> </w:t>
      </w:r>
      <w:r w:rsidR="007170DC" w:rsidRPr="00C64064">
        <w:rPr>
          <w:rFonts w:asciiTheme="majorHAnsi" w:eastAsia="Times New Roman" w:hAnsiTheme="majorHAnsi" w:cstheme="majorHAnsi"/>
          <w:lang w:val="en-AU" w:eastAsia="en-US"/>
        </w:rPr>
        <w:t>an</w:t>
      </w:r>
      <w:r w:rsidRPr="00C64064">
        <w:rPr>
          <w:rFonts w:asciiTheme="majorHAnsi" w:eastAsia="Times New Roman" w:hAnsiTheme="majorHAnsi" w:cstheme="majorHAnsi"/>
          <w:lang w:val="en-AU" w:eastAsia="en-US"/>
        </w:rPr>
        <w:t xml:space="preserve"> </w:t>
      </w:r>
      <w:r w:rsidR="00DA4084" w:rsidRPr="00C64064">
        <w:rPr>
          <w:rFonts w:asciiTheme="majorHAnsi" w:eastAsia="Times New Roman" w:hAnsiTheme="majorHAnsi" w:cstheme="majorHAnsi"/>
          <w:lang w:val="en-AU" w:eastAsia="en-US"/>
        </w:rPr>
        <w:t xml:space="preserve">Agriculture Minister </w:t>
      </w:r>
      <w:r w:rsidRPr="00C64064">
        <w:rPr>
          <w:rFonts w:asciiTheme="majorHAnsi" w:eastAsia="Times New Roman" w:hAnsiTheme="majorHAnsi" w:cstheme="majorHAnsi"/>
          <w:lang w:val="en-AU" w:eastAsia="en-US"/>
        </w:rPr>
        <w:t xml:space="preserve">Draft Regulation (Rapermentan) by conducting coordination meetings and workshops with </w:t>
      </w:r>
      <w:r w:rsidR="00DA4084" w:rsidRPr="00C64064">
        <w:rPr>
          <w:rFonts w:asciiTheme="majorHAnsi" w:eastAsia="Times New Roman" w:hAnsiTheme="majorHAnsi" w:cstheme="majorHAnsi"/>
          <w:lang w:val="en-AU" w:eastAsia="en-US"/>
        </w:rPr>
        <w:t xml:space="preserve">the MoA’s </w:t>
      </w:r>
      <w:r w:rsidRPr="00C64064">
        <w:rPr>
          <w:rFonts w:asciiTheme="majorHAnsi" w:eastAsia="Times New Roman" w:hAnsiTheme="majorHAnsi" w:cstheme="majorHAnsi"/>
          <w:lang w:val="en-AU" w:eastAsia="en-US"/>
        </w:rPr>
        <w:t xml:space="preserve">Breed and Livestock Production Directorate. In Boyolali district, PRISMA facilitated joint activities between NuFeed, a concentrate feed producer, </w:t>
      </w:r>
      <w:r w:rsidR="00DA4084" w:rsidRPr="00C64064">
        <w:rPr>
          <w:rFonts w:asciiTheme="majorHAnsi" w:eastAsia="Times New Roman" w:hAnsiTheme="majorHAnsi" w:cstheme="majorHAnsi"/>
          <w:lang w:val="en-AU" w:eastAsia="en-US"/>
        </w:rPr>
        <w:t xml:space="preserve">the </w:t>
      </w:r>
      <w:r w:rsidRPr="00C64064">
        <w:rPr>
          <w:rFonts w:asciiTheme="majorHAnsi" w:eastAsia="Times New Roman" w:hAnsiTheme="majorHAnsi" w:cstheme="majorHAnsi"/>
          <w:lang w:val="en-AU" w:eastAsia="en-US"/>
        </w:rPr>
        <w:t xml:space="preserve">District Livestock Agency, and </w:t>
      </w:r>
      <w:r w:rsidR="00DA4084" w:rsidRPr="00C64064">
        <w:rPr>
          <w:rFonts w:asciiTheme="majorHAnsi" w:eastAsia="Times New Roman" w:hAnsiTheme="majorHAnsi" w:cstheme="majorHAnsi"/>
          <w:lang w:val="en-AU" w:eastAsia="en-US"/>
        </w:rPr>
        <w:t xml:space="preserve">the </w:t>
      </w:r>
      <w:r w:rsidRPr="00C64064">
        <w:rPr>
          <w:rFonts w:asciiTheme="majorHAnsi" w:eastAsia="Times New Roman" w:hAnsiTheme="majorHAnsi" w:cstheme="majorHAnsi"/>
          <w:lang w:val="en-AU" w:eastAsia="en-US"/>
        </w:rPr>
        <w:t>District Social Agency to conduct a socialisation event on disability inclusion.</w:t>
      </w:r>
      <w:r w:rsidRPr="00C64064">
        <w:rPr>
          <w:rFonts w:asciiTheme="majorHAnsi" w:eastAsia="Times New Roman" w:hAnsiTheme="majorHAnsi" w:cstheme="majorHAnsi"/>
          <w:lang w:val="en-US" w:eastAsia="en-US"/>
        </w:rPr>
        <w:t> </w:t>
      </w:r>
    </w:p>
    <w:p w14:paraId="1F1B4669" w14:textId="1195D9A9" w:rsidR="00D73C13" w:rsidRPr="00C64064" w:rsidRDefault="00D73C13" w:rsidP="00D73C13">
      <w:pPr>
        <w:pStyle w:val="Body"/>
        <w:rPr>
          <w:rFonts w:asciiTheme="majorHAnsi" w:hAnsiTheme="majorHAnsi" w:cstheme="majorHAnsi"/>
          <w:lang w:val="en-US"/>
        </w:rPr>
      </w:pPr>
    </w:p>
    <w:p w14:paraId="0AABD914" w14:textId="77777777" w:rsidR="00883B62" w:rsidRDefault="00883B62">
      <w:pPr>
        <w:rPr>
          <w:rFonts w:asciiTheme="majorHAnsi" w:eastAsiaTheme="majorEastAsia" w:hAnsiTheme="majorHAnsi" w:cstheme="majorHAnsi"/>
          <w:b/>
          <w:bCs/>
          <w:color w:val="FF0000"/>
          <w:sz w:val="26"/>
          <w:szCs w:val="26"/>
        </w:rPr>
      </w:pPr>
    </w:p>
    <w:p w14:paraId="58CE07D5" w14:textId="77777777" w:rsidR="00940F92" w:rsidRPr="00C64064" w:rsidRDefault="00940F92" w:rsidP="003F25CE">
      <w:pPr>
        <w:pStyle w:val="Head2"/>
        <w:numPr>
          <w:ilvl w:val="0"/>
          <w:numId w:val="0"/>
        </w:numPr>
        <w:ind w:left="432"/>
        <w:rPr>
          <w:rFonts w:cstheme="majorHAnsi"/>
          <w:color w:val="FF0000"/>
        </w:rPr>
      </w:pPr>
    </w:p>
    <w:p w14:paraId="3794B5EF" w14:textId="6A0D42A6" w:rsidR="00CF79BA" w:rsidRPr="00C64064" w:rsidRDefault="00D03D8B" w:rsidP="00AB5249">
      <w:pPr>
        <w:rPr>
          <w:rFonts w:asciiTheme="majorHAnsi" w:hAnsiTheme="majorHAnsi" w:cstheme="majorHAnsi"/>
          <w:b/>
          <w:color w:val="FF0000"/>
        </w:rPr>
      </w:pPr>
      <w:r w:rsidRPr="00C64064">
        <w:rPr>
          <w:rFonts w:asciiTheme="majorHAnsi" w:hAnsiTheme="majorHAnsi" w:cstheme="majorHAnsi"/>
          <w:b/>
          <w:bCs/>
          <w:noProof/>
          <w:color w:val="FF0000"/>
        </w:rPr>
        <mc:AlternateContent>
          <mc:Choice Requires="wps">
            <w:drawing>
              <wp:anchor distT="0" distB="0" distL="114300" distR="114300" simplePos="0" relativeHeight="251658280" behindDoc="0" locked="0" layoutInCell="1" allowOverlap="1" wp14:anchorId="76024F44" wp14:editId="67106A11">
                <wp:simplePos x="845185" y="718820"/>
                <wp:positionH relativeFrom="margin">
                  <wp:align>left</wp:align>
                </wp:positionH>
                <wp:positionV relativeFrom="margin">
                  <wp:align>bottom</wp:align>
                </wp:positionV>
                <wp:extent cx="4536440" cy="2320925"/>
                <wp:effectExtent l="0" t="0" r="0" b="3175"/>
                <wp:wrapSquare wrapText="bothSides"/>
                <wp:docPr id="217" name="Text Box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440" cy="2320925"/>
                        </a:xfrm>
                        <a:prstGeom prst="rect">
                          <a:avLst/>
                        </a:prstGeom>
                        <a:solidFill>
                          <a:srgbClr val="FFFFFF"/>
                        </a:solidFill>
                        <a:ln w="9525">
                          <a:noFill/>
                          <a:miter lim="800000"/>
                          <a:headEnd/>
                          <a:tailEnd/>
                        </a:ln>
                      </wps:spPr>
                      <wps:txbx>
                        <w:txbxContent>
                          <w:p w14:paraId="1F9363CC" w14:textId="0621D6F7" w:rsidR="00D03D8B" w:rsidRPr="00B806DC" w:rsidRDefault="00D03D8B" w:rsidP="00C72B45">
                            <w:pPr>
                              <w:pStyle w:val="Body"/>
                              <w:rPr>
                                <w:lang w:val="sv-SE"/>
                              </w:rPr>
                            </w:pPr>
                            <w:r w:rsidRPr="00B806DC">
                              <w:rPr>
                                <w:lang w:val="sv-SE"/>
                              </w:rPr>
                              <w:t>PRISMA</w:t>
                            </w:r>
                          </w:p>
                          <w:p w14:paraId="7468595B" w14:textId="2E1A038B" w:rsidR="00D03D8B" w:rsidRPr="00B806DC" w:rsidRDefault="00D03D8B" w:rsidP="00C72B45">
                            <w:pPr>
                              <w:pStyle w:val="Body"/>
                              <w:rPr>
                                <w:lang w:val="sv-SE"/>
                              </w:rPr>
                            </w:pPr>
                            <w:r w:rsidRPr="00B806DC">
                              <w:rPr>
                                <w:lang w:val="sv-SE"/>
                              </w:rPr>
                              <w:t>Jl. Margorejo Indah I blo</w:t>
                            </w:r>
                            <w:r w:rsidR="003511A9" w:rsidRPr="00B806DC">
                              <w:rPr>
                                <w:lang w:val="sv-SE"/>
                              </w:rPr>
                              <w:t>c</w:t>
                            </w:r>
                            <w:r w:rsidRPr="00B806DC">
                              <w:rPr>
                                <w:lang w:val="sv-SE"/>
                              </w:rPr>
                              <w:t xml:space="preserve">k A-535, </w:t>
                            </w:r>
                          </w:p>
                          <w:p w14:paraId="6238E680" w14:textId="77777777" w:rsidR="00D03D8B" w:rsidRPr="00EE1B5D" w:rsidRDefault="00D03D8B" w:rsidP="00C72B45">
                            <w:pPr>
                              <w:pStyle w:val="Body"/>
                            </w:pPr>
                            <w:r w:rsidRPr="00EE1B5D">
                              <w:t xml:space="preserve">Surabaya 60238, Indonesia </w:t>
                            </w:r>
                          </w:p>
                          <w:p w14:paraId="3BEFB2D0" w14:textId="77777777" w:rsidR="00D03D8B" w:rsidRPr="00EE1B5D" w:rsidRDefault="00D03D8B" w:rsidP="00C72B45">
                            <w:pPr>
                              <w:pStyle w:val="Body"/>
                            </w:pPr>
                            <w:r w:rsidRPr="00EE1B5D">
                              <w:t xml:space="preserve">info@aip-prisma.or.id </w:t>
                            </w:r>
                          </w:p>
                          <w:p w14:paraId="75ABA821" w14:textId="77777777" w:rsidR="00D03D8B" w:rsidRPr="00EE1B5D" w:rsidRDefault="00D03D8B" w:rsidP="00C72B45">
                            <w:pPr>
                              <w:pStyle w:val="Body"/>
                            </w:pPr>
                            <w:r w:rsidRPr="00EE1B5D">
                              <w:t xml:space="preserve">+62 31 8420473 </w:t>
                            </w:r>
                          </w:p>
                          <w:p w14:paraId="555E00A2" w14:textId="77777777" w:rsidR="00D03D8B" w:rsidRPr="00EE1B5D" w:rsidRDefault="00D03D8B" w:rsidP="00C72B45">
                            <w:pPr>
                              <w:pStyle w:val="Body"/>
                            </w:pPr>
                            <w:r w:rsidRPr="00EE1B5D">
                              <w:t xml:space="preserve">www.linkedin.com/company/prisma-indonesia/ </w:t>
                            </w:r>
                          </w:p>
                          <w:p w14:paraId="124B306E" w14:textId="77777777" w:rsidR="00D03D8B" w:rsidRPr="009624E7" w:rsidRDefault="00D03D8B" w:rsidP="00C72B45">
                            <w:pPr>
                              <w:pStyle w:val="Body"/>
                            </w:pPr>
                            <w:r w:rsidRPr="001F1733">
                              <w:t>PRISMA is supported by the Governments of Australia and Indonesia and implemented by Palladium, with Technical Assistance from Swisscontact, Zurich.</w:t>
                            </w:r>
                            <w:r>
                              <w:t xml:space="preserve"> </w:t>
                            </w:r>
                          </w:p>
                          <w:p w14:paraId="7044C42A" w14:textId="4061E1D7" w:rsidR="00D03D8B" w:rsidRDefault="00D03D8B"/>
                        </w:txbxContent>
                      </wps:txbx>
                      <wps:bodyPr rot="0" vert="horz" wrap="square" lIns="91440" tIns="45720" rIns="91440" bIns="45720" anchor="t" anchorCtr="0">
                        <a:noAutofit/>
                      </wps:bodyPr>
                    </wps:wsp>
                  </a:graphicData>
                </a:graphic>
              </wp:anchor>
            </w:drawing>
          </mc:Choice>
          <mc:Fallback>
            <w:pict>
              <v:shape w14:anchorId="76024F44" id="Text Box 217" o:spid="_x0000_s1073" type="#_x0000_t202" alt="&quot;&quot;" style="position:absolute;margin-left:0;margin-top:0;width:357.2pt;height:182.75pt;z-index:251658280;visibility:visible;mso-wrap-style:square;mso-wrap-distance-left:9pt;mso-wrap-distance-top:0;mso-wrap-distance-right:9pt;mso-wrap-distance-bottom:0;mso-position-horizontal:left;mso-position-horizontal-relative:margin;mso-position-vertical:bottom;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" stroked="f">
                <v:textbox>
                  <w:txbxContent>
                    <w:p w14:paraId="1F9363CC" w14:textId="0621D6F7" w:rsidR="00D03D8B" w:rsidRPr="00B806DC" w:rsidRDefault="00D03D8B" w:rsidP="00C72B45">
                      <w:pPr>
                        <w:pStyle w:val="Body"/>
                        <w:rPr>
                          <w:lang w:val="sv-SE"/>
                        </w:rPr>
                      </w:pPr>
                      <w:r w:rsidRPr="00B806DC">
                        <w:rPr>
                          <w:lang w:val="sv-SE"/>
                        </w:rPr>
                        <w:t>PRISMA</w:t>
                      </w:r>
                    </w:p>
                    <w:p w14:paraId="7468595B" w14:textId="2E1A038B" w:rsidR="00D03D8B" w:rsidRPr="00B806DC" w:rsidRDefault="00D03D8B" w:rsidP="00C72B45">
                      <w:pPr>
                        <w:pStyle w:val="Body"/>
                        <w:rPr>
                          <w:lang w:val="sv-SE"/>
                        </w:rPr>
                      </w:pPr>
                      <w:r w:rsidRPr="00B806DC">
                        <w:rPr>
                          <w:lang w:val="sv-SE"/>
                        </w:rPr>
                        <w:t>Jl. Margorejo Indah I blo</w:t>
                      </w:r>
                      <w:r w:rsidR="003511A9" w:rsidRPr="00B806DC">
                        <w:rPr>
                          <w:lang w:val="sv-SE"/>
                        </w:rPr>
                        <w:t>c</w:t>
                      </w:r>
                      <w:r w:rsidRPr="00B806DC">
                        <w:rPr>
                          <w:lang w:val="sv-SE"/>
                        </w:rPr>
                        <w:t xml:space="preserve">k A-535, </w:t>
                      </w:r>
                    </w:p>
                    <w:p w14:paraId="6238E680" w14:textId="77777777" w:rsidR="00D03D8B" w:rsidRPr="00EE1B5D" w:rsidRDefault="00D03D8B" w:rsidP="00C72B45">
                      <w:pPr>
                        <w:pStyle w:val="Body"/>
                      </w:pPr>
                      <w:r w:rsidRPr="00EE1B5D">
                        <w:t xml:space="preserve">Surabaya 60238, Indonesia </w:t>
                      </w:r>
                    </w:p>
                    <w:p w14:paraId="3BEFB2D0" w14:textId="77777777" w:rsidR="00D03D8B" w:rsidRPr="00EE1B5D" w:rsidRDefault="00D03D8B" w:rsidP="00C72B45">
                      <w:pPr>
                        <w:pStyle w:val="Body"/>
                      </w:pPr>
                      <w:r w:rsidRPr="00EE1B5D">
                        <w:t xml:space="preserve">info@aip-prisma.or.id </w:t>
                      </w:r>
                    </w:p>
                    <w:p w14:paraId="75ABA821" w14:textId="77777777" w:rsidR="00D03D8B" w:rsidRPr="00EE1B5D" w:rsidRDefault="00D03D8B" w:rsidP="00C72B45">
                      <w:pPr>
                        <w:pStyle w:val="Body"/>
                      </w:pPr>
                      <w:r w:rsidRPr="00EE1B5D">
                        <w:t xml:space="preserve">+62 31 8420473 </w:t>
                      </w:r>
                    </w:p>
                    <w:p w14:paraId="555E00A2" w14:textId="77777777" w:rsidR="00D03D8B" w:rsidRPr="00EE1B5D" w:rsidRDefault="00D03D8B" w:rsidP="00C72B45">
                      <w:pPr>
                        <w:pStyle w:val="Body"/>
                      </w:pPr>
                      <w:r w:rsidRPr="00EE1B5D">
                        <w:t xml:space="preserve">www.linkedin.com/company/prisma-indonesia/ </w:t>
                      </w:r>
                    </w:p>
                    <w:p w14:paraId="124B306E" w14:textId="77777777" w:rsidR="00D03D8B" w:rsidRPr="009624E7" w:rsidRDefault="00D03D8B" w:rsidP="00C72B45">
                      <w:pPr>
                        <w:pStyle w:val="Body"/>
                      </w:pPr>
                      <w:r w:rsidRPr="001F1733">
                        <w:t>PRISMA is supported by the Governments of Australia and Indonesia and implemented by Palladium, with Technical Assistance from Swisscontact, Zurich.</w:t>
                      </w:r>
                      <w:r>
                        <w:t xml:space="preserve"> </w:t>
                      </w:r>
                    </w:p>
                    <w:p w14:paraId="7044C42A" w14:textId="4061E1D7" w:rsidR="00D03D8B" w:rsidRDefault="00D03D8B"/>
                  </w:txbxContent>
                </v:textbox>
                <w10:wrap type="square" anchorx="margin" anchory="margin"/>
              </v:shape>
            </w:pict>
          </mc:Fallback>
        </mc:AlternateContent>
      </w:r>
    </w:p>
    <w:sectPr w:rsidR="00CF79BA" w:rsidRPr="00C64064" w:rsidSect="00096423">
      <w:pgSz w:w="11906" w:h="16838"/>
      <w:pgMar w:top="1135" w:right="1196" w:bottom="1276" w:left="1334" w:header="576"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DCBA2E4" w14:textId="77777777" w:rsidR="005862D8" w:rsidRDefault="005862D8" w:rsidP="009F04D3">
      <w:pPr>
        <w:spacing w:after="0" w:line="240" w:lineRule="auto"/>
      </w:pPr>
      <w:r>
        <w:separator/>
      </w:r>
    </w:p>
  </w:endnote>
  <w:endnote w:type="continuationSeparator" w:id="0">
    <w:p w14:paraId="63822780" w14:textId="77777777" w:rsidR="005862D8" w:rsidRDefault="005862D8" w:rsidP="009F04D3">
      <w:pPr>
        <w:spacing w:after="0" w:line="240" w:lineRule="auto"/>
      </w:pPr>
      <w:r>
        <w:continuationSeparator/>
      </w:r>
    </w:p>
  </w:endnote>
  <w:endnote w:type="continuationNotice" w:id="1">
    <w:p w14:paraId="07DFC2AB" w14:textId="77777777" w:rsidR="005862D8" w:rsidRDefault="005862D8">
      <w:pPr>
        <w:spacing w:after="0" w:line="240" w:lineRule="auto"/>
      </w:pPr>
    </w:p>
  </w:endnote>
  <w:endnote w:id="2">
    <w:p w14:paraId="0BDF26F8" w14:textId="77777777" w:rsidR="00E3241F" w:rsidRPr="00145353" w:rsidRDefault="00E3241F" w:rsidP="00E3241F">
      <w:pPr>
        <w:spacing w:after="0"/>
        <w:rPr>
          <w:sz w:val="16"/>
          <w:szCs w:val="16"/>
          <w:lang w:val="en-AU"/>
        </w:rPr>
      </w:pPr>
      <w:r w:rsidRPr="00145353">
        <w:rPr>
          <w:rStyle w:val="EndnoteReference"/>
          <w:rFonts w:ascii="Arial" w:eastAsia="Arial" w:hAnsi="Arial" w:cs="Times New Roman"/>
          <w:sz w:val="16"/>
          <w:szCs w:val="16"/>
          <w:lang w:eastAsia="en-US"/>
        </w:rPr>
        <w:endnoteRef/>
      </w:r>
      <w:r w:rsidRPr="00145353">
        <w:rPr>
          <w:sz w:val="16"/>
          <w:szCs w:val="16"/>
        </w:rPr>
        <w:t xml:space="preserve"> </w:t>
      </w:r>
      <w:r w:rsidRPr="00145353">
        <w:rPr>
          <w:sz w:val="16"/>
          <w:szCs w:val="16"/>
          <w:lang w:val="en-US"/>
        </w:rPr>
        <w:t xml:space="preserve">The 8 HPPIs include: (1) </w:t>
      </w:r>
      <w:r w:rsidRPr="00145353">
        <w:rPr>
          <w:b/>
          <w:sz w:val="16"/>
          <w:szCs w:val="16"/>
          <w:lang w:val="en-AU"/>
        </w:rPr>
        <w:t xml:space="preserve">Beef: </w:t>
      </w:r>
      <w:r>
        <w:rPr>
          <w:sz w:val="16"/>
          <w:szCs w:val="16"/>
          <w:lang w:val="en-AU"/>
        </w:rPr>
        <w:t xml:space="preserve">The </w:t>
      </w:r>
      <w:r w:rsidRPr="00145353">
        <w:rPr>
          <w:sz w:val="16"/>
          <w:szCs w:val="16"/>
          <w:lang w:val="en-AU"/>
        </w:rPr>
        <w:t xml:space="preserve">MoA reforms and implements the revised cattle feed standards (SNI); (2) </w:t>
      </w:r>
      <w:r w:rsidRPr="00145353">
        <w:rPr>
          <w:b/>
          <w:sz w:val="16"/>
          <w:szCs w:val="16"/>
          <w:lang w:val="en-AU"/>
        </w:rPr>
        <w:t xml:space="preserve">Dairy: </w:t>
      </w:r>
      <w:r w:rsidRPr="00A602AD">
        <w:rPr>
          <w:bCs/>
          <w:sz w:val="16"/>
          <w:szCs w:val="16"/>
          <w:lang w:val="en-AU"/>
        </w:rPr>
        <w:t>The</w:t>
      </w:r>
      <w:r>
        <w:rPr>
          <w:b/>
          <w:sz w:val="16"/>
          <w:szCs w:val="16"/>
          <w:lang w:val="en-AU"/>
        </w:rPr>
        <w:t xml:space="preserve"> </w:t>
      </w:r>
      <w:r w:rsidRPr="00145353">
        <w:rPr>
          <w:sz w:val="16"/>
          <w:szCs w:val="16"/>
          <w:lang w:val="en-AU"/>
        </w:rPr>
        <w:t xml:space="preserve">MoA develops and implements a dairy recovery strategy to accelerate sector recovery and build resilience; (3) </w:t>
      </w:r>
      <w:r w:rsidRPr="00145353">
        <w:rPr>
          <w:b/>
          <w:sz w:val="16"/>
          <w:szCs w:val="16"/>
          <w:lang w:val="en-AU"/>
        </w:rPr>
        <w:t>Maize:</w:t>
      </w:r>
      <w:r w:rsidRPr="00145353">
        <w:rPr>
          <w:sz w:val="16"/>
          <w:szCs w:val="16"/>
          <w:lang w:val="en-AU"/>
        </w:rPr>
        <w:t xml:space="preserve"> Central Java provincial government and </w:t>
      </w:r>
      <w:r>
        <w:rPr>
          <w:sz w:val="16"/>
          <w:szCs w:val="16"/>
          <w:lang w:val="en-AU"/>
        </w:rPr>
        <w:t>the</w:t>
      </w:r>
      <w:r w:rsidRPr="00145353">
        <w:rPr>
          <w:sz w:val="16"/>
          <w:szCs w:val="16"/>
          <w:lang w:val="en-AU"/>
        </w:rPr>
        <w:t xml:space="preserve"> Sumenep</w:t>
      </w:r>
      <w:r>
        <w:rPr>
          <w:sz w:val="16"/>
          <w:szCs w:val="16"/>
          <w:lang w:val="en-AU"/>
        </w:rPr>
        <w:t xml:space="preserve"> District Office</w:t>
      </w:r>
      <w:r w:rsidRPr="00145353">
        <w:rPr>
          <w:sz w:val="16"/>
          <w:szCs w:val="16"/>
          <w:lang w:val="en-AU"/>
        </w:rPr>
        <w:t xml:space="preserve"> improve their maize seed subsidy planning systems; (4) </w:t>
      </w:r>
      <w:r w:rsidRPr="00145353">
        <w:rPr>
          <w:b/>
          <w:sz w:val="16"/>
          <w:szCs w:val="16"/>
          <w:lang w:val="en-AU"/>
        </w:rPr>
        <w:t xml:space="preserve">Pigs: </w:t>
      </w:r>
      <w:r w:rsidRPr="00A602AD">
        <w:rPr>
          <w:bCs/>
          <w:sz w:val="16"/>
          <w:szCs w:val="16"/>
          <w:lang w:val="en-AU"/>
        </w:rPr>
        <w:t xml:space="preserve">The </w:t>
      </w:r>
      <w:r w:rsidRPr="00145353">
        <w:rPr>
          <w:sz w:val="16"/>
          <w:szCs w:val="16"/>
          <w:lang w:val="en-AU"/>
        </w:rPr>
        <w:t xml:space="preserve">MoA accelerates the adoption of AI in the pig sector by improving standards and operating procedures for pig semen and by standardising AI training and certification for inseminators; (5) </w:t>
      </w:r>
      <w:r w:rsidRPr="00145353">
        <w:rPr>
          <w:b/>
          <w:sz w:val="16"/>
          <w:szCs w:val="16"/>
          <w:lang w:val="en-AU"/>
        </w:rPr>
        <w:t xml:space="preserve">National Policy Planning Process: </w:t>
      </w:r>
      <w:r w:rsidRPr="00145353">
        <w:rPr>
          <w:sz w:val="16"/>
          <w:szCs w:val="16"/>
          <w:lang w:val="en-AU"/>
        </w:rPr>
        <w:t xml:space="preserve">Bappenas formulates the 2025-2029 RPJMN’s food and agriculture development agenda based on robust policy evidence; (6) </w:t>
      </w:r>
      <w:r w:rsidRPr="00145353">
        <w:rPr>
          <w:b/>
          <w:sz w:val="16"/>
          <w:szCs w:val="16"/>
          <w:lang w:val="en-AU"/>
        </w:rPr>
        <w:t>Regional Policy Planning Process:</w:t>
      </w:r>
      <w:r w:rsidRPr="00145353">
        <w:rPr>
          <w:sz w:val="16"/>
          <w:szCs w:val="16"/>
          <w:lang w:val="en-AU"/>
        </w:rPr>
        <w:t xml:space="preserve"> </w:t>
      </w:r>
      <w:r>
        <w:rPr>
          <w:sz w:val="16"/>
          <w:szCs w:val="16"/>
          <w:lang w:val="en-AU"/>
        </w:rPr>
        <w:t xml:space="preserve">The </w:t>
      </w:r>
      <w:r w:rsidRPr="00145353">
        <w:rPr>
          <w:sz w:val="16"/>
          <w:szCs w:val="16"/>
          <w:lang w:val="en-AU"/>
        </w:rPr>
        <w:t xml:space="preserve">NTT provincial government formulates the 2025-2029 RPJMD for the agriculture sector using improved policy insights and data, including PRISMA’s evidence and market insights; (7) </w:t>
      </w:r>
      <w:r w:rsidRPr="00145353">
        <w:rPr>
          <w:b/>
          <w:sz w:val="16"/>
          <w:szCs w:val="16"/>
          <w:lang w:val="en-AU"/>
        </w:rPr>
        <w:t xml:space="preserve">Knowledge sharing/embedding MSD: </w:t>
      </w:r>
      <w:r>
        <w:rPr>
          <w:sz w:val="16"/>
          <w:szCs w:val="16"/>
          <w:lang w:val="en-AU"/>
        </w:rPr>
        <w:t>The g</w:t>
      </w:r>
      <w:r w:rsidRPr="00145353">
        <w:rPr>
          <w:sz w:val="16"/>
          <w:szCs w:val="16"/>
          <w:lang w:val="en-AU"/>
        </w:rPr>
        <w:t>overnment and academia build capacity in MSD; and (8)</w:t>
      </w:r>
      <w:r w:rsidRPr="00145353">
        <w:rPr>
          <w:b/>
          <w:sz w:val="16"/>
          <w:szCs w:val="16"/>
          <w:lang w:val="en-AU"/>
        </w:rPr>
        <w:t xml:space="preserve"> Knowledge sharing/embedding MSD principles:</w:t>
      </w:r>
      <w:r w:rsidRPr="00145353">
        <w:rPr>
          <w:sz w:val="16"/>
          <w:szCs w:val="16"/>
          <w:lang w:val="en-AU"/>
        </w:rPr>
        <w:t xml:space="preserve"> Universities improve their offering by incorporating PRISMA’s experience into their academic programs and by serving as a repository for PRISMA’s knowledge and lessons</w:t>
      </w:r>
      <w:r>
        <w:rPr>
          <w:sz w:val="16"/>
          <w:szCs w:val="16"/>
          <w:lang w:val="en-AU"/>
        </w:rPr>
        <w:t>.</w:t>
      </w:r>
    </w:p>
  </w:endnote>
  <w:endnote w:id="3">
    <w:p w14:paraId="28D8D48E" w14:textId="10D344FF" w:rsidR="00FD0962" w:rsidRPr="00145353" w:rsidRDefault="00FD0962" w:rsidP="00FD0962">
      <w:pPr>
        <w:spacing w:after="0"/>
        <w:rPr>
          <w:sz w:val="16"/>
          <w:szCs w:val="16"/>
          <w:lang w:val="en-AU"/>
        </w:rPr>
      </w:pPr>
      <w:r w:rsidRPr="00145353">
        <w:rPr>
          <w:rStyle w:val="EndnoteReference"/>
          <w:rFonts w:ascii="Arial" w:eastAsia="Arial" w:hAnsi="Arial" w:cs="Times New Roman"/>
          <w:sz w:val="16"/>
          <w:szCs w:val="16"/>
          <w:lang w:eastAsia="en-US"/>
        </w:rPr>
        <w:endnoteRef/>
      </w:r>
      <w:r w:rsidRPr="00145353">
        <w:rPr>
          <w:sz w:val="16"/>
          <w:szCs w:val="16"/>
        </w:rPr>
        <w:t xml:space="preserve"> </w:t>
      </w:r>
      <w:r w:rsidRPr="00145353">
        <w:rPr>
          <w:sz w:val="16"/>
          <w:szCs w:val="16"/>
          <w:lang w:val="en-US"/>
        </w:rPr>
        <w:t xml:space="preserve">The 8 HPPIs include: (1) </w:t>
      </w:r>
      <w:r w:rsidRPr="00145353">
        <w:rPr>
          <w:b/>
          <w:sz w:val="16"/>
          <w:szCs w:val="16"/>
          <w:lang w:val="en-AU"/>
        </w:rPr>
        <w:t xml:space="preserve">Beef: </w:t>
      </w:r>
      <w:r w:rsidR="00540B39">
        <w:rPr>
          <w:sz w:val="16"/>
          <w:szCs w:val="16"/>
          <w:lang w:val="en-AU"/>
        </w:rPr>
        <w:t xml:space="preserve">The </w:t>
      </w:r>
      <w:r w:rsidRPr="00145353">
        <w:rPr>
          <w:sz w:val="16"/>
          <w:szCs w:val="16"/>
          <w:lang w:val="en-AU"/>
        </w:rPr>
        <w:t xml:space="preserve">MoA reforms and implements the revised cattle feed standards (SNI); (2) </w:t>
      </w:r>
      <w:r w:rsidRPr="00145353">
        <w:rPr>
          <w:b/>
          <w:sz w:val="16"/>
          <w:szCs w:val="16"/>
          <w:lang w:val="en-AU"/>
        </w:rPr>
        <w:t xml:space="preserve">Dairy: </w:t>
      </w:r>
      <w:r w:rsidR="009720F7" w:rsidRPr="00A602AD">
        <w:rPr>
          <w:bCs/>
          <w:sz w:val="16"/>
          <w:szCs w:val="16"/>
          <w:lang w:val="en-AU"/>
        </w:rPr>
        <w:t>The</w:t>
      </w:r>
      <w:r w:rsidR="009720F7">
        <w:rPr>
          <w:b/>
          <w:sz w:val="16"/>
          <w:szCs w:val="16"/>
          <w:lang w:val="en-AU"/>
        </w:rPr>
        <w:t xml:space="preserve"> </w:t>
      </w:r>
      <w:r w:rsidRPr="00145353">
        <w:rPr>
          <w:sz w:val="16"/>
          <w:szCs w:val="16"/>
          <w:lang w:val="en-AU"/>
        </w:rPr>
        <w:t xml:space="preserve">MoA develops and implements a dairy recovery strategy to accelerate sector recovery and build resilience; (3) </w:t>
      </w:r>
      <w:r w:rsidRPr="00145353">
        <w:rPr>
          <w:b/>
          <w:sz w:val="16"/>
          <w:szCs w:val="16"/>
          <w:lang w:val="en-AU"/>
        </w:rPr>
        <w:t>Maize:</w:t>
      </w:r>
      <w:r w:rsidRPr="00145353">
        <w:rPr>
          <w:sz w:val="16"/>
          <w:szCs w:val="16"/>
          <w:lang w:val="en-AU"/>
        </w:rPr>
        <w:t xml:space="preserve"> Central Java provincial government and </w:t>
      </w:r>
      <w:r w:rsidR="00DB69C1">
        <w:rPr>
          <w:sz w:val="16"/>
          <w:szCs w:val="16"/>
          <w:lang w:val="en-AU"/>
        </w:rPr>
        <w:t>the</w:t>
      </w:r>
      <w:r w:rsidRPr="00145353">
        <w:rPr>
          <w:sz w:val="16"/>
          <w:szCs w:val="16"/>
          <w:lang w:val="en-AU"/>
        </w:rPr>
        <w:t xml:space="preserve"> Sumenep</w:t>
      </w:r>
      <w:r w:rsidR="00DB69C1">
        <w:rPr>
          <w:sz w:val="16"/>
          <w:szCs w:val="16"/>
          <w:lang w:val="en-AU"/>
        </w:rPr>
        <w:t xml:space="preserve"> </w:t>
      </w:r>
      <w:r w:rsidR="00852169">
        <w:rPr>
          <w:sz w:val="16"/>
          <w:szCs w:val="16"/>
          <w:lang w:val="en-AU"/>
        </w:rPr>
        <w:t>District</w:t>
      </w:r>
      <w:r w:rsidR="00DB69C1">
        <w:rPr>
          <w:sz w:val="16"/>
          <w:szCs w:val="16"/>
          <w:lang w:val="en-AU"/>
        </w:rPr>
        <w:t xml:space="preserve"> Office</w:t>
      </w:r>
      <w:r w:rsidRPr="00145353">
        <w:rPr>
          <w:sz w:val="16"/>
          <w:szCs w:val="16"/>
          <w:lang w:val="en-AU"/>
        </w:rPr>
        <w:t xml:space="preserve"> improve their maize seed subsidy planning systems; (4) </w:t>
      </w:r>
      <w:r w:rsidRPr="00145353">
        <w:rPr>
          <w:b/>
          <w:sz w:val="16"/>
          <w:szCs w:val="16"/>
          <w:lang w:val="en-AU"/>
        </w:rPr>
        <w:t xml:space="preserve">Pigs: </w:t>
      </w:r>
      <w:r w:rsidR="00DB69C1" w:rsidRPr="00A602AD">
        <w:rPr>
          <w:bCs/>
          <w:sz w:val="16"/>
          <w:szCs w:val="16"/>
          <w:lang w:val="en-AU"/>
        </w:rPr>
        <w:t xml:space="preserve">The </w:t>
      </w:r>
      <w:r w:rsidRPr="00145353">
        <w:rPr>
          <w:sz w:val="16"/>
          <w:szCs w:val="16"/>
          <w:lang w:val="en-AU"/>
        </w:rPr>
        <w:t xml:space="preserve">MoA accelerates the adoption of AI in the pig sector by improving standards and operating procedures for pig semen and by standardising AI training and certification for inseminators; (5) </w:t>
      </w:r>
      <w:r w:rsidRPr="00145353">
        <w:rPr>
          <w:b/>
          <w:sz w:val="16"/>
          <w:szCs w:val="16"/>
          <w:lang w:val="en-AU"/>
        </w:rPr>
        <w:t xml:space="preserve">National Policy Planning Process: </w:t>
      </w:r>
      <w:r w:rsidRPr="00145353">
        <w:rPr>
          <w:sz w:val="16"/>
          <w:szCs w:val="16"/>
          <w:lang w:val="en-AU"/>
        </w:rPr>
        <w:t xml:space="preserve">Bappenas formulates the </w:t>
      </w:r>
      <w:r w:rsidR="00E87783" w:rsidRPr="00145353">
        <w:rPr>
          <w:sz w:val="16"/>
          <w:szCs w:val="16"/>
          <w:lang w:val="en-AU"/>
        </w:rPr>
        <w:t xml:space="preserve">2025-2029 </w:t>
      </w:r>
      <w:r w:rsidRPr="00145353">
        <w:rPr>
          <w:sz w:val="16"/>
          <w:szCs w:val="16"/>
          <w:lang w:val="en-AU"/>
        </w:rPr>
        <w:t xml:space="preserve">RPJMN’s food and agriculture development agenda based on robust policy evidence; (6) </w:t>
      </w:r>
      <w:r w:rsidRPr="00145353">
        <w:rPr>
          <w:b/>
          <w:sz w:val="16"/>
          <w:szCs w:val="16"/>
          <w:lang w:val="en-AU"/>
        </w:rPr>
        <w:t>Regional Policy Planning Process:</w:t>
      </w:r>
      <w:r w:rsidRPr="00145353">
        <w:rPr>
          <w:sz w:val="16"/>
          <w:szCs w:val="16"/>
          <w:lang w:val="en-AU"/>
        </w:rPr>
        <w:t xml:space="preserve"> </w:t>
      </w:r>
      <w:r w:rsidR="00DB69C1">
        <w:rPr>
          <w:sz w:val="16"/>
          <w:szCs w:val="16"/>
          <w:lang w:val="en-AU"/>
        </w:rPr>
        <w:t xml:space="preserve">The </w:t>
      </w:r>
      <w:r w:rsidRPr="00145353">
        <w:rPr>
          <w:sz w:val="16"/>
          <w:szCs w:val="16"/>
          <w:lang w:val="en-AU"/>
        </w:rPr>
        <w:t xml:space="preserve">NTT provincial government formulates the </w:t>
      </w:r>
      <w:r w:rsidR="00301796" w:rsidRPr="00145353">
        <w:rPr>
          <w:sz w:val="16"/>
          <w:szCs w:val="16"/>
          <w:lang w:val="en-AU"/>
        </w:rPr>
        <w:t xml:space="preserve">2025-2029 </w:t>
      </w:r>
      <w:r w:rsidRPr="00145353">
        <w:rPr>
          <w:sz w:val="16"/>
          <w:szCs w:val="16"/>
          <w:lang w:val="en-AU"/>
        </w:rPr>
        <w:t xml:space="preserve">RPJMD for the agriculture sector using improved policy insights and data, including PRISMA’s evidence and market insights; (7) </w:t>
      </w:r>
      <w:r w:rsidRPr="00145353">
        <w:rPr>
          <w:b/>
          <w:sz w:val="16"/>
          <w:szCs w:val="16"/>
          <w:lang w:val="en-AU"/>
        </w:rPr>
        <w:t xml:space="preserve">Knowledge sharing/embedding MSD: </w:t>
      </w:r>
      <w:r w:rsidR="00DB69C1">
        <w:rPr>
          <w:sz w:val="16"/>
          <w:szCs w:val="16"/>
          <w:lang w:val="en-AU"/>
        </w:rPr>
        <w:t>The g</w:t>
      </w:r>
      <w:r w:rsidRPr="00145353">
        <w:rPr>
          <w:sz w:val="16"/>
          <w:szCs w:val="16"/>
          <w:lang w:val="en-AU"/>
        </w:rPr>
        <w:t>overnment and academia build capacity in MSD; and (8)</w:t>
      </w:r>
      <w:r w:rsidRPr="00145353">
        <w:rPr>
          <w:b/>
          <w:sz w:val="16"/>
          <w:szCs w:val="16"/>
          <w:lang w:val="en-AU"/>
        </w:rPr>
        <w:t xml:space="preserve"> Knowledge sharing/embedding MSD principles:</w:t>
      </w:r>
      <w:r w:rsidRPr="00145353">
        <w:rPr>
          <w:sz w:val="16"/>
          <w:szCs w:val="16"/>
          <w:lang w:val="en-AU"/>
        </w:rPr>
        <w:t xml:space="preserve"> Universities improve their offering by incorporating PRISMA’s experience into their academic programs and by serving as a repository for PRISMA’s knowledge and lessons</w:t>
      </w:r>
      <w:r w:rsidR="00301796">
        <w:rPr>
          <w:sz w:val="16"/>
          <w:szCs w:val="16"/>
          <w:lang w:val="en-AU"/>
        </w:rPr>
        <w:t>.</w:t>
      </w:r>
    </w:p>
  </w:endnote>
  <w:endnote w:id="4">
    <w:p w14:paraId="215F08A8" w14:textId="613F515D" w:rsidR="00FD0962" w:rsidRPr="00145353" w:rsidRDefault="00FD0962" w:rsidP="00FD0962">
      <w:pPr>
        <w:pStyle w:val="EndnoteText"/>
        <w:rPr>
          <w:sz w:val="16"/>
          <w:szCs w:val="16"/>
          <w:lang w:val="en-US"/>
        </w:rPr>
      </w:pPr>
      <w:r w:rsidRPr="00145353">
        <w:rPr>
          <w:rStyle w:val="EndnoteReference"/>
          <w:sz w:val="16"/>
          <w:szCs w:val="16"/>
        </w:rPr>
        <w:endnoteRef/>
      </w:r>
      <w:r w:rsidRPr="00145353">
        <w:rPr>
          <w:sz w:val="16"/>
          <w:szCs w:val="16"/>
        </w:rPr>
        <w:t xml:space="preserve"> The national sector-specific policies for beef, dairy and pigs target relevant directorates at the MoA, while the maize</w:t>
      </w:r>
      <w:r>
        <w:rPr>
          <w:sz w:val="16"/>
          <w:szCs w:val="16"/>
        </w:rPr>
        <w:t xml:space="preserve"> sector targets</w:t>
      </w:r>
      <w:r w:rsidRPr="00145353">
        <w:rPr>
          <w:sz w:val="16"/>
          <w:szCs w:val="16"/>
        </w:rPr>
        <w:t xml:space="preserve"> provincial and district agriculture agencies. The national and regional policy planning process</w:t>
      </w:r>
      <w:r w:rsidR="00DB69C1">
        <w:rPr>
          <w:sz w:val="16"/>
          <w:szCs w:val="16"/>
        </w:rPr>
        <w:t>es</w:t>
      </w:r>
      <w:r w:rsidRPr="00145353">
        <w:rPr>
          <w:sz w:val="16"/>
          <w:szCs w:val="16"/>
        </w:rPr>
        <w:t xml:space="preserve"> target the Food and Agriculture Directorate, Bappenas and the Provincial Planning Agency of NTT. The initiatives to embed MSD</w:t>
      </w:r>
      <w:r>
        <w:rPr>
          <w:sz w:val="16"/>
          <w:szCs w:val="16"/>
        </w:rPr>
        <w:t xml:space="preserve"> and share PRISMA’s knowledge</w:t>
      </w:r>
      <w:r w:rsidRPr="00145353">
        <w:rPr>
          <w:sz w:val="16"/>
          <w:szCs w:val="16"/>
        </w:rPr>
        <w:t xml:space="preserve"> target national and regional government</w:t>
      </w:r>
      <w:r w:rsidR="00DB69C1">
        <w:rPr>
          <w:sz w:val="16"/>
          <w:szCs w:val="16"/>
        </w:rPr>
        <w:t>s</w:t>
      </w:r>
      <w:r w:rsidRPr="00145353">
        <w:rPr>
          <w:sz w:val="16"/>
          <w:szCs w:val="16"/>
        </w:rPr>
        <w:t xml:space="preserve"> </w:t>
      </w:r>
      <w:r>
        <w:rPr>
          <w:sz w:val="16"/>
          <w:szCs w:val="16"/>
        </w:rPr>
        <w:t>and</w:t>
      </w:r>
      <w:r w:rsidRPr="00145353">
        <w:rPr>
          <w:sz w:val="16"/>
          <w:szCs w:val="16"/>
        </w:rPr>
        <w:t xml:space="preserve"> universit</w:t>
      </w:r>
      <w:r>
        <w:rPr>
          <w:sz w:val="16"/>
          <w:szCs w:val="16"/>
        </w:rPr>
        <w:t xml:space="preserve">ies </w:t>
      </w:r>
      <w:r w:rsidRPr="00145353">
        <w:rPr>
          <w:sz w:val="16"/>
          <w:szCs w:val="16"/>
        </w:rPr>
        <w:t>(</w:t>
      </w:r>
      <w:r w:rsidRPr="009B2178">
        <w:rPr>
          <w:sz w:val="16"/>
          <w:szCs w:val="16"/>
        </w:rPr>
        <w:t xml:space="preserve">Institut Pertanian Bogor </w:t>
      </w:r>
      <w:r w:rsidR="00301796">
        <w:rPr>
          <w:sz w:val="16"/>
          <w:szCs w:val="16"/>
        </w:rPr>
        <w:t>[</w:t>
      </w:r>
      <w:r w:rsidRPr="009B2178">
        <w:rPr>
          <w:sz w:val="16"/>
          <w:szCs w:val="16"/>
        </w:rPr>
        <w:t>IPB</w:t>
      </w:r>
      <w:r w:rsidR="00301796">
        <w:rPr>
          <w:sz w:val="16"/>
          <w:szCs w:val="16"/>
        </w:rPr>
        <w:t>]</w:t>
      </w:r>
      <w:r w:rsidRPr="009B2178">
        <w:rPr>
          <w:sz w:val="16"/>
          <w:szCs w:val="16"/>
        </w:rPr>
        <w:t xml:space="preserve">, Gadjah Mada </w:t>
      </w:r>
      <w:r w:rsidR="00BE0FF7" w:rsidRPr="009B2178">
        <w:rPr>
          <w:sz w:val="16"/>
          <w:szCs w:val="16"/>
        </w:rPr>
        <w:t xml:space="preserve">University </w:t>
      </w:r>
      <w:r w:rsidR="00301796">
        <w:rPr>
          <w:sz w:val="16"/>
          <w:szCs w:val="16"/>
        </w:rPr>
        <w:t>[</w:t>
      </w:r>
      <w:r w:rsidRPr="009B2178">
        <w:rPr>
          <w:sz w:val="16"/>
          <w:szCs w:val="16"/>
        </w:rPr>
        <w:t>UGM</w:t>
      </w:r>
      <w:r w:rsidR="00301796">
        <w:rPr>
          <w:sz w:val="16"/>
          <w:szCs w:val="16"/>
        </w:rPr>
        <w:t>]</w:t>
      </w:r>
      <w:r w:rsidRPr="009B2178">
        <w:rPr>
          <w:sz w:val="16"/>
          <w:szCs w:val="16"/>
        </w:rPr>
        <w:t xml:space="preserve">, </w:t>
      </w:r>
      <w:r w:rsidR="00BE0FF7" w:rsidRPr="009B2178">
        <w:rPr>
          <w:sz w:val="16"/>
          <w:szCs w:val="16"/>
        </w:rPr>
        <w:t xml:space="preserve">Brawijaya </w:t>
      </w:r>
      <w:r w:rsidRPr="009B2178">
        <w:rPr>
          <w:sz w:val="16"/>
          <w:szCs w:val="16"/>
        </w:rPr>
        <w:t xml:space="preserve">University </w:t>
      </w:r>
      <w:r w:rsidR="00301796">
        <w:rPr>
          <w:sz w:val="16"/>
          <w:szCs w:val="16"/>
        </w:rPr>
        <w:t>[</w:t>
      </w:r>
      <w:r w:rsidRPr="009B2178">
        <w:rPr>
          <w:sz w:val="16"/>
          <w:szCs w:val="16"/>
        </w:rPr>
        <w:t>UB</w:t>
      </w:r>
      <w:r w:rsidR="00301796">
        <w:rPr>
          <w:sz w:val="16"/>
          <w:szCs w:val="16"/>
        </w:rPr>
        <w:t>]</w:t>
      </w:r>
      <w:r w:rsidRPr="009B2178">
        <w:rPr>
          <w:sz w:val="16"/>
          <w:szCs w:val="16"/>
        </w:rPr>
        <w:t xml:space="preserve">, and University o Nahdlatul Wathan Mataram </w:t>
      </w:r>
      <w:r w:rsidR="00301796">
        <w:rPr>
          <w:sz w:val="16"/>
          <w:szCs w:val="16"/>
        </w:rPr>
        <w:t>[</w:t>
      </w:r>
      <w:r w:rsidRPr="009B2178">
        <w:rPr>
          <w:sz w:val="16"/>
          <w:szCs w:val="16"/>
        </w:rPr>
        <w:t>UNWM</w:t>
      </w:r>
      <w:r w:rsidR="00301796">
        <w:rPr>
          <w:sz w:val="16"/>
          <w:szCs w:val="16"/>
        </w:rPr>
        <w:t>]</w:t>
      </w:r>
      <w:r w:rsidRPr="009B2178">
        <w:rPr>
          <w:sz w:val="16"/>
          <w:szCs w:val="16"/>
        </w:rPr>
        <w:t>)</w:t>
      </w:r>
      <w:r>
        <w:rPr>
          <w:sz w:val="16"/>
          <w:szCs w:val="16"/>
        </w:rPr>
        <w:t>.</w:t>
      </w:r>
      <w:r w:rsidRPr="00145353">
        <w:rPr>
          <w:sz w:val="16"/>
          <w:szCs w:val="16"/>
        </w:rPr>
        <w:t xml:space="preserve"> </w:t>
      </w:r>
    </w:p>
  </w:endnote>
  <w:endnote w:id="5">
    <w:p w14:paraId="55DBC9EE" w14:textId="03E8FB90" w:rsidR="00FD0962" w:rsidRPr="00FA21E5" w:rsidRDefault="00FD0962" w:rsidP="00FD0962">
      <w:pPr>
        <w:pStyle w:val="EndnoteText"/>
        <w:rPr>
          <w:lang w:val="en-US"/>
        </w:rPr>
      </w:pPr>
      <w:r w:rsidRPr="00FA21E5">
        <w:rPr>
          <w:sz w:val="16"/>
          <w:szCs w:val="16"/>
          <w:vertAlign w:val="superscript"/>
        </w:rPr>
        <w:endnoteRef/>
      </w:r>
      <w:r w:rsidRPr="00FA21E5">
        <w:rPr>
          <w:sz w:val="16"/>
          <w:szCs w:val="16"/>
        </w:rPr>
        <w:t xml:space="preserve"> </w:t>
      </w:r>
      <w:r>
        <w:rPr>
          <w:sz w:val="16"/>
          <w:szCs w:val="16"/>
        </w:rPr>
        <w:t>Examples: b</w:t>
      </w:r>
      <w:r w:rsidRPr="00FA21E5">
        <w:rPr>
          <w:sz w:val="16"/>
          <w:szCs w:val="16"/>
        </w:rPr>
        <w:t>eef SNI socialisation event</w:t>
      </w:r>
      <w:r w:rsidR="00DB69C1">
        <w:rPr>
          <w:sz w:val="16"/>
          <w:szCs w:val="16"/>
        </w:rPr>
        <w:t>s</w:t>
      </w:r>
      <w:r w:rsidRPr="00FA21E5">
        <w:rPr>
          <w:sz w:val="16"/>
          <w:szCs w:val="16"/>
        </w:rPr>
        <w:t>, dairy guidelines socialisation event</w:t>
      </w:r>
      <w:r w:rsidR="00DB69C1">
        <w:rPr>
          <w:sz w:val="16"/>
          <w:szCs w:val="16"/>
        </w:rPr>
        <w:t>s</w:t>
      </w:r>
      <w:r w:rsidRPr="00FA21E5">
        <w:rPr>
          <w:sz w:val="16"/>
          <w:szCs w:val="16"/>
        </w:rPr>
        <w:t>, maize smart subsidy planning study and policy brief dissemination event</w:t>
      </w:r>
      <w:r w:rsidR="00C21A6A">
        <w:rPr>
          <w:sz w:val="16"/>
          <w:szCs w:val="16"/>
        </w:rPr>
        <w:t>s</w:t>
      </w:r>
      <w:r w:rsidRPr="00FA21E5">
        <w:rPr>
          <w:sz w:val="16"/>
          <w:szCs w:val="16"/>
        </w:rPr>
        <w:t>, pig policy socialisation event</w:t>
      </w:r>
      <w:r w:rsidR="00DB69C1">
        <w:rPr>
          <w:sz w:val="16"/>
          <w:szCs w:val="16"/>
        </w:rPr>
        <w:t>s</w:t>
      </w:r>
      <w:r w:rsidRPr="00FA21E5">
        <w:rPr>
          <w:sz w:val="16"/>
          <w:szCs w:val="16"/>
        </w:rPr>
        <w:t>, RPJMD-NTT policy brief dissemination events, climate</w:t>
      </w:r>
      <w:r w:rsidR="007B6036">
        <w:rPr>
          <w:sz w:val="16"/>
          <w:szCs w:val="16"/>
        </w:rPr>
        <w:t>-</w:t>
      </w:r>
      <w:r w:rsidRPr="00FA21E5">
        <w:rPr>
          <w:sz w:val="16"/>
          <w:szCs w:val="16"/>
        </w:rPr>
        <w:t xml:space="preserve">smart protocol and online data repository launch, </w:t>
      </w:r>
      <w:r w:rsidR="007B6036">
        <w:rPr>
          <w:sz w:val="16"/>
          <w:szCs w:val="16"/>
        </w:rPr>
        <w:t xml:space="preserve">and an </w:t>
      </w:r>
      <w:r w:rsidRPr="00FA21E5">
        <w:rPr>
          <w:sz w:val="16"/>
          <w:szCs w:val="16"/>
        </w:rPr>
        <w:t>agri</w:t>
      </w:r>
      <w:r w:rsidR="00C21A6A">
        <w:rPr>
          <w:sz w:val="16"/>
          <w:szCs w:val="16"/>
        </w:rPr>
        <w:t>-</w:t>
      </w:r>
      <w:r w:rsidRPr="00FA21E5">
        <w:rPr>
          <w:sz w:val="16"/>
          <w:szCs w:val="16"/>
        </w:rPr>
        <w:t>tech business course launch</w:t>
      </w:r>
      <w:r w:rsidR="007B6036">
        <w:rPr>
          <w:sz w:val="16"/>
          <w:szCs w:val="16"/>
        </w:rPr>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TT) Regular">
    <w:altName w:val="Cambria"/>
    <w:panose1 w:val="00000000000000000000"/>
    <w:charset w:val="00"/>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Helvetica Neue Regular">
    <w:altName w:val="Arial"/>
    <w:panose1 w:val="00000000000000000000"/>
    <w:charset w:val="00"/>
    <w:family w:val="auto"/>
    <w:notTrueType/>
    <w:pitch w:val="default"/>
    <w:sig w:usb0="00000003" w:usb1="00000000" w:usb2="00000000" w:usb3="00000000" w:csb0="00000001" w:csb1="00000000"/>
  </w:font>
  <w:font w:name="HelveticaNeue-Bold">
    <w:altName w:val="Arial"/>
    <w:panose1 w:val="00000000000000000000"/>
    <w:charset w:val="00"/>
    <w:family w:val="auto"/>
    <w:notTrueType/>
    <w:pitch w:val="default"/>
    <w:sig w:usb0="00000003" w:usb1="00000000" w:usb2="00000000" w:usb3="00000000" w:csb0="00000001" w:csb1="00000000"/>
  </w:font>
  <w:font w:name="HelveticaNeueLTStd-Lt">
    <w:altName w:val="Arial"/>
    <w:panose1 w:val="020B0403020202020204"/>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HelveticaNeueLT Std">
    <w:panose1 w:val="020B0604020202090204"/>
    <w:charset w:val="00"/>
    <w:family w:val="swiss"/>
    <w:notTrueType/>
    <w:pitch w:val="variable"/>
    <w:sig w:usb0="800000AF" w:usb1="4000204A" w:usb2="00000000" w:usb3="00000000" w:csb0="00000001" w:csb1="00000000"/>
  </w:font>
  <w:font w:name="Helvetica Neue">
    <w:altName w:val="Sylfaen"/>
    <w:charset w:val="00"/>
    <w:family w:val="auto"/>
    <w:pitch w:val="variable"/>
    <w:sig w:usb0="E50002FF" w:usb1="500079DB" w:usb2="00000010" w:usb3="00000000" w:csb0="00000001"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Source Sans Pro">
    <w:charset w:val="00"/>
    <w:family w:val="swiss"/>
    <w:pitch w:val="variable"/>
    <w:sig w:usb0="600002F7" w:usb1="02000001" w:usb2="00000000" w:usb3="00000000" w:csb0="0000019F" w:csb1="00000000"/>
  </w:font>
  <w:font w:name="robotolight">
    <w:altName w:val="Arial"/>
    <w:panose1 w:val="00000000000000000000"/>
    <w:charset w:val="00"/>
    <w:family w:val="roman"/>
    <w:notTrueType/>
    <w:pitch w:val="default"/>
  </w:font>
  <w:font w:name="Yu Gothic">
    <w:altName w:val="游ゴシック"/>
    <w:panose1 w:val="020B0400000000000000"/>
    <w:charset w:val="80"/>
    <w:family w:val="swiss"/>
    <w:pitch w:val="variable"/>
    <w:sig w:usb0="E00002FF" w:usb1="2AC7FDFF" w:usb2="00000016"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950935286"/>
      <w:docPartObj>
        <w:docPartGallery w:val="Page Numbers (Bottom of Page)"/>
        <w:docPartUnique/>
      </w:docPartObj>
    </w:sdtPr>
    <w:sdtEndPr>
      <w:rPr>
        <w:rStyle w:val="PageNumber"/>
      </w:rPr>
    </w:sdtEndPr>
    <w:sdtContent>
      <w:p w14:paraId="112709F0" w14:textId="141760E1" w:rsidR="00F750D8" w:rsidRDefault="00F750D8" w:rsidP="00F750D8">
        <w:pPr>
          <w:pStyle w:val="Footer"/>
          <w:framePr w:wrap="none" w:vAnchor="text" w:hAnchor="margin" w:xAlign="center" w:y="1"/>
          <w:rPr>
            <w:rStyle w:val="PageNumber"/>
          </w:rPr>
        </w:pPr>
        <w:r w:rsidRPr="009A2126">
          <w:rPr>
            <w:rStyle w:val="PageNumber"/>
            <w:sz w:val="16"/>
            <w:szCs w:val="16"/>
          </w:rPr>
          <w:fldChar w:fldCharType="begin"/>
        </w:r>
        <w:r w:rsidRPr="009A2126">
          <w:rPr>
            <w:rStyle w:val="PageNumber"/>
            <w:sz w:val="16"/>
            <w:szCs w:val="16"/>
          </w:rPr>
          <w:instrText xml:space="preserve"> PAGE </w:instrText>
        </w:r>
        <w:r w:rsidRPr="009A2126">
          <w:rPr>
            <w:rStyle w:val="PageNumber"/>
            <w:sz w:val="16"/>
            <w:szCs w:val="16"/>
          </w:rPr>
          <w:fldChar w:fldCharType="separate"/>
        </w:r>
        <w:r w:rsidRPr="009A2126">
          <w:rPr>
            <w:rStyle w:val="PageNumber"/>
            <w:noProof/>
            <w:sz w:val="16"/>
            <w:szCs w:val="16"/>
          </w:rPr>
          <w:t>18</w:t>
        </w:r>
        <w:r w:rsidRPr="009A2126">
          <w:rPr>
            <w:rStyle w:val="PageNumber"/>
            <w:sz w:val="16"/>
            <w:szCs w:val="16"/>
          </w:rPr>
          <w:fldChar w:fldCharType="end"/>
        </w:r>
      </w:p>
    </w:sdtContent>
  </w:sdt>
  <w:p w14:paraId="29630441" w14:textId="5BBBF470" w:rsidR="00E72EF3" w:rsidRDefault="00E72EF3" w:rsidP="00E72EF3">
    <w:pPr>
      <w:pStyle w:val="Footer"/>
      <w:ind w:right="360" w:firstLine="360"/>
    </w:pPr>
  </w:p>
  <w:p w14:paraId="0582ABC5" w14:textId="0E4D7A84" w:rsidR="00C062F7" w:rsidRDefault="00C062F7">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9553A8" w14:textId="77777777" w:rsidR="003D056B" w:rsidRDefault="003D056B"/>
  <w:sdt>
    <w:sdtPr>
      <w:rPr>
        <w:rStyle w:val="PageNumber"/>
        <w:sz w:val="16"/>
        <w:szCs w:val="16"/>
      </w:rPr>
      <w:id w:val="1316381202"/>
      <w:docPartObj>
        <w:docPartGallery w:val="Page Numbers (Bottom of Page)"/>
        <w:docPartUnique/>
      </w:docPartObj>
    </w:sdtPr>
    <w:sdtEndPr>
      <w:rPr>
        <w:rStyle w:val="PageNumber"/>
      </w:rPr>
    </w:sdtEndPr>
    <w:sdtContent>
      <w:p w14:paraId="070CF089" w14:textId="77777777" w:rsidR="00971661" w:rsidRPr="00D850AF" w:rsidRDefault="00971661" w:rsidP="00971661">
        <w:pPr>
          <w:pStyle w:val="Footer"/>
          <w:framePr w:wrap="none" w:vAnchor="text" w:hAnchor="page" w:x="1161" w:y="81"/>
          <w:jc w:val="center"/>
          <w:rPr>
            <w:rStyle w:val="PageNumber"/>
            <w:sz w:val="16"/>
            <w:szCs w:val="16"/>
          </w:rPr>
        </w:pPr>
        <w:r w:rsidRPr="00D850AF">
          <w:rPr>
            <w:rStyle w:val="PageNumber"/>
            <w:sz w:val="16"/>
            <w:szCs w:val="16"/>
          </w:rPr>
          <w:fldChar w:fldCharType="begin"/>
        </w:r>
        <w:r w:rsidRPr="00D850AF">
          <w:rPr>
            <w:rStyle w:val="PageNumber"/>
            <w:sz w:val="16"/>
            <w:szCs w:val="16"/>
          </w:rPr>
          <w:instrText xml:space="preserve"> PAGE </w:instrText>
        </w:r>
        <w:r w:rsidRPr="00D850AF">
          <w:rPr>
            <w:rStyle w:val="PageNumber"/>
            <w:sz w:val="16"/>
            <w:szCs w:val="16"/>
          </w:rPr>
          <w:fldChar w:fldCharType="separate"/>
        </w:r>
        <w:r w:rsidRPr="00D850AF">
          <w:rPr>
            <w:rStyle w:val="PageNumber"/>
            <w:noProof/>
            <w:sz w:val="16"/>
            <w:szCs w:val="16"/>
          </w:rPr>
          <w:t>97</w:t>
        </w:r>
        <w:r w:rsidRPr="00D850AF">
          <w:rPr>
            <w:rStyle w:val="PageNumber"/>
            <w:sz w:val="16"/>
            <w:szCs w:val="16"/>
          </w:rPr>
          <w:fldChar w:fldCharType="end"/>
        </w:r>
      </w:p>
    </w:sdtContent>
  </w:sdt>
  <w:p w14:paraId="16745A9D" w14:textId="77777777" w:rsidR="00971661" w:rsidRPr="00B91009" w:rsidRDefault="00971661" w:rsidP="00971661">
    <w:pPr>
      <w:pStyle w:val="Footer"/>
      <w:framePr w:wrap="none" w:vAnchor="text" w:hAnchor="page" w:x="1161" w:y="81"/>
      <w:rPr>
        <w:sz w:val="18"/>
        <w:szCs w:val="18"/>
      </w:rPr>
    </w:pPr>
  </w:p>
  <w:p w14:paraId="562CDAB0" w14:textId="071D7741" w:rsidR="003D056B" w:rsidRDefault="00971661" w:rsidP="00971661">
    <w:pPr>
      <w:tabs>
        <w:tab w:val="left" w:pos="6400"/>
      </w:tabs>
    </w:pPr>
    <w:r>
      <w:tab/>
    </w:r>
  </w:p>
  <w:p w14:paraId="0CBF0E32" w14:textId="77777777" w:rsidR="00326BA6" w:rsidRDefault="00326BA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472755988"/>
      <w:docPartObj>
        <w:docPartGallery w:val="Page Numbers (Bottom of Page)"/>
        <w:docPartUnique/>
      </w:docPartObj>
    </w:sdtPr>
    <w:sdtEndPr>
      <w:rPr>
        <w:rStyle w:val="PageNumber"/>
      </w:rPr>
    </w:sdtEndPr>
    <w:sdtContent>
      <w:p w14:paraId="0B103CCE" w14:textId="4B7E90B5" w:rsidR="00F750D8" w:rsidRDefault="00F750D8">
        <w:pPr>
          <w:pStyle w:val="Footer"/>
          <w:framePr w:wrap="none" w:vAnchor="text" w:hAnchor="margin" w:xAlign="center" w:y="1"/>
          <w:rPr>
            <w:rStyle w:val="PageNumber"/>
          </w:rPr>
        </w:pPr>
        <w:r w:rsidRPr="00F750D8">
          <w:rPr>
            <w:rStyle w:val="PageNumber"/>
            <w:sz w:val="16"/>
            <w:szCs w:val="16"/>
          </w:rPr>
          <w:fldChar w:fldCharType="begin"/>
        </w:r>
        <w:r w:rsidRPr="00F750D8">
          <w:rPr>
            <w:rStyle w:val="PageNumber"/>
            <w:sz w:val="16"/>
            <w:szCs w:val="16"/>
          </w:rPr>
          <w:instrText xml:space="preserve"> PAGE </w:instrText>
        </w:r>
        <w:r w:rsidRPr="00F750D8">
          <w:rPr>
            <w:rStyle w:val="PageNumber"/>
            <w:sz w:val="16"/>
            <w:szCs w:val="16"/>
          </w:rPr>
          <w:fldChar w:fldCharType="separate"/>
        </w:r>
        <w:r w:rsidRPr="00F750D8">
          <w:rPr>
            <w:rStyle w:val="PageNumber"/>
            <w:noProof/>
            <w:sz w:val="16"/>
            <w:szCs w:val="16"/>
          </w:rPr>
          <w:t>3</w:t>
        </w:r>
        <w:r w:rsidRPr="00F750D8">
          <w:rPr>
            <w:rStyle w:val="PageNumber"/>
            <w:sz w:val="16"/>
            <w:szCs w:val="16"/>
          </w:rPr>
          <w:fldChar w:fldCharType="end"/>
        </w:r>
      </w:p>
    </w:sdtContent>
  </w:sdt>
  <w:p w14:paraId="14E6DCE6" w14:textId="1692488D" w:rsidR="00AA72AA" w:rsidRDefault="00AA72AA" w:rsidP="00AA72AA">
    <w:pPr>
      <w:pStyle w:val="Pagefooter"/>
      <w:jc w:val="right"/>
    </w:pPr>
  </w:p>
  <w:p w14:paraId="52AFA9E6" w14:textId="4B9CDDA4" w:rsidR="00642B2E" w:rsidRPr="00B91009" w:rsidRDefault="00642B2E">
    <w:pPr>
      <w:pStyle w:val="Footer"/>
      <w:rPr>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80"/>
      <w:gridCol w:w="3680"/>
      <w:gridCol w:w="3680"/>
    </w:tblGrid>
    <w:tr w:rsidR="225BE8F4" w14:paraId="05615426" w14:textId="77777777" w:rsidTr="225BE8F4">
      <w:trPr>
        <w:trHeight w:val="300"/>
      </w:trPr>
      <w:tc>
        <w:tcPr>
          <w:tcW w:w="3680" w:type="dxa"/>
        </w:tcPr>
        <w:p w14:paraId="2B615C41" w14:textId="1D9F0368" w:rsidR="225BE8F4" w:rsidRDefault="225BE8F4" w:rsidP="225BE8F4">
          <w:pPr>
            <w:pStyle w:val="Header"/>
            <w:ind w:left="-115"/>
          </w:pPr>
        </w:p>
      </w:tc>
      <w:tc>
        <w:tcPr>
          <w:tcW w:w="3680" w:type="dxa"/>
        </w:tcPr>
        <w:p w14:paraId="2503DC77" w14:textId="204C800E" w:rsidR="225BE8F4" w:rsidRDefault="225BE8F4" w:rsidP="225BE8F4">
          <w:pPr>
            <w:pStyle w:val="Header"/>
            <w:jc w:val="center"/>
          </w:pPr>
        </w:p>
      </w:tc>
      <w:tc>
        <w:tcPr>
          <w:tcW w:w="3680" w:type="dxa"/>
        </w:tcPr>
        <w:p w14:paraId="2090F3F6" w14:textId="37DCD8DB" w:rsidR="225BE8F4" w:rsidRDefault="225BE8F4" w:rsidP="225BE8F4">
          <w:pPr>
            <w:pStyle w:val="Header"/>
            <w:ind w:right="-115"/>
            <w:jc w:val="right"/>
          </w:pPr>
        </w:p>
      </w:tc>
    </w:tr>
  </w:tbl>
  <w:p w14:paraId="03301C47" w14:textId="2D499332" w:rsidR="004E6F85" w:rsidRDefault="004E6F8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66CEAE" w14:textId="77777777" w:rsidR="005D3C20" w:rsidRDefault="005D3C20">
    <w:pPr>
      <w:pStyle w:val="Footer"/>
    </w:pPr>
  </w:p>
  <w:p w14:paraId="7F13B7E2" w14:textId="77777777" w:rsidR="005D3C20" w:rsidRDefault="005D3C2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sz w:val="16"/>
        <w:szCs w:val="16"/>
      </w:rPr>
      <w:id w:val="1873721649"/>
      <w:docPartObj>
        <w:docPartGallery w:val="Page Numbers (Bottom of Page)"/>
        <w:docPartUnique/>
      </w:docPartObj>
    </w:sdtPr>
    <w:sdtEndPr>
      <w:rPr>
        <w:rStyle w:val="PageNumber"/>
      </w:rPr>
    </w:sdtEndPr>
    <w:sdtContent>
      <w:p w14:paraId="5FEC58C6" w14:textId="7441EC92" w:rsidR="00F750D8" w:rsidRPr="00F750D8" w:rsidRDefault="00F750D8">
        <w:pPr>
          <w:pStyle w:val="Footer"/>
          <w:framePr w:wrap="none" w:vAnchor="text" w:hAnchor="margin" w:xAlign="center" w:y="1"/>
          <w:rPr>
            <w:rStyle w:val="PageNumber"/>
            <w:sz w:val="16"/>
            <w:szCs w:val="16"/>
          </w:rPr>
        </w:pPr>
        <w:r w:rsidRPr="00F750D8">
          <w:rPr>
            <w:rStyle w:val="PageNumber"/>
            <w:sz w:val="16"/>
            <w:szCs w:val="16"/>
          </w:rPr>
          <w:fldChar w:fldCharType="begin"/>
        </w:r>
        <w:r w:rsidRPr="00F750D8">
          <w:rPr>
            <w:rStyle w:val="PageNumber"/>
            <w:sz w:val="16"/>
            <w:szCs w:val="16"/>
          </w:rPr>
          <w:instrText xml:space="preserve"> PAGE </w:instrText>
        </w:r>
        <w:r w:rsidRPr="00F750D8">
          <w:rPr>
            <w:rStyle w:val="PageNumber"/>
            <w:sz w:val="16"/>
            <w:szCs w:val="16"/>
          </w:rPr>
          <w:fldChar w:fldCharType="separate"/>
        </w:r>
        <w:r w:rsidRPr="00F750D8">
          <w:rPr>
            <w:rStyle w:val="PageNumber"/>
            <w:noProof/>
            <w:sz w:val="16"/>
            <w:szCs w:val="16"/>
          </w:rPr>
          <w:t>17</w:t>
        </w:r>
        <w:r w:rsidRPr="00F750D8">
          <w:rPr>
            <w:rStyle w:val="PageNumber"/>
            <w:sz w:val="16"/>
            <w:szCs w:val="16"/>
          </w:rPr>
          <w:fldChar w:fldCharType="end"/>
        </w:r>
      </w:p>
    </w:sdtContent>
  </w:sdt>
  <w:p w14:paraId="7D421537" w14:textId="183EAC95" w:rsidR="00960DB2" w:rsidRDefault="00960DB2" w:rsidP="00E72EF3">
    <w:pPr>
      <w:pStyle w:val="Pagefooter"/>
      <w:ind w:right="360"/>
    </w:pPr>
  </w:p>
  <w:p w14:paraId="046BAFB2" w14:textId="77777777" w:rsidR="00960DB2" w:rsidRDefault="00960DB2"/>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150E31" w14:textId="0ED9F5CD" w:rsidR="00960DB2" w:rsidRPr="001E4C46" w:rsidRDefault="00960DB2" w:rsidP="001E4C46">
    <w:pPr>
      <w:pStyle w:val="Pagefooter"/>
    </w:pPr>
    <w:r>
      <w:t>PRISMA Progress and Annual Plan</w:t>
    </w:r>
    <w:r>
      <w:tab/>
    </w:r>
    <w:sdt>
      <w:sdtPr>
        <w:id w:val="-439605107"/>
        <w:docPartObj>
          <w:docPartGallery w:val="Page Numbers (Bottom of Page)"/>
          <w:docPartUnique/>
        </w:docPartObj>
      </w:sdtPr>
      <w:sdtEndPr>
        <w:rPr>
          <w:rStyle w:val="PagenumberChar"/>
          <w:lang w:eastAsia="en-US"/>
        </w:rPr>
      </w:sdtEndPr>
      <w:sdtContent>
        <w:r w:rsidRPr="001E71F4">
          <w:rPr>
            <w:rStyle w:val="PagenumberChar"/>
          </w:rPr>
          <w:fldChar w:fldCharType="begin"/>
        </w:r>
        <w:r w:rsidRPr="001E71F4">
          <w:rPr>
            <w:rStyle w:val="PagenumberChar"/>
          </w:rPr>
          <w:instrText xml:space="preserve"> PAGE   \* MERGEFORMAT </w:instrText>
        </w:r>
        <w:r w:rsidRPr="001E71F4">
          <w:rPr>
            <w:rStyle w:val="PagenumberChar"/>
          </w:rPr>
          <w:fldChar w:fldCharType="separate"/>
        </w:r>
        <w:r>
          <w:rPr>
            <w:rStyle w:val="PagenumberChar"/>
          </w:rPr>
          <w:t>1</w:t>
        </w:r>
        <w:r w:rsidRPr="001E71F4">
          <w:rPr>
            <w:rStyle w:val="PagenumberChar"/>
          </w:rPr>
          <w:fldChar w:fldCharType="end"/>
        </w:r>
      </w:sdtContent>
    </w:sdt>
    <w:r>
      <w:rPr>
        <w:rStyle w:val="PagenumberChar"/>
      </w:rPr>
      <w:t xml:space="preserve"> / </w:t>
    </w:r>
    <w:r>
      <w:rPr>
        <w:rStyle w:val="PagenumberChar"/>
      </w:rPr>
      <w:fldChar w:fldCharType="begin"/>
    </w:r>
    <w:r>
      <w:rPr>
        <w:rStyle w:val="PagenumberChar"/>
      </w:rPr>
      <w:instrText xml:space="preserve"> NUMPAGES   \* MERGEFORMAT </w:instrText>
    </w:r>
    <w:r>
      <w:rPr>
        <w:rStyle w:val="PagenumberChar"/>
      </w:rPr>
      <w:fldChar w:fldCharType="separate"/>
    </w:r>
    <w:r>
      <w:rPr>
        <w:rStyle w:val="PagenumberChar"/>
      </w:rPr>
      <w:t>1</w:t>
    </w:r>
    <w:r>
      <w:rPr>
        <w:rStyle w:val="PagenumberChar"/>
      </w:rPr>
      <w:fldChar w:fldCharType="end"/>
    </w:r>
  </w:p>
  <w:p w14:paraId="2A6BF554" w14:textId="77777777" w:rsidR="00960DB2" w:rsidRPr="001E4C46" w:rsidRDefault="00960DB2"/>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01002457"/>
      <w:docPartObj>
        <w:docPartGallery w:val="Page Numbers (Bottom of Page)"/>
        <w:docPartUnique/>
      </w:docPartObj>
    </w:sdtPr>
    <w:sdtEndPr>
      <w:rPr>
        <w:noProof/>
        <w:sz w:val="16"/>
        <w:szCs w:val="16"/>
      </w:rPr>
    </w:sdtEndPr>
    <w:sdtContent>
      <w:p w14:paraId="57C5A823" w14:textId="77777777" w:rsidR="00A272AA" w:rsidRDefault="00A272AA">
        <w:pPr>
          <w:pStyle w:val="Footer"/>
          <w:jc w:val="center"/>
          <w:rPr>
            <w:noProof/>
            <w:sz w:val="18"/>
            <w:szCs w:val="18"/>
          </w:rPr>
        </w:pPr>
        <w:r w:rsidRPr="00A272AA">
          <w:rPr>
            <w:sz w:val="18"/>
            <w:szCs w:val="18"/>
          </w:rPr>
          <w:fldChar w:fldCharType="begin"/>
        </w:r>
        <w:r w:rsidRPr="00A272AA">
          <w:rPr>
            <w:sz w:val="18"/>
            <w:szCs w:val="18"/>
          </w:rPr>
          <w:instrText xml:space="preserve"> PAGE   \* MERGEFORMAT </w:instrText>
        </w:r>
        <w:r w:rsidRPr="00A272AA">
          <w:rPr>
            <w:sz w:val="18"/>
            <w:szCs w:val="18"/>
          </w:rPr>
          <w:fldChar w:fldCharType="separate"/>
        </w:r>
        <w:r w:rsidRPr="00A272AA">
          <w:rPr>
            <w:noProof/>
            <w:sz w:val="18"/>
            <w:szCs w:val="18"/>
          </w:rPr>
          <w:t>2</w:t>
        </w:r>
        <w:r w:rsidRPr="00A272AA">
          <w:rPr>
            <w:noProof/>
            <w:sz w:val="18"/>
            <w:szCs w:val="18"/>
          </w:rPr>
          <w:fldChar w:fldCharType="end"/>
        </w:r>
      </w:p>
      <w:p w14:paraId="7FF009EF" w14:textId="77777777" w:rsidR="00C74A84" w:rsidRDefault="00C74A84">
        <w:pPr>
          <w:pStyle w:val="Footer"/>
          <w:jc w:val="center"/>
          <w:rPr>
            <w:noProof/>
            <w:sz w:val="18"/>
            <w:szCs w:val="18"/>
          </w:rPr>
        </w:pPr>
      </w:p>
      <w:p w14:paraId="2B6F8B89" w14:textId="68DCF6AC" w:rsidR="00A272AA" w:rsidRDefault="00B00AD5">
        <w:pPr>
          <w:pStyle w:val="Footer"/>
          <w:jc w:val="center"/>
        </w:pP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208459685"/>
      <w:docPartObj>
        <w:docPartGallery w:val="Page Numbers (Bottom of Page)"/>
        <w:docPartUnique/>
      </w:docPartObj>
    </w:sdtPr>
    <w:sdtEndPr>
      <w:rPr>
        <w:rStyle w:val="PageNumber"/>
      </w:rPr>
    </w:sdtEndPr>
    <w:sdtContent>
      <w:p w14:paraId="53380868" w14:textId="708D6707" w:rsidR="009A2126" w:rsidRDefault="009A2126">
        <w:pPr>
          <w:pStyle w:val="Footer"/>
          <w:framePr w:wrap="none" w:vAnchor="text" w:hAnchor="margin" w:xAlign="center" w:y="1"/>
          <w:rPr>
            <w:rStyle w:val="PageNumber"/>
          </w:rPr>
        </w:pPr>
        <w:r w:rsidRPr="009A2126">
          <w:rPr>
            <w:rStyle w:val="PageNumber"/>
            <w:sz w:val="16"/>
            <w:szCs w:val="16"/>
          </w:rPr>
          <w:fldChar w:fldCharType="begin"/>
        </w:r>
        <w:r w:rsidRPr="009A2126">
          <w:rPr>
            <w:rStyle w:val="PageNumber"/>
            <w:sz w:val="16"/>
            <w:szCs w:val="16"/>
          </w:rPr>
          <w:instrText xml:space="preserve"> PAGE </w:instrText>
        </w:r>
        <w:r w:rsidRPr="009A2126">
          <w:rPr>
            <w:rStyle w:val="PageNumber"/>
            <w:sz w:val="16"/>
            <w:szCs w:val="16"/>
          </w:rPr>
          <w:fldChar w:fldCharType="separate"/>
        </w:r>
        <w:r w:rsidRPr="009A2126">
          <w:rPr>
            <w:rStyle w:val="PageNumber"/>
            <w:noProof/>
            <w:sz w:val="16"/>
            <w:szCs w:val="16"/>
          </w:rPr>
          <w:t>35</w:t>
        </w:r>
        <w:r w:rsidRPr="009A2126">
          <w:rPr>
            <w:rStyle w:val="PageNumber"/>
            <w:sz w:val="16"/>
            <w:szCs w:val="16"/>
          </w:rPr>
          <w:fldChar w:fldCharType="end"/>
        </w:r>
      </w:p>
    </w:sdtContent>
  </w:sdt>
  <w:p w14:paraId="39F1C775" w14:textId="6ADA5AE0" w:rsidR="00CE20A2" w:rsidRDefault="00CE20A2" w:rsidP="00833B8B">
    <w:pPr>
      <w:pStyle w:val="Page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sz w:val="16"/>
        <w:szCs w:val="16"/>
      </w:rPr>
      <w:id w:val="-523330525"/>
      <w:docPartObj>
        <w:docPartGallery w:val="Page Numbers (Bottom of Page)"/>
        <w:docPartUnique/>
      </w:docPartObj>
    </w:sdtPr>
    <w:sdtEndPr>
      <w:rPr>
        <w:rStyle w:val="PageNumber"/>
      </w:rPr>
    </w:sdtEndPr>
    <w:sdtContent>
      <w:p w14:paraId="23181719" w14:textId="06242EB6" w:rsidR="009A2126" w:rsidRPr="009A2126" w:rsidRDefault="009A2126">
        <w:pPr>
          <w:pStyle w:val="Footer"/>
          <w:framePr w:wrap="none" w:vAnchor="text" w:hAnchor="margin" w:xAlign="center" w:y="1"/>
          <w:rPr>
            <w:rStyle w:val="PageNumber"/>
            <w:sz w:val="16"/>
            <w:szCs w:val="16"/>
          </w:rPr>
        </w:pPr>
        <w:r w:rsidRPr="009A2126">
          <w:rPr>
            <w:rStyle w:val="PageNumber"/>
            <w:sz w:val="16"/>
            <w:szCs w:val="16"/>
          </w:rPr>
          <w:fldChar w:fldCharType="begin"/>
        </w:r>
        <w:r w:rsidRPr="009A2126">
          <w:rPr>
            <w:rStyle w:val="PageNumber"/>
            <w:sz w:val="16"/>
            <w:szCs w:val="16"/>
          </w:rPr>
          <w:instrText xml:space="preserve"> PAGE </w:instrText>
        </w:r>
        <w:r w:rsidRPr="009A2126">
          <w:rPr>
            <w:rStyle w:val="PageNumber"/>
            <w:sz w:val="16"/>
            <w:szCs w:val="16"/>
          </w:rPr>
          <w:fldChar w:fldCharType="separate"/>
        </w:r>
        <w:r w:rsidRPr="009A2126">
          <w:rPr>
            <w:rStyle w:val="PageNumber"/>
            <w:noProof/>
            <w:sz w:val="16"/>
            <w:szCs w:val="16"/>
          </w:rPr>
          <w:t>36</w:t>
        </w:r>
        <w:r w:rsidRPr="009A2126">
          <w:rPr>
            <w:rStyle w:val="PageNumber"/>
            <w:sz w:val="16"/>
            <w:szCs w:val="16"/>
          </w:rPr>
          <w:fldChar w:fldCharType="end"/>
        </w:r>
      </w:p>
    </w:sdtContent>
  </w:sdt>
  <w:p w14:paraId="5FBCB915" w14:textId="4351FF45" w:rsidR="00CE20A2" w:rsidRPr="001E4C46" w:rsidRDefault="00CE20A2" w:rsidP="001E4C46">
    <w:pPr>
      <w:pStyle w:val="Pagefooter"/>
    </w:pPr>
  </w:p>
  <w:p w14:paraId="2AAC6FBB" w14:textId="77777777" w:rsidR="008F6061" w:rsidRDefault="008F6061"/>
  <w:p w14:paraId="17369CD4" w14:textId="77777777" w:rsidR="008F6061" w:rsidRDefault="008F606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67FE43E" w14:textId="77777777" w:rsidR="005862D8" w:rsidRDefault="005862D8" w:rsidP="009F04D3">
      <w:pPr>
        <w:spacing w:after="0" w:line="240" w:lineRule="auto"/>
      </w:pPr>
      <w:r>
        <w:separator/>
      </w:r>
    </w:p>
  </w:footnote>
  <w:footnote w:type="continuationSeparator" w:id="0">
    <w:p w14:paraId="2FA8BD86" w14:textId="77777777" w:rsidR="005862D8" w:rsidRDefault="005862D8" w:rsidP="009F04D3">
      <w:pPr>
        <w:spacing w:after="0" w:line="240" w:lineRule="auto"/>
      </w:pPr>
      <w:r>
        <w:continuationSeparator/>
      </w:r>
    </w:p>
  </w:footnote>
  <w:footnote w:type="continuationNotice" w:id="1">
    <w:p w14:paraId="5A346936" w14:textId="77777777" w:rsidR="005862D8" w:rsidRDefault="005862D8">
      <w:pPr>
        <w:spacing w:after="0" w:line="240" w:lineRule="auto"/>
      </w:pPr>
    </w:p>
  </w:footnote>
  <w:footnote w:id="2">
    <w:p w14:paraId="2FFB9806" w14:textId="5C68700A" w:rsidR="001E5099" w:rsidRDefault="001E5099" w:rsidP="001E5099">
      <w:pPr>
        <w:pStyle w:val="FootnoteText"/>
        <w:jc w:val="both"/>
      </w:pPr>
      <w:r>
        <w:rPr>
          <w:rStyle w:val="FootnoteReference"/>
        </w:rPr>
        <w:footnoteRef/>
      </w:r>
      <w:r>
        <w:t xml:space="preserve"> </w:t>
      </w:r>
      <w:r w:rsidRPr="003C0315">
        <w:rPr>
          <w:rFonts w:ascii="Source Sans Pro" w:hAnsi="Source Sans Pro" w:cstheme="minorHAnsi"/>
        </w:rPr>
        <w:t xml:space="preserve">Overlap in </w:t>
      </w:r>
      <w:r w:rsidR="003354AE">
        <w:rPr>
          <w:rFonts w:ascii="Source Sans Pro" w:hAnsi="Source Sans Pro" w:cstheme="minorHAnsi"/>
        </w:rPr>
        <w:t>this</w:t>
      </w:r>
      <w:r w:rsidRPr="003C0315">
        <w:rPr>
          <w:rFonts w:ascii="Source Sans Pro" w:hAnsi="Source Sans Pro" w:cstheme="minorHAnsi"/>
        </w:rPr>
        <w:t xml:space="preserve"> context is when a beneficiary household benefit</w:t>
      </w:r>
      <w:r w:rsidR="003354AE">
        <w:rPr>
          <w:rFonts w:ascii="Source Sans Pro" w:hAnsi="Source Sans Pro" w:cstheme="minorHAnsi"/>
        </w:rPr>
        <w:t>s</w:t>
      </w:r>
      <w:r w:rsidRPr="003C0315">
        <w:rPr>
          <w:rFonts w:ascii="Source Sans Pro" w:hAnsi="Source Sans Pro" w:cstheme="minorHAnsi"/>
        </w:rPr>
        <w:t xml:space="preserve"> from </w:t>
      </w:r>
      <w:r w:rsidR="003354AE">
        <w:rPr>
          <w:rFonts w:ascii="Source Sans Pro" w:hAnsi="Source Sans Pro" w:cstheme="minorHAnsi"/>
        </w:rPr>
        <w:t>2</w:t>
      </w:r>
      <w:r w:rsidRPr="003C0315">
        <w:rPr>
          <w:rFonts w:ascii="Source Sans Pro" w:hAnsi="Source Sans Pro" w:cstheme="minorHAnsi"/>
        </w:rPr>
        <w:t xml:space="preserve"> or more PRISMA interventions</w:t>
      </w:r>
      <w:r w:rsidR="003354AE">
        <w:rPr>
          <w:rFonts w:ascii="Source Sans Pro" w:hAnsi="Source Sans Pro" w:cstheme="minorHAnsi"/>
        </w:rPr>
        <w:t>. When a household</w:t>
      </w:r>
      <w:r w:rsidRPr="003C0315">
        <w:rPr>
          <w:rFonts w:ascii="Source Sans Pro" w:hAnsi="Source Sans Pro" w:cstheme="minorHAnsi"/>
        </w:rPr>
        <w:t xml:space="preserve"> has </w:t>
      </w:r>
      <w:r w:rsidR="00E361A8">
        <w:rPr>
          <w:rFonts w:ascii="Source Sans Pro" w:hAnsi="Source Sans Pro" w:cstheme="minorHAnsi"/>
        </w:rPr>
        <w:t xml:space="preserve">already </w:t>
      </w:r>
      <w:r w:rsidRPr="003C0315">
        <w:rPr>
          <w:rFonts w:ascii="Source Sans Pro" w:hAnsi="Source Sans Pro" w:cstheme="minorHAnsi"/>
        </w:rPr>
        <w:t>been claimed</w:t>
      </w:r>
      <w:r w:rsidR="003354AE">
        <w:rPr>
          <w:rFonts w:ascii="Source Sans Pro" w:hAnsi="Source Sans Pro" w:cstheme="minorHAnsi"/>
        </w:rPr>
        <w:t xml:space="preserve"> </w:t>
      </w:r>
      <w:r w:rsidR="00E361A8">
        <w:rPr>
          <w:rFonts w:ascii="Source Sans Pro" w:hAnsi="Source Sans Pro" w:cstheme="minorHAnsi"/>
        </w:rPr>
        <w:t>i</w:t>
      </w:r>
      <w:r w:rsidR="003354AE">
        <w:rPr>
          <w:rFonts w:ascii="Source Sans Pro" w:hAnsi="Source Sans Pro" w:cstheme="minorHAnsi"/>
        </w:rPr>
        <w:t>t</w:t>
      </w:r>
      <w:r w:rsidRPr="003C0315">
        <w:rPr>
          <w:rFonts w:ascii="Source Sans Pro" w:hAnsi="Source Sans Pro" w:cstheme="minorHAnsi"/>
        </w:rPr>
        <w:t xml:space="preserve"> cannot be claimed again</w:t>
      </w:r>
      <w:r>
        <w:rPr>
          <w:rFonts w:ascii="Source Sans Pro" w:hAnsi="Source Sans Pro" w:cstheme="minorHAnsi"/>
        </w:rPr>
        <w:t>.</w:t>
      </w:r>
    </w:p>
  </w:footnote>
  <w:footnote w:id="3">
    <w:p w14:paraId="70616D09" w14:textId="40CCA6CE" w:rsidR="00C77C8C" w:rsidRPr="00C43DD1" w:rsidRDefault="00C77C8C" w:rsidP="00C77C8C">
      <w:pPr>
        <w:pStyle w:val="FootnoteText"/>
        <w:rPr>
          <w:sz w:val="15"/>
          <w:szCs w:val="15"/>
          <w:lang w:val="en-US"/>
        </w:rPr>
      </w:pPr>
      <w:r w:rsidRPr="00C43DD1">
        <w:rPr>
          <w:rStyle w:val="FootnoteReference"/>
          <w:sz w:val="15"/>
          <w:szCs w:val="15"/>
        </w:rPr>
        <w:footnoteRef/>
      </w:r>
      <w:r w:rsidRPr="00C43DD1">
        <w:rPr>
          <w:sz w:val="15"/>
          <w:szCs w:val="15"/>
        </w:rPr>
        <w:t xml:space="preserve"> This semester, PRISMA started tracking </w:t>
      </w:r>
      <w:r w:rsidR="00DD416A">
        <w:rPr>
          <w:sz w:val="15"/>
          <w:szCs w:val="15"/>
        </w:rPr>
        <w:t xml:space="preserve">its </w:t>
      </w:r>
      <w:r w:rsidRPr="00C43DD1">
        <w:rPr>
          <w:sz w:val="15"/>
          <w:szCs w:val="15"/>
        </w:rPr>
        <w:t>reach</w:t>
      </w:r>
      <w:r w:rsidR="00DD416A">
        <w:rPr>
          <w:sz w:val="15"/>
          <w:szCs w:val="15"/>
        </w:rPr>
        <w:t xml:space="preserve">, </w:t>
      </w:r>
      <w:r w:rsidRPr="00C43DD1">
        <w:rPr>
          <w:sz w:val="15"/>
          <w:szCs w:val="15"/>
        </w:rPr>
        <w:t>look</w:t>
      </w:r>
      <w:r w:rsidR="00DD416A">
        <w:rPr>
          <w:sz w:val="15"/>
          <w:szCs w:val="15"/>
        </w:rPr>
        <w:t>ing</w:t>
      </w:r>
      <w:r w:rsidRPr="00C43DD1">
        <w:rPr>
          <w:sz w:val="15"/>
          <w:szCs w:val="15"/>
        </w:rPr>
        <w:t xml:space="preserve"> back at the last 2 years when it increased its digital presence through the Economist Impact</w:t>
      </w:r>
      <w:r w:rsidR="00DD416A">
        <w:rPr>
          <w:sz w:val="15"/>
          <w:szCs w:val="15"/>
        </w:rPr>
        <w:t>’s</w:t>
      </w:r>
      <w:r w:rsidRPr="00C43DD1">
        <w:rPr>
          <w:sz w:val="15"/>
          <w:szCs w:val="15"/>
        </w:rPr>
        <w:t xml:space="preserve"> website and social media campaign and launched its LinkedIn page. </w:t>
      </w:r>
    </w:p>
  </w:footnote>
  <w:footnote w:id="4">
    <w:p w14:paraId="74109291" w14:textId="1F7D5BF4" w:rsidR="00AC535B" w:rsidRPr="005D1817" w:rsidRDefault="00AC535B" w:rsidP="00AC535B">
      <w:pPr>
        <w:pStyle w:val="FootnoteText"/>
        <w:rPr>
          <w:sz w:val="15"/>
          <w:szCs w:val="15"/>
          <w:lang w:val="en-US"/>
        </w:rPr>
      </w:pPr>
      <w:r w:rsidRPr="005D1817">
        <w:rPr>
          <w:rStyle w:val="FootnoteReference"/>
          <w:sz w:val="15"/>
          <w:szCs w:val="15"/>
        </w:rPr>
        <w:footnoteRef/>
      </w:r>
      <w:r w:rsidRPr="005D1817">
        <w:rPr>
          <w:sz w:val="15"/>
          <w:szCs w:val="15"/>
        </w:rPr>
        <w:t xml:space="preserve"> </w:t>
      </w:r>
      <w:r w:rsidR="00107155">
        <w:rPr>
          <w:sz w:val="15"/>
          <w:szCs w:val="15"/>
          <w:lang w:val="en-US"/>
        </w:rPr>
        <w:t>After</w:t>
      </w:r>
      <w:r w:rsidRPr="005D1817">
        <w:rPr>
          <w:sz w:val="15"/>
          <w:szCs w:val="15"/>
          <w:lang w:val="en-US"/>
        </w:rPr>
        <w:t xml:space="preserve"> PRISMA commenced</w:t>
      </w:r>
      <w:r w:rsidR="00107155">
        <w:rPr>
          <w:sz w:val="15"/>
          <w:szCs w:val="15"/>
          <w:lang w:val="en-US"/>
        </w:rPr>
        <w:t>,</w:t>
      </w:r>
      <w:r w:rsidRPr="005D1817">
        <w:rPr>
          <w:sz w:val="15"/>
          <w:szCs w:val="15"/>
          <w:lang w:val="en-US"/>
        </w:rPr>
        <w:t xml:space="preserve"> </w:t>
      </w:r>
      <w:r w:rsidR="00107155">
        <w:rPr>
          <w:sz w:val="15"/>
          <w:szCs w:val="15"/>
          <w:lang w:val="en-US"/>
        </w:rPr>
        <w:t xml:space="preserve">provinces in </w:t>
      </w:r>
      <w:r w:rsidRPr="005D1817">
        <w:rPr>
          <w:sz w:val="15"/>
          <w:szCs w:val="15"/>
          <w:lang w:val="en-US"/>
        </w:rPr>
        <w:t xml:space="preserve">Tanah Papua (the ‘Land of Papua’) </w:t>
      </w:r>
      <w:r w:rsidR="00107155">
        <w:rPr>
          <w:sz w:val="15"/>
          <w:szCs w:val="15"/>
          <w:lang w:val="en-US"/>
        </w:rPr>
        <w:t>were</w:t>
      </w:r>
      <w:r w:rsidRPr="005D1817">
        <w:rPr>
          <w:sz w:val="15"/>
          <w:szCs w:val="15"/>
          <w:lang w:val="en-US"/>
        </w:rPr>
        <w:t xml:space="preserve"> split </w:t>
      </w:r>
      <w:r w:rsidR="00107155">
        <w:rPr>
          <w:sz w:val="15"/>
          <w:szCs w:val="15"/>
          <w:lang w:val="en-US"/>
        </w:rPr>
        <w:t>up</w:t>
      </w:r>
      <w:r w:rsidRPr="005D1817">
        <w:rPr>
          <w:sz w:val="15"/>
          <w:szCs w:val="15"/>
          <w:lang w:val="en-US"/>
        </w:rPr>
        <w:t>.</w:t>
      </w:r>
      <w:r w:rsidR="00107155">
        <w:rPr>
          <w:sz w:val="15"/>
          <w:szCs w:val="15"/>
          <w:lang w:val="en-US"/>
        </w:rPr>
        <w:t xml:space="preserve"> </w:t>
      </w:r>
      <w:r w:rsidRPr="005D1817">
        <w:rPr>
          <w:sz w:val="15"/>
          <w:szCs w:val="15"/>
          <w:lang w:val="en-US"/>
        </w:rPr>
        <w:t>Papua and West Papua are still used</w:t>
      </w:r>
      <w:r w:rsidR="00107155" w:rsidRPr="00107155">
        <w:rPr>
          <w:sz w:val="15"/>
          <w:szCs w:val="15"/>
          <w:lang w:val="en-US"/>
        </w:rPr>
        <w:t xml:space="preserve"> </w:t>
      </w:r>
      <w:r w:rsidR="00107155">
        <w:rPr>
          <w:sz w:val="15"/>
          <w:szCs w:val="15"/>
          <w:lang w:val="en-US"/>
        </w:rPr>
        <w:t>i</w:t>
      </w:r>
      <w:r w:rsidR="00107155" w:rsidRPr="005D1817">
        <w:rPr>
          <w:sz w:val="15"/>
          <w:szCs w:val="15"/>
          <w:lang w:val="en-US"/>
        </w:rPr>
        <w:t>n the main body of the report</w:t>
      </w:r>
      <w:r w:rsidRPr="005D1817">
        <w:rPr>
          <w:sz w:val="15"/>
          <w:szCs w:val="15"/>
          <w:lang w:val="en-US"/>
        </w:rPr>
        <w:t>, but</w:t>
      </w:r>
      <w:r w:rsidRPr="005D1817" w:rsidDel="00102A3A">
        <w:rPr>
          <w:sz w:val="15"/>
          <w:szCs w:val="15"/>
          <w:lang w:val="en-US"/>
        </w:rPr>
        <w:t xml:space="preserve"> </w:t>
      </w:r>
      <w:r w:rsidRPr="005D1817">
        <w:rPr>
          <w:sz w:val="15"/>
          <w:szCs w:val="15"/>
          <w:lang w:val="en-US"/>
        </w:rPr>
        <w:t xml:space="preserve">the vegetable progress report refers to the new provinces. </w:t>
      </w:r>
    </w:p>
  </w:footnote>
  <w:footnote w:id="5">
    <w:p w14:paraId="6B72A968" w14:textId="273D52BE" w:rsidR="00294E0B" w:rsidRPr="005D1817" w:rsidRDefault="00294E0B" w:rsidP="00294E0B">
      <w:pPr>
        <w:pStyle w:val="FootnoteText"/>
        <w:rPr>
          <w:sz w:val="15"/>
          <w:szCs w:val="15"/>
        </w:rPr>
      </w:pPr>
      <w:r w:rsidRPr="005D1817">
        <w:rPr>
          <w:rStyle w:val="FootnoteReference"/>
          <w:sz w:val="15"/>
          <w:szCs w:val="15"/>
        </w:rPr>
        <w:footnoteRef/>
      </w:r>
      <w:r w:rsidRPr="005D1817">
        <w:rPr>
          <w:rFonts w:cs="Arial"/>
          <w:sz w:val="15"/>
          <w:szCs w:val="15"/>
        </w:rPr>
        <w:t xml:space="preserve"> The majority (6</w:t>
      </w:r>
      <w:r w:rsidR="00517102" w:rsidRPr="005D1817">
        <w:rPr>
          <w:rFonts w:cs="Arial"/>
          <w:sz w:val="15"/>
          <w:szCs w:val="15"/>
          <w:lang w:val="id-ID"/>
        </w:rPr>
        <w:t>1.9</w:t>
      </w:r>
      <w:r w:rsidRPr="005D1817">
        <w:rPr>
          <w:rFonts w:cs="Arial"/>
          <w:sz w:val="15"/>
          <w:szCs w:val="15"/>
        </w:rPr>
        <w:t xml:space="preserve">%) of smallholder farming households reached by </w:t>
      </w:r>
      <w:r w:rsidRPr="005D1817">
        <w:rPr>
          <w:rFonts w:cs="Arial"/>
          <w:sz w:val="15"/>
          <w:szCs w:val="15"/>
          <w:lang w:val="en-US"/>
        </w:rPr>
        <w:t xml:space="preserve">PRISMA are under the USD5.50 </w:t>
      </w:r>
      <w:r w:rsidR="009C4798">
        <w:rPr>
          <w:rFonts w:cs="Arial"/>
          <w:sz w:val="15"/>
          <w:szCs w:val="15"/>
          <w:lang w:val="en-US"/>
        </w:rPr>
        <w:t>purchasing power parity (</w:t>
      </w:r>
      <w:r w:rsidRPr="005D1817">
        <w:rPr>
          <w:rFonts w:cs="Arial"/>
          <w:sz w:val="15"/>
          <w:szCs w:val="15"/>
          <w:lang w:val="en-US"/>
        </w:rPr>
        <w:t>PPP</w:t>
      </w:r>
      <w:r w:rsidR="009C4798">
        <w:rPr>
          <w:rFonts w:cs="Arial"/>
          <w:sz w:val="15"/>
          <w:szCs w:val="15"/>
          <w:lang w:val="en-US"/>
        </w:rPr>
        <w:t>)</w:t>
      </w:r>
      <w:r w:rsidRPr="005D1817">
        <w:rPr>
          <w:rFonts w:cs="Arial"/>
          <w:sz w:val="15"/>
          <w:szCs w:val="15"/>
          <w:lang w:val="en-US"/>
        </w:rPr>
        <w:t xml:space="preserve"> poverty line. In fact, a large cohort (3</w:t>
      </w:r>
      <w:r w:rsidR="00517102" w:rsidRPr="005D1817">
        <w:rPr>
          <w:rFonts w:cs="Arial"/>
          <w:sz w:val="15"/>
          <w:szCs w:val="15"/>
          <w:lang w:val="id-ID"/>
        </w:rPr>
        <w:t>6.</w:t>
      </w:r>
      <w:r w:rsidRPr="005D1817">
        <w:rPr>
          <w:rFonts w:cs="Arial"/>
          <w:sz w:val="15"/>
          <w:szCs w:val="15"/>
          <w:lang w:val="en-US"/>
        </w:rPr>
        <w:t xml:space="preserve">7%) of smallholder farming households reached by PRISMA face extreme poverty with less than USD2.50 </w:t>
      </w:r>
      <w:r w:rsidR="00B376A8">
        <w:rPr>
          <w:rFonts w:cs="Arial"/>
          <w:sz w:val="15"/>
          <w:szCs w:val="15"/>
          <w:lang w:val="en-US"/>
        </w:rPr>
        <w:t>PPP</w:t>
      </w:r>
      <w:r w:rsidRPr="005D1817">
        <w:rPr>
          <w:rFonts w:cs="Arial"/>
          <w:sz w:val="15"/>
          <w:szCs w:val="15"/>
          <w:lang w:val="en-US"/>
        </w:rPr>
        <w:t xml:space="preserve"> per day</w:t>
      </w:r>
      <w:r w:rsidR="00912127" w:rsidRPr="005D1817">
        <w:rPr>
          <w:rFonts w:cs="Arial"/>
          <w:sz w:val="15"/>
          <w:szCs w:val="15"/>
          <w:lang w:val="en-US"/>
        </w:rPr>
        <w:t>.</w:t>
      </w:r>
    </w:p>
  </w:footnote>
  <w:footnote w:id="6">
    <w:p w14:paraId="5A28BA04" w14:textId="702F7B64" w:rsidR="47F41866" w:rsidRDefault="47F41866" w:rsidP="47F41866">
      <w:pPr>
        <w:pStyle w:val="FootnoteText"/>
        <w:rPr>
          <w:sz w:val="15"/>
          <w:szCs w:val="15"/>
          <w:lang w:val="en-US"/>
        </w:rPr>
      </w:pPr>
      <w:r w:rsidRPr="47F41866">
        <w:rPr>
          <w:rStyle w:val="FootnoteReference"/>
          <w:sz w:val="15"/>
          <w:szCs w:val="15"/>
        </w:rPr>
        <w:footnoteRef/>
      </w:r>
      <w:r w:rsidRPr="47F41866">
        <w:rPr>
          <w:sz w:val="15"/>
          <w:szCs w:val="15"/>
        </w:rPr>
        <w:t xml:space="preserve"> </w:t>
      </w:r>
      <w:r w:rsidRPr="47F41866">
        <w:rPr>
          <w:sz w:val="15"/>
          <w:szCs w:val="15"/>
          <w:lang w:val="en-US"/>
        </w:rPr>
        <w:t xml:space="preserve">See the infographic on page </w:t>
      </w:r>
      <w:r w:rsidR="00DB1E14">
        <w:rPr>
          <w:sz w:val="15"/>
          <w:szCs w:val="15"/>
          <w:lang w:val="en-US"/>
        </w:rPr>
        <w:t>62</w:t>
      </w:r>
      <w:r w:rsidR="00DB1E14" w:rsidRPr="47F41866">
        <w:rPr>
          <w:sz w:val="15"/>
          <w:szCs w:val="15"/>
          <w:lang w:val="en-US"/>
        </w:rPr>
        <w:t xml:space="preserve"> </w:t>
      </w:r>
      <w:r w:rsidRPr="47F41866">
        <w:rPr>
          <w:sz w:val="15"/>
          <w:szCs w:val="15"/>
          <w:lang w:val="en-US"/>
        </w:rPr>
        <w:t>with progress towards systemic change across 12 agricultural sectors.</w:t>
      </w:r>
    </w:p>
  </w:footnote>
  <w:footnote w:id="7">
    <w:p w14:paraId="5211E225" w14:textId="017B72B7" w:rsidR="47F41866" w:rsidRDefault="47F41866" w:rsidP="47F41866">
      <w:pPr>
        <w:pStyle w:val="FootnoteText"/>
        <w:rPr>
          <w:sz w:val="15"/>
          <w:szCs w:val="15"/>
          <w:lang w:val="en-US"/>
        </w:rPr>
      </w:pPr>
      <w:r w:rsidRPr="47F41866">
        <w:rPr>
          <w:rStyle w:val="FootnoteReference"/>
          <w:sz w:val="15"/>
          <w:szCs w:val="15"/>
        </w:rPr>
        <w:footnoteRef/>
      </w:r>
      <w:r w:rsidRPr="47F41866">
        <w:rPr>
          <w:sz w:val="15"/>
          <w:szCs w:val="15"/>
          <w:lang w:val="en-US"/>
        </w:rPr>
        <w:t>PRISMA contributed AUD</w:t>
      </w:r>
      <w:r w:rsidR="003C4AB1">
        <w:rPr>
          <w:sz w:val="15"/>
          <w:szCs w:val="15"/>
          <w:lang w:val="en-US"/>
        </w:rPr>
        <w:t>24.6</w:t>
      </w:r>
      <w:r w:rsidRPr="47F41866">
        <w:rPr>
          <w:sz w:val="15"/>
          <w:szCs w:val="15"/>
          <w:lang w:val="id-ID"/>
        </w:rPr>
        <w:t xml:space="preserve"> </w:t>
      </w:r>
      <w:r w:rsidRPr="47F41866">
        <w:rPr>
          <w:sz w:val="15"/>
          <w:szCs w:val="15"/>
          <w:lang w:val="en-US"/>
        </w:rPr>
        <w:t xml:space="preserve">million in additional turnover for SMEs up to </w:t>
      </w:r>
      <w:r w:rsidRPr="47F41866">
        <w:rPr>
          <w:sz w:val="15"/>
          <w:szCs w:val="15"/>
          <w:lang w:val="id-ID"/>
        </w:rPr>
        <w:t>Dec</w:t>
      </w:r>
      <w:r w:rsidRPr="47F41866">
        <w:rPr>
          <w:sz w:val="15"/>
          <w:szCs w:val="15"/>
          <w:lang w:val="en-US"/>
        </w:rPr>
        <w:t xml:space="preserve"> 2023. </w:t>
      </w:r>
    </w:p>
  </w:footnote>
  <w:footnote w:id="8">
    <w:p w14:paraId="023BB19E" w14:textId="5C8BBA2C" w:rsidR="0045601F" w:rsidRPr="005D1817" w:rsidRDefault="0045601F" w:rsidP="0045601F">
      <w:pPr>
        <w:pStyle w:val="FootnoteText"/>
        <w:rPr>
          <w:sz w:val="15"/>
          <w:szCs w:val="15"/>
          <w:lang w:val="en-US"/>
        </w:rPr>
      </w:pPr>
      <w:r w:rsidRPr="005D1817">
        <w:rPr>
          <w:rStyle w:val="FootnoteReference"/>
          <w:sz w:val="15"/>
          <w:szCs w:val="15"/>
        </w:rPr>
        <w:footnoteRef/>
      </w:r>
      <w:r w:rsidRPr="005D1817">
        <w:rPr>
          <w:sz w:val="15"/>
          <w:szCs w:val="15"/>
        </w:rPr>
        <w:t xml:space="preserve"> </w:t>
      </w:r>
      <w:r w:rsidRPr="005D1817">
        <w:rPr>
          <w:sz w:val="15"/>
          <w:szCs w:val="15"/>
          <w:lang w:val="en-US"/>
        </w:rPr>
        <w:t xml:space="preserve">See Chapter </w:t>
      </w:r>
      <w:r w:rsidR="00D65D1B">
        <w:rPr>
          <w:sz w:val="15"/>
          <w:szCs w:val="15"/>
          <w:lang w:val="en-US"/>
        </w:rPr>
        <w:t>3</w:t>
      </w:r>
      <w:r w:rsidRPr="005D1817">
        <w:rPr>
          <w:sz w:val="15"/>
          <w:szCs w:val="15"/>
          <w:lang w:val="en-US"/>
        </w:rPr>
        <w:t xml:space="preserve"> for progress in cross-cutting areas of gender equality, disability, and social inclusion.</w:t>
      </w:r>
    </w:p>
  </w:footnote>
  <w:footnote w:id="9">
    <w:p w14:paraId="4719BBE3" w14:textId="77720758" w:rsidR="0045601F" w:rsidRPr="005D1817" w:rsidRDefault="0045601F" w:rsidP="0045601F">
      <w:pPr>
        <w:pStyle w:val="FootnoteText"/>
        <w:rPr>
          <w:color w:val="FF0000"/>
          <w:sz w:val="15"/>
          <w:szCs w:val="15"/>
          <w:lang w:val="en-US"/>
        </w:rPr>
      </w:pPr>
      <w:r w:rsidRPr="005D1817">
        <w:rPr>
          <w:rStyle w:val="FootnoteReference"/>
          <w:sz w:val="15"/>
          <w:szCs w:val="15"/>
        </w:rPr>
        <w:footnoteRef/>
      </w:r>
      <w:r w:rsidRPr="005D1817">
        <w:rPr>
          <w:sz w:val="15"/>
          <w:szCs w:val="15"/>
        </w:rPr>
        <w:t xml:space="preserve"> </w:t>
      </w:r>
      <w:r w:rsidRPr="005D1817">
        <w:rPr>
          <w:sz w:val="15"/>
          <w:szCs w:val="15"/>
          <w:lang w:val="en-US"/>
        </w:rPr>
        <w:t xml:space="preserve">See </w:t>
      </w:r>
      <w:r w:rsidR="00D65D1B">
        <w:rPr>
          <w:sz w:val="15"/>
          <w:szCs w:val="15"/>
          <w:lang w:val="en-US"/>
        </w:rPr>
        <w:t>Annex 1</w:t>
      </w:r>
      <w:r w:rsidRPr="005D1817">
        <w:rPr>
          <w:sz w:val="15"/>
          <w:szCs w:val="15"/>
          <w:lang w:val="en-US"/>
        </w:rPr>
        <w:t xml:space="preserve"> for more on PRISMA’s market resilience activities.</w:t>
      </w:r>
    </w:p>
  </w:footnote>
  <w:footnote w:id="10">
    <w:p w14:paraId="15E6512F" w14:textId="396B1A3B" w:rsidR="00610E5C" w:rsidRPr="005D1817" w:rsidRDefault="00610E5C" w:rsidP="00610E5C">
      <w:pPr>
        <w:pStyle w:val="FootnoteText"/>
        <w:rPr>
          <w:sz w:val="15"/>
          <w:szCs w:val="15"/>
          <w:lang w:val="en-US"/>
        </w:rPr>
      </w:pPr>
      <w:r w:rsidRPr="005D1817">
        <w:rPr>
          <w:rStyle w:val="FootnoteReference"/>
          <w:sz w:val="15"/>
          <w:szCs w:val="15"/>
        </w:rPr>
        <w:footnoteRef/>
      </w:r>
      <w:r w:rsidRPr="005D1817">
        <w:rPr>
          <w:sz w:val="15"/>
          <w:szCs w:val="15"/>
        </w:rPr>
        <w:t xml:space="preserve"> </w:t>
      </w:r>
      <w:r w:rsidRPr="005D1817">
        <w:rPr>
          <w:sz w:val="15"/>
          <w:szCs w:val="15"/>
          <w:lang w:val="en-US"/>
        </w:rPr>
        <w:t>See Chapter 4 for progress in emission reductions and climate change adaptation</w:t>
      </w:r>
      <w:r w:rsidR="1DC289FE" w:rsidRPr="005D1817">
        <w:rPr>
          <w:sz w:val="15"/>
          <w:szCs w:val="15"/>
          <w:lang w:val="en-US"/>
        </w:rPr>
        <w:t>.</w:t>
      </w:r>
    </w:p>
  </w:footnote>
  <w:footnote w:id="11">
    <w:p w14:paraId="7C2B3EC9" w14:textId="55A42710" w:rsidR="00E361A8" w:rsidRPr="00E361A8" w:rsidRDefault="00AD5756" w:rsidP="00E361A8">
      <w:pPr>
        <w:pStyle w:val="FootnoteText"/>
        <w:jc w:val="both"/>
        <w:rPr>
          <w:rFonts w:ascii="Source Sans Pro" w:hAnsi="Source Sans Pro" w:cstheme="minorHAnsi"/>
        </w:rPr>
      </w:pPr>
      <w:r>
        <w:rPr>
          <w:rStyle w:val="FootnoteReference"/>
        </w:rPr>
        <w:footnoteRef/>
      </w:r>
      <w:r>
        <w:t xml:space="preserve"> </w:t>
      </w:r>
      <w:r w:rsidRPr="003C0315">
        <w:rPr>
          <w:rFonts w:ascii="Source Sans Pro" w:hAnsi="Source Sans Pro" w:cstheme="minorHAnsi"/>
        </w:rPr>
        <w:t xml:space="preserve">Overlap in </w:t>
      </w:r>
      <w:r w:rsidR="00E361A8">
        <w:rPr>
          <w:rFonts w:ascii="Source Sans Pro" w:hAnsi="Source Sans Pro" w:cstheme="minorHAnsi"/>
        </w:rPr>
        <w:t>this</w:t>
      </w:r>
      <w:r w:rsidRPr="003C0315">
        <w:rPr>
          <w:rFonts w:ascii="Source Sans Pro" w:hAnsi="Source Sans Pro" w:cstheme="minorHAnsi"/>
        </w:rPr>
        <w:t xml:space="preserve"> context is when a beneficiary household benefit</w:t>
      </w:r>
      <w:r w:rsidR="00E361A8">
        <w:rPr>
          <w:rFonts w:ascii="Source Sans Pro" w:hAnsi="Source Sans Pro" w:cstheme="minorHAnsi"/>
        </w:rPr>
        <w:t>s</w:t>
      </w:r>
      <w:r w:rsidRPr="003C0315">
        <w:rPr>
          <w:rFonts w:ascii="Source Sans Pro" w:hAnsi="Source Sans Pro" w:cstheme="minorHAnsi"/>
        </w:rPr>
        <w:t xml:space="preserve"> from </w:t>
      </w:r>
      <w:r w:rsidR="00E361A8">
        <w:rPr>
          <w:rFonts w:ascii="Source Sans Pro" w:hAnsi="Source Sans Pro" w:cstheme="minorHAnsi"/>
        </w:rPr>
        <w:t>2</w:t>
      </w:r>
      <w:r w:rsidRPr="003C0315">
        <w:rPr>
          <w:rFonts w:ascii="Source Sans Pro" w:hAnsi="Source Sans Pro" w:cstheme="minorHAnsi"/>
        </w:rPr>
        <w:t xml:space="preserve"> or more PRISMA interventions</w:t>
      </w:r>
      <w:r w:rsidR="00E361A8">
        <w:rPr>
          <w:rFonts w:ascii="Source Sans Pro" w:hAnsi="Source Sans Pro" w:cstheme="minorHAnsi"/>
        </w:rPr>
        <w:t xml:space="preserve">. </w:t>
      </w:r>
      <w:r w:rsidR="00E361A8" w:rsidRPr="00E361A8">
        <w:rPr>
          <w:rFonts w:ascii="Source Sans Pro" w:hAnsi="Source Sans Pro" w:cstheme="minorHAnsi"/>
        </w:rPr>
        <w:t xml:space="preserve">When a household has </w:t>
      </w:r>
      <w:r w:rsidR="00E361A8">
        <w:rPr>
          <w:rFonts w:ascii="Source Sans Pro" w:hAnsi="Source Sans Pro" w:cstheme="minorHAnsi"/>
        </w:rPr>
        <w:t xml:space="preserve">already </w:t>
      </w:r>
      <w:r w:rsidR="00E361A8" w:rsidRPr="00E361A8">
        <w:rPr>
          <w:rFonts w:ascii="Source Sans Pro" w:hAnsi="Source Sans Pro" w:cstheme="minorHAnsi"/>
        </w:rPr>
        <w:t xml:space="preserve">been claimed </w:t>
      </w:r>
      <w:r w:rsidR="00E361A8">
        <w:rPr>
          <w:rFonts w:ascii="Source Sans Pro" w:hAnsi="Source Sans Pro" w:cstheme="minorHAnsi"/>
        </w:rPr>
        <w:t>it</w:t>
      </w:r>
      <w:r w:rsidR="00E361A8" w:rsidRPr="00E361A8">
        <w:rPr>
          <w:rFonts w:ascii="Source Sans Pro" w:hAnsi="Source Sans Pro" w:cstheme="minorHAnsi"/>
        </w:rPr>
        <w:t xml:space="preserve"> cannot be claimed again.</w:t>
      </w:r>
    </w:p>
    <w:p w14:paraId="61A6F4E4" w14:textId="5DDD67AE" w:rsidR="00AD5756" w:rsidRDefault="00AD5756" w:rsidP="00AD5756">
      <w:pPr>
        <w:pStyle w:val="FootnoteText"/>
        <w:jc w:val="both"/>
      </w:pPr>
      <w:r w:rsidRPr="003C0315">
        <w:rPr>
          <w:rFonts w:ascii="Source Sans Pro" w:hAnsi="Source Sans Pro" w:cstheme="minorHAnsi"/>
        </w:rPr>
        <w:t xml:space="preserve"> </w:t>
      </w:r>
    </w:p>
  </w:footnote>
  <w:footnote w:id="12">
    <w:p w14:paraId="5918E37A" w14:textId="77777777" w:rsidR="00447B58" w:rsidRPr="005D1817" w:rsidRDefault="00447B58" w:rsidP="00447B58">
      <w:pPr>
        <w:pStyle w:val="FootnoteText"/>
        <w:rPr>
          <w:sz w:val="15"/>
          <w:szCs w:val="15"/>
          <w:lang w:val="en-AU"/>
        </w:rPr>
      </w:pPr>
      <w:r w:rsidRPr="005D1817">
        <w:rPr>
          <w:rStyle w:val="FootnoteReference"/>
          <w:sz w:val="15"/>
          <w:szCs w:val="15"/>
          <w:lang w:val="en-AU"/>
        </w:rPr>
        <w:footnoteRef/>
      </w:r>
      <w:r w:rsidRPr="005D1817">
        <w:rPr>
          <w:sz w:val="15"/>
          <w:szCs w:val="15"/>
          <w:lang w:val="en-AU"/>
        </w:rPr>
        <w:t xml:space="preserve"> For the investment leverage indicator, private sector investment corresponds to KPI8, which includes investment committed by PRISMA's public and private partners, intermediate service providers, and farmers. Although this technically includes investment from the government, these amounts are insignificant when compared to other market actors. For the sake of simplicity, this indicator is labelled as “investment leverage (private sector)”.</w:t>
      </w:r>
    </w:p>
  </w:footnote>
  <w:footnote w:id="13">
    <w:p w14:paraId="2ADBB5A2" w14:textId="77777777" w:rsidR="00447B58" w:rsidRPr="005D1817" w:rsidRDefault="00447B58" w:rsidP="00447B58">
      <w:pPr>
        <w:pStyle w:val="FootnoteText"/>
        <w:rPr>
          <w:sz w:val="15"/>
          <w:szCs w:val="15"/>
          <w:lang w:val="en-AU"/>
        </w:rPr>
      </w:pPr>
      <w:r w:rsidRPr="005D1817">
        <w:rPr>
          <w:sz w:val="15"/>
          <w:szCs w:val="15"/>
          <w:vertAlign w:val="superscript"/>
          <w:lang w:val="en-AU"/>
        </w:rPr>
        <w:footnoteRef/>
      </w:r>
      <w:r w:rsidRPr="005D1817">
        <w:rPr>
          <w:sz w:val="15"/>
          <w:szCs w:val="15"/>
          <w:lang w:val="en-AU"/>
        </w:rPr>
        <w:t xml:space="preserve"> PRISMA’s total intervention cost includes implementation staff costs, travel costs, results, measurement and learning costs, co-facilitator costs, communication, and capacity building.</w:t>
      </w:r>
    </w:p>
  </w:footnote>
  <w:footnote w:id="14">
    <w:p w14:paraId="1A05407C" w14:textId="5C4A9007" w:rsidR="00775960" w:rsidRPr="003F7675" w:rsidRDefault="00775960" w:rsidP="00775960">
      <w:pPr>
        <w:pStyle w:val="FootnoteText"/>
        <w:jc w:val="both"/>
        <w:rPr>
          <w:lang w:val="en-US"/>
        </w:rPr>
      </w:pPr>
      <w:r>
        <w:rPr>
          <w:rStyle w:val="FootnoteReference"/>
        </w:rPr>
        <w:footnoteRef/>
      </w:r>
      <w:r>
        <w:t xml:space="preserve"> </w:t>
      </w:r>
      <w:r>
        <w:rPr>
          <w:lang w:val="en-US"/>
        </w:rPr>
        <w:t>PRISMA also consider</w:t>
      </w:r>
      <w:r w:rsidR="00781FE8">
        <w:rPr>
          <w:lang w:val="en-US"/>
        </w:rPr>
        <w:t>ed</w:t>
      </w:r>
      <w:r>
        <w:rPr>
          <w:lang w:val="en-US"/>
        </w:rPr>
        <w:t xml:space="preserve"> the </w:t>
      </w:r>
      <w:r w:rsidRPr="00B56583">
        <w:rPr>
          <w:lang w:val="en-US"/>
        </w:rPr>
        <w:t xml:space="preserve">increased number of cattle sold by each farmer, but data shows </w:t>
      </w:r>
      <w:r w:rsidR="00781FE8">
        <w:rPr>
          <w:lang w:val="en-US"/>
        </w:rPr>
        <w:t xml:space="preserve">that </w:t>
      </w:r>
      <w:r w:rsidRPr="00B56583">
        <w:rPr>
          <w:lang w:val="en-US"/>
        </w:rPr>
        <w:t>the number of cattle sold by farmers after using concentrate feed is not vastly different. This semester</w:t>
      </w:r>
      <w:r w:rsidR="00781FE8">
        <w:rPr>
          <w:lang w:val="en-US"/>
        </w:rPr>
        <w:t>,</w:t>
      </w:r>
      <w:r w:rsidRPr="00B56583">
        <w:rPr>
          <w:lang w:val="en-US"/>
        </w:rPr>
        <w:t xml:space="preserve"> an impact assessment in NTB show</w:t>
      </w:r>
      <w:r w:rsidR="00781FE8">
        <w:rPr>
          <w:lang w:val="en-US"/>
        </w:rPr>
        <w:t>ed</w:t>
      </w:r>
      <w:r w:rsidRPr="00B56583">
        <w:rPr>
          <w:lang w:val="en-US"/>
        </w:rPr>
        <w:t xml:space="preserve"> farmers sold 2.1 cattle per year, compared to 1.5 before </w:t>
      </w:r>
      <w:r w:rsidR="00781FE8">
        <w:rPr>
          <w:lang w:val="en-US"/>
        </w:rPr>
        <w:t xml:space="preserve">PRISMA </w:t>
      </w:r>
      <w:r w:rsidRPr="00B56583">
        <w:rPr>
          <w:lang w:val="en-US"/>
        </w:rPr>
        <w:t>intervention</w:t>
      </w:r>
      <w:r w:rsidR="00781FE8">
        <w:rPr>
          <w:lang w:val="en-US"/>
        </w:rPr>
        <w:t>s</w:t>
      </w:r>
      <w:r w:rsidRPr="00B56583">
        <w:rPr>
          <w:lang w:val="en-US"/>
        </w:rPr>
        <w:t>. Increased emission</w:t>
      </w:r>
      <w:r w:rsidR="00781FE8">
        <w:rPr>
          <w:lang w:val="en-US"/>
        </w:rPr>
        <w:t>s</w:t>
      </w:r>
      <w:r w:rsidRPr="00B56583">
        <w:rPr>
          <w:lang w:val="en-US"/>
        </w:rPr>
        <w:t xml:space="preserve"> due to additional cattle sold </w:t>
      </w:r>
      <w:r w:rsidR="00781FE8">
        <w:rPr>
          <w:lang w:val="en-US"/>
        </w:rPr>
        <w:t>wa</w:t>
      </w:r>
      <w:r w:rsidRPr="00B56583">
        <w:rPr>
          <w:lang w:val="en-US"/>
        </w:rPr>
        <w:t>s accounted for in the calculation.</w:t>
      </w:r>
      <w:r>
        <w:rPr>
          <w:lang w:val="en-US"/>
        </w:rPr>
        <w:t xml:space="preserve"> </w:t>
      </w:r>
    </w:p>
  </w:footnote>
  <w:footnote w:id="15">
    <w:p w14:paraId="2D5FBBF4" w14:textId="1D0F1D72" w:rsidR="00FC7DB8" w:rsidRDefault="00FC7DB8" w:rsidP="00FC7DB8">
      <w:pPr>
        <w:pStyle w:val="FootnoteText"/>
        <w:rPr>
          <w:szCs w:val="18"/>
        </w:rPr>
      </w:pPr>
      <w:r>
        <w:rPr>
          <w:rStyle w:val="FootnoteReference"/>
        </w:rPr>
        <w:footnoteRef/>
      </w:r>
      <w:r>
        <w:t xml:space="preserve"> </w:t>
      </w:r>
      <w:r w:rsidRPr="000B0930">
        <w:rPr>
          <w:szCs w:val="18"/>
        </w:rPr>
        <w:t>Throughout this semester, PRISMA c</w:t>
      </w:r>
      <w:r w:rsidR="002C5614">
        <w:rPr>
          <w:szCs w:val="18"/>
        </w:rPr>
        <w:t>onducted</w:t>
      </w:r>
      <w:r w:rsidRPr="000B0930">
        <w:rPr>
          <w:szCs w:val="18"/>
        </w:rPr>
        <w:t xml:space="preserve"> 4 field impact assessments across 3 sectors, incorporating </w:t>
      </w:r>
      <w:r>
        <w:rPr>
          <w:szCs w:val="18"/>
        </w:rPr>
        <w:t>WEE</w:t>
      </w:r>
      <w:r w:rsidRPr="000B0930">
        <w:rPr>
          <w:szCs w:val="18"/>
        </w:rPr>
        <w:t xml:space="preserve"> questions. These 4 impact assessments involved 235 user respondents, comprising 104 women and 78 men who were asked </w:t>
      </w:r>
      <w:r w:rsidR="007030A1">
        <w:rPr>
          <w:szCs w:val="18"/>
        </w:rPr>
        <w:t xml:space="preserve">about </w:t>
      </w:r>
      <w:r w:rsidRPr="000B0930">
        <w:rPr>
          <w:szCs w:val="18"/>
        </w:rPr>
        <w:t>WEE.</w:t>
      </w:r>
    </w:p>
    <w:p w14:paraId="4CBA50CA" w14:textId="77777777" w:rsidR="00FC7DB8" w:rsidRPr="00BF57A9" w:rsidRDefault="00FC7DB8" w:rsidP="00FC7DB8">
      <w:pPr>
        <w:pStyle w:val="FootnoteText"/>
        <w:rPr>
          <w:lang w:val="en-US"/>
        </w:rPr>
      </w:pPr>
    </w:p>
  </w:footnote>
  <w:footnote w:id="16">
    <w:p w14:paraId="22BA245C" w14:textId="1552EB22" w:rsidR="00FC7DB8" w:rsidRPr="004D7C63" w:rsidRDefault="00FC7DB8" w:rsidP="00FC7DB8">
      <w:pPr>
        <w:pStyle w:val="FootnoteText"/>
        <w:jc w:val="both"/>
        <w:rPr>
          <w:szCs w:val="18"/>
          <w:lang w:val="en-US"/>
        </w:rPr>
      </w:pPr>
      <w:r w:rsidRPr="00451A9D">
        <w:rPr>
          <w:rStyle w:val="FootnoteReference"/>
          <w:szCs w:val="18"/>
        </w:rPr>
        <w:footnoteRef/>
      </w:r>
      <w:r w:rsidRPr="004D7C63">
        <w:rPr>
          <w:szCs w:val="18"/>
          <w:lang w:val="en-US"/>
        </w:rPr>
        <w:t xml:space="preserve">The number of participants may vary across </w:t>
      </w:r>
      <w:r>
        <w:rPr>
          <w:szCs w:val="18"/>
          <w:lang w:val="en-US"/>
        </w:rPr>
        <w:t>6</w:t>
      </w:r>
      <w:r w:rsidRPr="004D7C63">
        <w:rPr>
          <w:szCs w:val="18"/>
          <w:lang w:val="en-US"/>
        </w:rPr>
        <w:t xml:space="preserve"> WEE dimensions based on the impact of the intervention</w:t>
      </w:r>
      <w:r>
        <w:rPr>
          <w:szCs w:val="18"/>
          <w:lang w:val="en-US"/>
        </w:rPr>
        <w:t>s</w:t>
      </w:r>
      <w:r w:rsidRPr="004D7C63">
        <w:rPr>
          <w:szCs w:val="18"/>
          <w:lang w:val="en-US"/>
        </w:rPr>
        <w:t xml:space="preserve"> on women and the clear attribution from the partnership. For instance, a mechani</w:t>
      </w:r>
      <w:r>
        <w:rPr>
          <w:szCs w:val="18"/>
          <w:lang w:val="en-US"/>
        </w:rPr>
        <w:t>s</w:t>
      </w:r>
      <w:r w:rsidRPr="004D7C63">
        <w:rPr>
          <w:szCs w:val="18"/>
          <w:lang w:val="en-US"/>
        </w:rPr>
        <w:t xml:space="preserve">ation intervention provided a combine harvester service to women farmers, but targeted promotional activities toward the </w:t>
      </w:r>
      <w:r>
        <w:rPr>
          <w:szCs w:val="18"/>
          <w:lang w:val="en-US"/>
        </w:rPr>
        <w:t>m</w:t>
      </w:r>
      <w:r w:rsidRPr="004D7C63">
        <w:rPr>
          <w:szCs w:val="18"/>
          <w:lang w:val="en-US"/>
        </w:rPr>
        <w:t xml:space="preserve">achinery </w:t>
      </w:r>
      <w:r>
        <w:rPr>
          <w:szCs w:val="18"/>
          <w:lang w:val="en-US"/>
        </w:rPr>
        <w:t>s</w:t>
      </w:r>
      <w:r w:rsidRPr="004D7C63">
        <w:rPr>
          <w:szCs w:val="18"/>
          <w:lang w:val="en-US"/>
        </w:rPr>
        <w:t xml:space="preserve">ervice </w:t>
      </w:r>
      <w:r>
        <w:rPr>
          <w:szCs w:val="18"/>
          <w:lang w:val="en-US"/>
        </w:rPr>
        <w:t>p</w:t>
      </w:r>
      <w:r w:rsidRPr="004D7C63">
        <w:rPr>
          <w:szCs w:val="18"/>
          <w:lang w:val="en-US"/>
        </w:rPr>
        <w:t>rovider</w:t>
      </w:r>
      <w:r>
        <w:rPr>
          <w:szCs w:val="18"/>
          <w:lang w:val="en-US"/>
        </w:rPr>
        <w:t xml:space="preserve"> only</w:t>
      </w:r>
      <w:r w:rsidRPr="004D7C63">
        <w:rPr>
          <w:szCs w:val="18"/>
          <w:lang w:val="en-US"/>
        </w:rPr>
        <w:t>. As a result, women may experience increased access to valuable</w:t>
      </w:r>
      <w:r>
        <w:rPr>
          <w:szCs w:val="18"/>
          <w:lang w:val="en-US"/>
        </w:rPr>
        <w:t xml:space="preserve"> mechanisation</w:t>
      </w:r>
      <w:r w:rsidRPr="004D7C63">
        <w:rPr>
          <w:szCs w:val="18"/>
          <w:lang w:val="en-US"/>
        </w:rPr>
        <w:t xml:space="preserve"> services, economic advancement, and a more manageable workload, but may not necessarily experience increased access to information or knowledge.</w:t>
      </w:r>
    </w:p>
  </w:footnote>
  <w:footnote w:id="17">
    <w:p w14:paraId="2ADFF343" w14:textId="77777777" w:rsidR="00B30B11" w:rsidRPr="00606796" w:rsidRDefault="00B30B11" w:rsidP="00B30B11">
      <w:pPr>
        <w:pStyle w:val="FootnoteText"/>
        <w:rPr>
          <w:lang w:val="en-US"/>
        </w:rPr>
      </w:pPr>
      <w:r>
        <w:rPr>
          <w:rStyle w:val="FootnoteReference"/>
        </w:rPr>
        <w:footnoteRef/>
      </w:r>
      <w:r>
        <w:t xml:space="preserve"> To add context, PRISMA’s independent learning module was designed without a dedicated budget to address the frequent budget challenge for capacity building </w:t>
      </w:r>
      <w:r w:rsidRPr="0057707F">
        <w:t>—</w:t>
      </w:r>
      <w:r>
        <w:t xml:space="preserve"> thus, no allowances were provided. </w:t>
      </w:r>
      <w:r w:rsidRPr="003D4321">
        <w:t>PRISMA develop</w:t>
      </w:r>
      <w:r>
        <w:t>ed</w:t>
      </w:r>
      <w:r w:rsidRPr="003D4321">
        <w:t xml:space="preserve"> the videos and e-books used in this module in collaboration with the </w:t>
      </w:r>
      <w:r>
        <w:t>P</w:t>
      </w:r>
      <w:r w:rsidRPr="003D4321">
        <w:t xml:space="preserve">rovincial </w:t>
      </w:r>
      <w:r>
        <w:t>A</w:t>
      </w:r>
      <w:r w:rsidRPr="003D4321">
        <w:t xml:space="preserve">griculture </w:t>
      </w:r>
      <w:r>
        <w:t>and Food Security O</w:t>
      </w:r>
      <w:r w:rsidRPr="003D4321">
        <w:t xml:space="preserve">ffice and </w:t>
      </w:r>
      <w:r>
        <w:t xml:space="preserve">the </w:t>
      </w:r>
      <w:r w:rsidRPr="00276FDE">
        <w:t>Agency for Standardisation of Agriculture Instruments</w:t>
      </w:r>
      <w:r>
        <w:t xml:space="preserve"> (BPSIP).</w:t>
      </w:r>
    </w:p>
  </w:footnote>
  <w:footnote w:id="18">
    <w:p w14:paraId="6C8425EE" w14:textId="77777777" w:rsidR="00B30B11" w:rsidRPr="000D4C85" w:rsidRDefault="00B30B11" w:rsidP="00B30B11">
      <w:pPr>
        <w:pStyle w:val="FootnoteText"/>
        <w:rPr>
          <w:sz w:val="16"/>
          <w:szCs w:val="16"/>
          <w:lang w:val="en-US"/>
        </w:rPr>
      </w:pPr>
      <w:r w:rsidRPr="000D4C85">
        <w:rPr>
          <w:rStyle w:val="FootnoteReference"/>
          <w:sz w:val="16"/>
          <w:szCs w:val="16"/>
        </w:rPr>
        <w:footnoteRef/>
      </w:r>
      <w:r w:rsidRPr="000D4C85">
        <w:rPr>
          <w:sz w:val="16"/>
          <w:szCs w:val="16"/>
        </w:rPr>
        <w:t xml:space="preserve"> </w:t>
      </w:r>
      <w:r w:rsidRPr="000D4C85">
        <w:rPr>
          <w:sz w:val="16"/>
          <w:szCs w:val="16"/>
          <w:lang w:val="en-US"/>
        </w:rPr>
        <w:t xml:space="preserve">Bali, North Sulawesi, South Sulawesi, Central Kalimantan, Papua, </w:t>
      </w:r>
      <w:r>
        <w:rPr>
          <w:sz w:val="16"/>
          <w:szCs w:val="16"/>
          <w:lang w:val="en-US"/>
        </w:rPr>
        <w:t xml:space="preserve">Highland </w:t>
      </w:r>
      <w:r w:rsidRPr="000D4C85">
        <w:rPr>
          <w:sz w:val="16"/>
          <w:szCs w:val="16"/>
          <w:lang w:val="en-US"/>
        </w:rPr>
        <w:t xml:space="preserve">Papua, </w:t>
      </w:r>
      <w:r>
        <w:rPr>
          <w:sz w:val="16"/>
          <w:szCs w:val="16"/>
          <w:lang w:val="en-US"/>
        </w:rPr>
        <w:t xml:space="preserve">Central </w:t>
      </w:r>
      <w:r w:rsidRPr="000D4C85">
        <w:rPr>
          <w:sz w:val="16"/>
          <w:szCs w:val="16"/>
          <w:lang w:val="en-US"/>
        </w:rPr>
        <w:t xml:space="preserve">Papua and </w:t>
      </w:r>
      <w:r>
        <w:rPr>
          <w:sz w:val="16"/>
          <w:szCs w:val="16"/>
          <w:lang w:val="en-US"/>
        </w:rPr>
        <w:t xml:space="preserve">West </w:t>
      </w:r>
      <w:r w:rsidRPr="000D4C85">
        <w:rPr>
          <w:sz w:val="16"/>
          <w:szCs w:val="16"/>
          <w:lang w:val="en-US"/>
        </w:rPr>
        <w:t xml:space="preserve">Papua </w:t>
      </w:r>
    </w:p>
  </w:footnote>
  <w:footnote w:id="19">
    <w:p w14:paraId="4542787D" w14:textId="7CB3F605" w:rsidR="006F3334" w:rsidRPr="000B69C5" w:rsidRDefault="006F3334" w:rsidP="006F3334">
      <w:pPr>
        <w:pStyle w:val="FootnoteText"/>
        <w:rPr>
          <w:sz w:val="14"/>
          <w:szCs w:val="16"/>
          <w:lang w:val="en-AU"/>
        </w:rPr>
      </w:pPr>
      <w:r w:rsidRPr="000B69C5">
        <w:rPr>
          <w:rStyle w:val="FootnoteReference"/>
          <w:sz w:val="14"/>
          <w:szCs w:val="16"/>
          <w:lang w:val="en-AU"/>
        </w:rPr>
        <w:footnoteRef/>
      </w:r>
      <w:r w:rsidRPr="000B69C5">
        <w:rPr>
          <w:sz w:val="14"/>
          <w:szCs w:val="16"/>
          <w:lang w:val="en-AU"/>
        </w:rPr>
        <w:t xml:space="preserve"> Take</w:t>
      </w:r>
      <w:r w:rsidR="00A92017">
        <w:rPr>
          <w:sz w:val="14"/>
          <w:szCs w:val="16"/>
          <w:lang w:val="en-AU"/>
        </w:rPr>
        <w:t>,</w:t>
      </w:r>
      <w:r w:rsidRPr="000B69C5">
        <w:rPr>
          <w:sz w:val="14"/>
          <w:szCs w:val="16"/>
          <w:lang w:val="en-AU"/>
        </w:rPr>
        <w:t xml:space="preserve"> for </w:t>
      </w:r>
      <w:r w:rsidR="00A92017">
        <w:rPr>
          <w:sz w:val="14"/>
          <w:szCs w:val="16"/>
          <w:lang w:val="en-AU"/>
        </w:rPr>
        <w:t>example,</w:t>
      </w:r>
      <w:r w:rsidRPr="000B69C5">
        <w:rPr>
          <w:sz w:val="14"/>
          <w:szCs w:val="16"/>
          <w:lang w:val="en-AU"/>
        </w:rPr>
        <w:t xml:space="preserve"> the HPPI related to the beef sector. When looking at it through the lens of its support areas, the first 2 support areas have been completed while the 3rd support area is marked as ongoing (implying 60% completed and 30% ongoing). However, within the 3rd support area, PRISMA has already completed 2 of the deliverables (training for feed auditors, feed quality supervisors and training for feed companies) and is plan</w:t>
      </w:r>
      <w:r>
        <w:rPr>
          <w:sz w:val="14"/>
          <w:szCs w:val="16"/>
          <w:lang w:val="en-AU"/>
        </w:rPr>
        <w:t>ning to complete the remaining deliverable</w:t>
      </w:r>
      <w:r w:rsidRPr="000B69C5">
        <w:rPr>
          <w:sz w:val="14"/>
          <w:szCs w:val="16"/>
          <w:lang w:val="en-AU"/>
        </w:rPr>
        <w:t xml:space="preserve"> (</w:t>
      </w:r>
      <w:r>
        <w:rPr>
          <w:sz w:val="14"/>
          <w:szCs w:val="16"/>
          <w:lang w:val="en-AU"/>
        </w:rPr>
        <w:t>socialisation event</w:t>
      </w:r>
      <w:r w:rsidR="00A92017">
        <w:rPr>
          <w:sz w:val="14"/>
          <w:szCs w:val="16"/>
          <w:lang w:val="en-AU"/>
        </w:rPr>
        <w:t>s</w:t>
      </w:r>
      <w:r>
        <w:rPr>
          <w:sz w:val="14"/>
          <w:szCs w:val="16"/>
          <w:lang w:val="en-AU"/>
        </w:rPr>
        <w:t xml:space="preserve"> for </w:t>
      </w:r>
      <w:r w:rsidR="00A92017">
        <w:rPr>
          <w:sz w:val="14"/>
          <w:szCs w:val="16"/>
          <w:lang w:val="en-AU"/>
        </w:rPr>
        <w:t>the national feed standard [</w:t>
      </w:r>
      <w:r>
        <w:rPr>
          <w:sz w:val="14"/>
          <w:szCs w:val="16"/>
          <w:lang w:val="en-AU"/>
        </w:rPr>
        <w:t>SNI</w:t>
      </w:r>
      <w:r w:rsidR="00A92017">
        <w:rPr>
          <w:sz w:val="14"/>
          <w:szCs w:val="16"/>
          <w:lang w:val="en-AU"/>
        </w:rPr>
        <w:t>]</w:t>
      </w:r>
      <w:r>
        <w:rPr>
          <w:sz w:val="14"/>
          <w:szCs w:val="16"/>
          <w:lang w:val="en-AU"/>
        </w:rPr>
        <w:t xml:space="preserve"> and </w:t>
      </w:r>
      <w:r w:rsidR="00A92017" w:rsidRPr="00A92017">
        <w:rPr>
          <w:sz w:val="14"/>
          <w:szCs w:val="16"/>
          <w:lang w:val="en-AU"/>
        </w:rPr>
        <w:t>good feed manufacturing practice</w:t>
      </w:r>
      <w:r w:rsidR="00A92017">
        <w:rPr>
          <w:sz w:val="14"/>
          <w:szCs w:val="16"/>
          <w:lang w:val="en-AU"/>
        </w:rPr>
        <w:t>s</w:t>
      </w:r>
      <w:r w:rsidR="00A92017" w:rsidRPr="00A92017">
        <w:rPr>
          <w:sz w:val="14"/>
          <w:szCs w:val="16"/>
          <w:lang w:val="en-AU"/>
        </w:rPr>
        <w:t xml:space="preserve"> </w:t>
      </w:r>
      <w:r w:rsidR="00A92017">
        <w:rPr>
          <w:sz w:val="14"/>
          <w:szCs w:val="16"/>
          <w:lang w:val="en-AU"/>
        </w:rPr>
        <w:t>[</w:t>
      </w:r>
      <w:r>
        <w:rPr>
          <w:sz w:val="14"/>
          <w:szCs w:val="16"/>
          <w:lang w:val="en-AU"/>
        </w:rPr>
        <w:t>GFMP</w:t>
      </w:r>
      <w:r w:rsidR="00A92017">
        <w:rPr>
          <w:sz w:val="14"/>
          <w:szCs w:val="16"/>
          <w:lang w:val="en-AU"/>
        </w:rPr>
        <w:t>]</w:t>
      </w:r>
      <w:r>
        <w:rPr>
          <w:sz w:val="14"/>
          <w:szCs w:val="16"/>
          <w:lang w:val="en-AU"/>
        </w:rPr>
        <w:t xml:space="preserve"> video) </w:t>
      </w:r>
      <w:r w:rsidRPr="000B69C5">
        <w:rPr>
          <w:sz w:val="14"/>
          <w:szCs w:val="16"/>
          <w:lang w:val="en-AU"/>
        </w:rPr>
        <w:t>in July 2024. As a result, by organising the summary graph around deliverables</w:t>
      </w:r>
      <w:r>
        <w:rPr>
          <w:sz w:val="14"/>
          <w:szCs w:val="16"/>
          <w:lang w:val="en-AU"/>
        </w:rPr>
        <w:t>,</w:t>
      </w:r>
      <w:r w:rsidRPr="000B69C5">
        <w:rPr>
          <w:sz w:val="14"/>
          <w:szCs w:val="16"/>
          <w:lang w:val="en-AU"/>
        </w:rPr>
        <w:t xml:space="preserve"> we have a more accurate reflection of PRISMA</w:t>
      </w:r>
      <w:r>
        <w:rPr>
          <w:sz w:val="14"/>
          <w:szCs w:val="16"/>
          <w:lang w:val="en-AU"/>
        </w:rPr>
        <w:t>'s overall progress in each HPPI (beef SNI: 90</w:t>
      </w:r>
      <w:r w:rsidRPr="000B69C5">
        <w:rPr>
          <w:sz w:val="14"/>
          <w:szCs w:val="16"/>
          <w:lang w:val="en-AU"/>
        </w:rPr>
        <w:t xml:space="preserve">% </w:t>
      </w:r>
      <w:r>
        <w:rPr>
          <w:sz w:val="14"/>
          <w:szCs w:val="16"/>
          <w:lang w:val="en-AU"/>
        </w:rPr>
        <w:t>completed, 10</w:t>
      </w:r>
      <w:r w:rsidRPr="000B69C5">
        <w:rPr>
          <w:sz w:val="14"/>
          <w:szCs w:val="16"/>
          <w:lang w:val="en-AU"/>
        </w:rPr>
        <w:t>% ongoing).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01682C" w14:textId="54B61CD0" w:rsidR="00C74A84" w:rsidRPr="00C74A84" w:rsidRDefault="000E5A2E" w:rsidP="00C74A84">
    <w:pPr>
      <w:pStyle w:val="Header"/>
      <w:jc w:val="center"/>
      <w:rPr>
        <w:caps/>
        <w:color w:val="000000" w:themeColor="text1"/>
        <w:sz w:val="15"/>
        <w:szCs w:val="15"/>
      </w:rPr>
    </w:pPr>
    <w:r>
      <w:rPr>
        <w:caps/>
        <w:color w:val="000000" w:themeColor="text1"/>
        <w:sz w:val="15"/>
        <w:szCs w:val="15"/>
      </w:rPr>
      <w:t xml:space="preserve">PRISMA </w:t>
    </w:r>
    <w:r w:rsidR="00C74A84" w:rsidRPr="00C74A84">
      <w:rPr>
        <w:caps/>
        <w:color w:val="000000" w:themeColor="text1"/>
        <w:sz w:val="15"/>
        <w:szCs w:val="15"/>
      </w:rPr>
      <w:t>Progress Report and Implementation</w:t>
    </w:r>
    <w:r w:rsidR="00085D9E">
      <w:rPr>
        <w:caps/>
        <w:color w:val="000000" w:themeColor="text1"/>
        <w:sz w:val="15"/>
        <w:szCs w:val="15"/>
      </w:rPr>
      <w:t xml:space="preserve"> PLAN</w:t>
    </w:r>
  </w:p>
  <w:p w14:paraId="3B946087" w14:textId="2E060154" w:rsidR="00561F21" w:rsidRPr="009A2126" w:rsidRDefault="00C74A84" w:rsidP="00C74A84">
    <w:pPr>
      <w:pStyle w:val="Header"/>
      <w:jc w:val="center"/>
    </w:pPr>
    <w:r w:rsidRPr="00C74A84">
      <w:rPr>
        <w:caps/>
        <w:color w:val="000000" w:themeColor="text1"/>
        <w:sz w:val="15"/>
        <w:szCs w:val="15"/>
      </w:rPr>
      <w:t>Semester 1- 2024</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80"/>
      <w:gridCol w:w="3680"/>
      <w:gridCol w:w="3680"/>
    </w:tblGrid>
    <w:tr w:rsidR="225BE8F4" w14:paraId="0A97A570" w14:textId="77777777" w:rsidTr="225BE8F4">
      <w:trPr>
        <w:trHeight w:val="300"/>
      </w:trPr>
      <w:tc>
        <w:tcPr>
          <w:tcW w:w="3680" w:type="dxa"/>
        </w:tcPr>
        <w:p w14:paraId="4A4537A2" w14:textId="66F86E4C" w:rsidR="225BE8F4" w:rsidRDefault="225BE8F4" w:rsidP="225BE8F4">
          <w:pPr>
            <w:pStyle w:val="Header"/>
            <w:ind w:left="-115"/>
          </w:pPr>
        </w:p>
      </w:tc>
      <w:tc>
        <w:tcPr>
          <w:tcW w:w="3680" w:type="dxa"/>
        </w:tcPr>
        <w:p w14:paraId="653309A5" w14:textId="2D869134" w:rsidR="225BE8F4" w:rsidRDefault="225BE8F4" w:rsidP="225BE8F4">
          <w:pPr>
            <w:pStyle w:val="Header"/>
            <w:jc w:val="center"/>
          </w:pPr>
        </w:p>
      </w:tc>
      <w:tc>
        <w:tcPr>
          <w:tcW w:w="3680" w:type="dxa"/>
        </w:tcPr>
        <w:p w14:paraId="15A79747" w14:textId="49F9BB90" w:rsidR="225BE8F4" w:rsidRDefault="225BE8F4" w:rsidP="225BE8F4">
          <w:pPr>
            <w:pStyle w:val="Header"/>
            <w:ind w:right="-115"/>
            <w:jc w:val="right"/>
          </w:pPr>
        </w:p>
      </w:tc>
    </w:tr>
  </w:tbl>
  <w:p w14:paraId="757FFD8A" w14:textId="6902AECC" w:rsidR="004E6F85" w:rsidRDefault="004E6F8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80"/>
      <w:gridCol w:w="3680"/>
      <w:gridCol w:w="3680"/>
    </w:tblGrid>
    <w:tr w:rsidR="225BE8F4" w14:paraId="02811C66" w14:textId="77777777" w:rsidTr="225BE8F4">
      <w:trPr>
        <w:trHeight w:val="300"/>
      </w:trPr>
      <w:tc>
        <w:tcPr>
          <w:tcW w:w="3680" w:type="dxa"/>
        </w:tcPr>
        <w:p w14:paraId="63158293" w14:textId="26998B8E" w:rsidR="225BE8F4" w:rsidRDefault="225BE8F4" w:rsidP="225BE8F4">
          <w:pPr>
            <w:pStyle w:val="Header"/>
            <w:ind w:left="-115"/>
          </w:pPr>
        </w:p>
      </w:tc>
      <w:tc>
        <w:tcPr>
          <w:tcW w:w="3680" w:type="dxa"/>
        </w:tcPr>
        <w:p w14:paraId="21CE12CE" w14:textId="0646888D" w:rsidR="225BE8F4" w:rsidRDefault="225BE8F4" w:rsidP="225BE8F4">
          <w:pPr>
            <w:pStyle w:val="Header"/>
            <w:jc w:val="center"/>
          </w:pPr>
        </w:p>
      </w:tc>
      <w:tc>
        <w:tcPr>
          <w:tcW w:w="3680" w:type="dxa"/>
        </w:tcPr>
        <w:p w14:paraId="0CB8CC6D" w14:textId="2C9D173A" w:rsidR="225BE8F4" w:rsidRDefault="225BE8F4" w:rsidP="225BE8F4">
          <w:pPr>
            <w:pStyle w:val="Header"/>
            <w:ind w:right="-115"/>
            <w:jc w:val="right"/>
          </w:pPr>
        </w:p>
      </w:tc>
    </w:tr>
  </w:tbl>
  <w:p w14:paraId="3A19E61E" w14:textId="19E8FE77" w:rsidR="004E6F85" w:rsidRDefault="004E6F8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30F386" w14:textId="38C4B0FA" w:rsidR="009A2126" w:rsidRPr="008D142B" w:rsidRDefault="009A2126" w:rsidP="009A2126">
    <w:pPr>
      <w:pStyle w:val="Header"/>
      <w:jc w:val="center"/>
      <w:rPr>
        <w:caps/>
        <w:color w:val="000000" w:themeColor="text1"/>
        <w:sz w:val="15"/>
        <w:szCs w:val="15"/>
      </w:rPr>
    </w:pPr>
    <w:r w:rsidRPr="008D142B">
      <w:rPr>
        <w:caps/>
        <w:color w:val="000000" w:themeColor="text1"/>
        <w:sz w:val="15"/>
        <w:szCs w:val="15"/>
      </w:rPr>
      <w:t>PRISMA Progress and Annual Plan</w:t>
    </w:r>
  </w:p>
  <w:p w14:paraId="6734B64E" w14:textId="77777777" w:rsidR="00960DB2" w:rsidRDefault="00960DB2" w:rsidP="0006416B">
    <w:pPr>
      <w:spacing w:after="0" w:line="120" w:lineRule="auto"/>
    </w:pPr>
  </w:p>
  <w:p w14:paraId="559C4A5F" w14:textId="77777777" w:rsidR="00960DB2" w:rsidRDefault="00960DB2"/>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355896" w14:textId="77777777" w:rsidR="00F1128C" w:rsidRDefault="00F1128C" w:rsidP="00F1128C">
    <w:pPr>
      <w:pStyle w:val="Header"/>
    </w:pPr>
  </w:p>
  <w:p w14:paraId="303926CC" w14:textId="51163D2A" w:rsidR="008F6061" w:rsidRDefault="00940F92" w:rsidP="00F1128C">
    <w:pPr>
      <w:pStyle w:val="Header"/>
    </w:pPr>
    <w:r>
      <w:rPr>
        <w:noProof/>
        <w:lang w:eastAsia="zh-CN"/>
      </w:rPr>
      <mc:AlternateContent>
        <mc:Choice Requires="wps">
          <w:drawing>
            <wp:anchor distT="0" distB="0" distL="118745" distR="118745" simplePos="0" relativeHeight="251664896" behindDoc="1" locked="0" layoutInCell="1" allowOverlap="0" wp14:anchorId="341C6074" wp14:editId="29DCD1FC">
              <wp:simplePos x="0" y="0"/>
              <wp:positionH relativeFrom="margin">
                <wp:posOffset>0</wp:posOffset>
              </wp:positionH>
              <wp:positionV relativeFrom="page">
                <wp:posOffset>277325</wp:posOffset>
              </wp:positionV>
              <wp:extent cx="6120130" cy="269240"/>
              <wp:effectExtent l="0" t="0" r="0" b="0"/>
              <wp:wrapSquare wrapText="bothSides"/>
              <wp:docPr id="15" name="Rectangle 15"/>
              <wp:cNvGraphicFramePr/>
              <a:graphic xmlns:a="http://schemas.openxmlformats.org/drawingml/2006/main">
                <a:graphicData uri="http://schemas.microsoft.com/office/word/2010/wordprocessingShape">
                  <wps:wsp>
                    <wps:cNvSpPr/>
                    <wps:spPr>
                      <a:xfrm>
                        <a:off x="0" y="0"/>
                        <a:ext cx="6120130" cy="2692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8894A6" w14:textId="77777777" w:rsidR="00DA5606" w:rsidRPr="00C74A84" w:rsidRDefault="00DA5606" w:rsidP="00DA5606">
                          <w:pPr>
                            <w:pStyle w:val="Header"/>
                            <w:jc w:val="center"/>
                            <w:rPr>
                              <w:caps/>
                              <w:color w:val="000000" w:themeColor="text1"/>
                              <w:sz w:val="15"/>
                              <w:szCs w:val="15"/>
                            </w:rPr>
                          </w:pPr>
                          <w:r>
                            <w:rPr>
                              <w:caps/>
                              <w:color w:val="000000" w:themeColor="text1"/>
                              <w:sz w:val="15"/>
                              <w:szCs w:val="15"/>
                            </w:rPr>
                            <w:t xml:space="preserve">PRISMA </w:t>
                          </w:r>
                          <w:r w:rsidRPr="00C74A84">
                            <w:rPr>
                              <w:caps/>
                              <w:color w:val="000000" w:themeColor="text1"/>
                              <w:sz w:val="15"/>
                              <w:szCs w:val="15"/>
                            </w:rPr>
                            <w:t>Progress Report and Implementation</w:t>
                          </w:r>
                          <w:r>
                            <w:rPr>
                              <w:caps/>
                              <w:color w:val="000000" w:themeColor="text1"/>
                              <w:sz w:val="15"/>
                              <w:szCs w:val="15"/>
                            </w:rPr>
                            <w:t xml:space="preserve"> PLAN</w:t>
                          </w:r>
                        </w:p>
                        <w:p w14:paraId="3C47FBDC" w14:textId="5FBFC3A0" w:rsidR="00940F92" w:rsidRPr="00DA5606" w:rsidRDefault="00DA5606" w:rsidP="00DA5606">
                          <w:pPr>
                            <w:pStyle w:val="Header"/>
                            <w:jc w:val="center"/>
                          </w:pPr>
                          <w:r w:rsidRPr="00C74A84">
                            <w:rPr>
                              <w:caps/>
                              <w:color w:val="000000" w:themeColor="text1"/>
                              <w:sz w:val="15"/>
                              <w:szCs w:val="15"/>
                            </w:rPr>
                            <w:t>Semester 1- 2024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341C6074" id="Rectangle 15" o:spid="_x0000_s1074" style="position:absolute;margin-left:0;margin-top:21.85pt;width:481.9pt;height:21.2pt;z-index:-251651584;visibility:visible;mso-wrap-style:square;mso-width-percent:1000;mso-height-percent:27;mso-wrap-distance-left:9.35pt;mso-wrap-distance-top:0;mso-wrap-distance-right:9.35pt;mso-wrap-distance-bottom:0;mso-position-horizontal:absolute;mso-position-horizontal-relative:margin;mso-position-vertical:absolute;mso-position-vertical-relative:page;mso-width-percent:100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" o:allowoverlap="f" filled="f" stroked="f" strokeweight="2pt">
              <v:textbox style="mso-fit-shape-to-text:t">
                <w:txbxContent>
                  <w:p w14:paraId="048894A6" w14:textId="77777777" w:rsidR="00DA5606" w:rsidRPr="00C74A84" w:rsidRDefault="00DA5606" w:rsidP="00DA5606">
                    <w:pPr>
                      <w:pStyle w:val="Header"/>
                      <w:jc w:val="center"/>
                      <w:rPr>
                        <w:caps/>
                        <w:color w:val="000000" w:themeColor="text1"/>
                        <w:sz w:val="15"/>
                        <w:szCs w:val="15"/>
                      </w:rPr>
                    </w:pPr>
                    <w:r>
                      <w:rPr>
                        <w:caps/>
                        <w:color w:val="000000" w:themeColor="text1"/>
                        <w:sz w:val="15"/>
                        <w:szCs w:val="15"/>
                      </w:rPr>
                      <w:t xml:space="preserve">PRISMA </w:t>
                    </w:r>
                    <w:r w:rsidRPr="00C74A84">
                      <w:rPr>
                        <w:caps/>
                        <w:color w:val="000000" w:themeColor="text1"/>
                        <w:sz w:val="15"/>
                        <w:szCs w:val="15"/>
                      </w:rPr>
                      <w:t>Progress Report and Implementation</w:t>
                    </w:r>
                    <w:r>
                      <w:rPr>
                        <w:caps/>
                        <w:color w:val="000000" w:themeColor="text1"/>
                        <w:sz w:val="15"/>
                        <w:szCs w:val="15"/>
                      </w:rPr>
                      <w:t xml:space="preserve"> PLAN</w:t>
                    </w:r>
                  </w:p>
                  <w:p w14:paraId="3C47FBDC" w14:textId="5FBFC3A0" w:rsidR="00940F92" w:rsidRPr="00DA5606" w:rsidRDefault="00DA5606" w:rsidP="00DA5606">
                    <w:pPr>
                      <w:pStyle w:val="Header"/>
                      <w:jc w:val="center"/>
                    </w:pPr>
                    <w:r w:rsidRPr="00C74A84">
                      <w:rPr>
                        <w:caps/>
                        <w:color w:val="000000" w:themeColor="text1"/>
                        <w:sz w:val="15"/>
                        <w:szCs w:val="15"/>
                      </w:rPr>
                      <w:t>Semester 1- 2024</w:t>
                    </w:r>
                  </w:p>
                </w:txbxContent>
              </v:textbox>
              <w10:wrap type="square" anchorx="margin" anchory="page"/>
            </v:rect>
          </w:pict>
        </mc:Fallback>
      </mc:AlternateContent>
    </w:r>
  </w:p>
  <w:p w14:paraId="74252C02" w14:textId="77777777" w:rsidR="00F1128C" w:rsidRDefault="00F1128C" w:rsidP="00F1128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B7A462" w14:textId="728247E4" w:rsidR="008F6061" w:rsidRDefault="00940F92" w:rsidP="00DA5606">
    <w:pPr>
      <w:pStyle w:val="Header"/>
    </w:pPr>
    <w:r>
      <w:rPr>
        <w:noProof/>
        <w:lang w:eastAsia="zh-CN"/>
      </w:rPr>
      <mc:AlternateContent>
        <mc:Choice Requires="wps">
          <w:drawing>
            <wp:anchor distT="0" distB="0" distL="118745" distR="118745" simplePos="0" relativeHeight="251659776" behindDoc="1" locked="0" layoutInCell="1" allowOverlap="0" wp14:anchorId="673624E2" wp14:editId="0A7CF9C1">
              <wp:simplePos x="0" y="0"/>
              <wp:positionH relativeFrom="margin">
                <wp:posOffset>0</wp:posOffset>
              </wp:positionH>
              <wp:positionV relativeFrom="page">
                <wp:posOffset>295432</wp:posOffset>
              </wp:positionV>
              <wp:extent cx="6120130" cy="269240"/>
              <wp:effectExtent l="0" t="0" r="0" b="0"/>
              <wp:wrapSquare wrapText="bothSides"/>
              <wp:docPr id="14" name="Rectangle 14"/>
              <wp:cNvGraphicFramePr/>
              <a:graphic xmlns:a="http://schemas.openxmlformats.org/drawingml/2006/main">
                <a:graphicData uri="http://schemas.microsoft.com/office/word/2010/wordprocessingShape">
                  <wps:wsp>
                    <wps:cNvSpPr/>
                    <wps:spPr>
                      <a:xfrm>
                        <a:off x="0" y="0"/>
                        <a:ext cx="6120130" cy="2692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21C6D0" w14:textId="77777777" w:rsidR="00DA5606" w:rsidRPr="00C74A84" w:rsidRDefault="00DA5606" w:rsidP="00DA5606">
                          <w:pPr>
                            <w:pStyle w:val="Header"/>
                            <w:jc w:val="center"/>
                            <w:rPr>
                              <w:caps/>
                              <w:color w:val="000000" w:themeColor="text1"/>
                              <w:sz w:val="15"/>
                              <w:szCs w:val="15"/>
                            </w:rPr>
                          </w:pPr>
                          <w:r>
                            <w:rPr>
                              <w:caps/>
                              <w:color w:val="000000" w:themeColor="text1"/>
                              <w:sz w:val="15"/>
                              <w:szCs w:val="15"/>
                            </w:rPr>
                            <w:t xml:space="preserve">PRISMA </w:t>
                          </w:r>
                          <w:r w:rsidRPr="00C74A84">
                            <w:rPr>
                              <w:caps/>
                              <w:color w:val="000000" w:themeColor="text1"/>
                              <w:sz w:val="15"/>
                              <w:szCs w:val="15"/>
                            </w:rPr>
                            <w:t>Progress Report and Implementation</w:t>
                          </w:r>
                          <w:r>
                            <w:rPr>
                              <w:caps/>
                              <w:color w:val="000000" w:themeColor="text1"/>
                              <w:sz w:val="15"/>
                              <w:szCs w:val="15"/>
                            </w:rPr>
                            <w:t xml:space="preserve"> PLAN</w:t>
                          </w:r>
                        </w:p>
                        <w:p w14:paraId="61011637" w14:textId="031CA80B" w:rsidR="00940F92" w:rsidRPr="00DA5606" w:rsidRDefault="00DA5606" w:rsidP="00DA5606">
                          <w:pPr>
                            <w:pStyle w:val="Header"/>
                            <w:jc w:val="center"/>
                          </w:pPr>
                          <w:r w:rsidRPr="00C74A84">
                            <w:rPr>
                              <w:caps/>
                              <w:color w:val="000000" w:themeColor="text1"/>
                              <w:sz w:val="15"/>
                              <w:szCs w:val="15"/>
                            </w:rPr>
                            <w:t>Semester 1- 2024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673624E2" id="Rectangle 14" o:spid="_x0000_s1075" style="position:absolute;margin-left:0;margin-top:23.25pt;width:481.9pt;height:21.2pt;z-index:-251656704;visibility:visible;mso-wrap-style:square;mso-width-percent:1000;mso-height-percent:27;mso-wrap-distance-left:9.35pt;mso-wrap-distance-top:0;mso-wrap-distance-right:9.35pt;mso-wrap-distance-bottom:0;mso-position-horizontal:absolute;mso-position-horizontal-relative:margin;mso-position-vertical:absolute;mso-position-vertical-relative:page;mso-width-percent:100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" o:allowoverlap="f" filled="f" stroked="f" strokeweight="2pt">
              <v:textbox style="mso-fit-shape-to-text:t">
                <w:txbxContent>
                  <w:p w14:paraId="3121C6D0" w14:textId="77777777" w:rsidR="00DA5606" w:rsidRPr="00C74A84" w:rsidRDefault="00DA5606" w:rsidP="00DA5606">
                    <w:pPr>
                      <w:pStyle w:val="Header"/>
                      <w:jc w:val="center"/>
                      <w:rPr>
                        <w:caps/>
                        <w:color w:val="000000" w:themeColor="text1"/>
                        <w:sz w:val="15"/>
                        <w:szCs w:val="15"/>
                      </w:rPr>
                    </w:pPr>
                    <w:r>
                      <w:rPr>
                        <w:caps/>
                        <w:color w:val="000000" w:themeColor="text1"/>
                        <w:sz w:val="15"/>
                        <w:szCs w:val="15"/>
                      </w:rPr>
                      <w:t xml:space="preserve">PRISMA </w:t>
                    </w:r>
                    <w:r w:rsidRPr="00C74A84">
                      <w:rPr>
                        <w:caps/>
                        <w:color w:val="000000" w:themeColor="text1"/>
                        <w:sz w:val="15"/>
                        <w:szCs w:val="15"/>
                      </w:rPr>
                      <w:t>Progress Report and Implementation</w:t>
                    </w:r>
                    <w:r>
                      <w:rPr>
                        <w:caps/>
                        <w:color w:val="000000" w:themeColor="text1"/>
                        <w:sz w:val="15"/>
                        <w:szCs w:val="15"/>
                      </w:rPr>
                      <w:t xml:space="preserve"> PLAN</w:t>
                    </w:r>
                  </w:p>
                  <w:p w14:paraId="61011637" w14:textId="031CA80B" w:rsidR="00940F92" w:rsidRPr="00DA5606" w:rsidRDefault="00DA5606" w:rsidP="00DA5606">
                    <w:pPr>
                      <w:pStyle w:val="Header"/>
                      <w:jc w:val="center"/>
                    </w:pPr>
                    <w:r w:rsidRPr="00C74A84">
                      <w:rPr>
                        <w:caps/>
                        <w:color w:val="000000" w:themeColor="text1"/>
                        <w:sz w:val="15"/>
                        <w:szCs w:val="15"/>
                      </w:rPr>
                      <w:t>Semester 1- 2024</w:t>
                    </w:r>
                  </w:p>
                </w:txbxContent>
              </v:textbox>
              <w10:wrap type="square" anchorx="margin" anchory="page"/>
            </v:rect>
          </w:pict>
        </mc:Fallback>
      </mc:AlternateContent>
    </w:r>
  </w:p>
  <w:p w14:paraId="5E5E7E5B" w14:textId="77777777" w:rsidR="008F6061" w:rsidRDefault="008F6061"/>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5EF26F" w14:textId="0D892E13" w:rsidR="00CE20A2" w:rsidRDefault="00940F92" w:rsidP="0006416B">
    <w:pPr>
      <w:spacing w:line="120" w:lineRule="auto"/>
    </w:pPr>
    <w:r>
      <w:rPr>
        <w:noProof/>
        <w:lang w:eastAsia="zh-CN"/>
      </w:rPr>
      <mc:AlternateContent>
        <mc:Choice Requires="wps">
          <w:drawing>
            <wp:anchor distT="0" distB="0" distL="118745" distR="118745" simplePos="0" relativeHeight="251654656" behindDoc="1" locked="0" layoutInCell="1" allowOverlap="0" wp14:anchorId="62B94C91" wp14:editId="497690EB">
              <wp:simplePos x="0" y="0"/>
              <wp:positionH relativeFrom="margin">
                <wp:posOffset>-635</wp:posOffset>
              </wp:positionH>
              <wp:positionV relativeFrom="page">
                <wp:posOffset>331791</wp:posOffset>
              </wp:positionV>
              <wp:extent cx="6120130" cy="269240"/>
              <wp:effectExtent l="0" t="0" r="0" b="0"/>
              <wp:wrapSquare wrapText="bothSides"/>
              <wp:docPr id="13" name="Rectangle 13"/>
              <wp:cNvGraphicFramePr/>
              <a:graphic xmlns:a="http://schemas.openxmlformats.org/drawingml/2006/main">
                <a:graphicData uri="http://schemas.microsoft.com/office/word/2010/wordprocessingShape">
                  <wps:wsp>
                    <wps:cNvSpPr/>
                    <wps:spPr>
                      <a:xfrm>
                        <a:off x="0" y="0"/>
                        <a:ext cx="6120130" cy="2692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70FB1D" w14:textId="4EF88059" w:rsidR="00940F92" w:rsidRPr="008F6061" w:rsidRDefault="00940F92" w:rsidP="00940F92">
                          <w:pPr>
                            <w:pStyle w:val="Header"/>
                            <w:jc w:val="center"/>
                            <w:rPr>
                              <w:caps/>
                              <w:color w:val="7F7F7F"/>
                              <w:sz w:val="15"/>
                              <w:szCs w:val="15"/>
                            </w:rPr>
                          </w:pPr>
                          <w:r w:rsidRPr="008F6061">
                            <w:rPr>
                              <w:caps/>
                              <w:color w:val="7F7F7F"/>
                              <w:sz w:val="15"/>
                              <w:szCs w:val="15"/>
                            </w:rPr>
                            <w:t>PRISMA Progress and Annual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62B94C91" id="Rectangle 13" o:spid="_x0000_s1076" style="position:absolute;margin-left:-.05pt;margin-top:26.15pt;width:481.9pt;height:21.2pt;z-index:-251661824;visibility:visible;mso-wrap-style:square;mso-width-percent:1000;mso-height-percent:27;mso-wrap-distance-left:9.35pt;mso-wrap-distance-top:0;mso-wrap-distance-right:9.35pt;mso-wrap-distance-bottom:0;mso-position-horizontal:absolute;mso-position-horizontal-relative:margin;mso-position-vertical:absolute;mso-position-vertical-relative:page;mso-width-percent:100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" o:allowoverlap="f" filled="f" stroked="f" strokeweight="2pt">
              <v:textbox style="mso-fit-shape-to-text:t">
                <w:txbxContent>
                  <w:p w14:paraId="1E70FB1D" w14:textId="4EF88059" w:rsidR="00940F92" w:rsidRPr="008F6061" w:rsidRDefault="00940F92" w:rsidP="00940F92">
                    <w:pPr>
                      <w:pStyle w:val="Header"/>
                      <w:jc w:val="center"/>
                      <w:rPr>
                        <w:caps/>
                        <w:color w:val="7F7F7F"/>
                        <w:sz w:val="15"/>
                        <w:szCs w:val="15"/>
                      </w:rPr>
                    </w:pPr>
                    <w:r w:rsidRPr="008F6061">
                      <w:rPr>
                        <w:caps/>
                        <w:color w:val="7F7F7F"/>
                        <w:sz w:val="15"/>
                        <w:szCs w:val="15"/>
                      </w:rPr>
                      <w:t>PRISMA Progress and Annual Plan</w:t>
                    </w:r>
                  </w:p>
                </w:txbxContent>
              </v:textbox>
              <w10:wrap type="square" anchorx="margin" anchory="page"/>
            </v:rect>
          </w:pict>
        </mc:Fallback>
      </mc:AlternateContent>
    </w:r>
  </w:p>
  <w:p w14:paraId="16139FA4" w14:textId="77777777" w:rsidR="008F6061" w:rsidRDefault="008F6061"/>
  <w:p w14:paraId="1B2BFDF0" w14:textId="77777777" w:rsidR="008F6061" w:rsidRDefault="008F606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0162D7"/>
    <w:multiLevelType w:val="hybridMultilevel"/>
    <w:tmpl w:val="69289248"/>
    <w:lvl w:ilvl="0" w:tplc="36BA03E0">
      <w:start w:val="1"/>
      <w:numFmt w:val="decimal"/>
      <w:pStyle w:val="Figure"/>
      <w:lvlText w:val="Figure %1."/>
      <w:lvlJc w:val="left"/>
      <w:pPr>
        <w:ind w:left="2418" w:hanging="360"/>
      </w:pPr>
      <w:rPr>
        <w:rFonts w:hint="default"/>
      </w:rPr>
    </w:lvl>
    <w:lvl w:ilvl="1" w:tplc="04090019">
      <w:start w:val="1"/>
      <w:numFmt w:val="lowerLetter"/>
      <w:lvlText w:val="%2."/>
      <w:lvlJc w:val="left"/>
      <w:pPr>
        <w:ind w:left="3139" w:hanging="360"/>
      </w:pPr>
    </w:lvl>
    <w:lvl w:ilvl="2" w:tplc="0409001B" w:tentative="1">
      <w:start w:val="1"/>
      <w:numFmt w:val="lowerRoman"/>
      <w:lvlText w:val="%3."/>
      <w:lvlJc w:val="right"/>
      <w:pPr>
        <w:ind w:left="3859" w:hanging="180"/>
      </w:pPr>
    </w:lvl>
    <w:lvl w:ilvl="3" w:tplc="0409000F" w:tentative="1">
      <w:start w:val="1"/>
      <w:numFmt w:val="decimal"/>
      <w:lvlText w:val="%4."/>
      <w:lvlJc w:val="left"/>
      <w:pPr>
        <w:ind w:left="4579" w:hanging="360"/>
      </w:pPr>
    </w:lvl>
    <w:lvl w:ilvl="4" w:tplc="04090019" w:tentative="1">
      <w:start w:val="1"/>
      <w:numFmt w:val="lowerLetter"/>
      <w:lvlText w:val="%5."/>
      <w:lvlJc w:val="left"/>
      <w:pPr>
        <w:ind w:left="5299" w:hanging="360"/>
      </w:pPr>
    </w:lvl>
    <w:lvl w:ilvl="5" w:tplc="0409001B" w:tentative="1">
      <w:start w:val="1"/>
      <w:numFmt w:val="lowerRoman"/>
      <w:lvlText w:val="%6."/>
      <w:lvlJc w:val="right"/>
      <w:pPr>
        <w:ind w:left="6019" w:hanging="180"/>
      </w:pPr>
    </w:lvl>
    <w:lvl w:ilvl="6" w:tplc="0409000F" w:tentative="1">
      <w:start w:val="1"/>
      <w:numFmt w:val="decimal"/>
      <w:lvlText w:val="%7."/>
      <w:lvlJc w:val="left"/>
      <w:pPr>
        <w:ind w:left="6739" w:hanging="360"/>
      </w:pPr>
    </w:lvl>
    <w:lvl w:ilvl="7" w:tplc="04090019" w:tentative="1">
      <w:start w:val="1"/>
      <w:numFmt w:val="lowerLetter"/>
      <w:lvlText w:val="%8."/>
      <w:lvlJc w:val="left"/>
      <w:pPr>
        <w:ind w:left="7459" w:hanging="360"/>
      </w:pPr>
    </w:lvl>
    <w:lvl w:ilvl="8" w:tplc="0409001B" w:tentative="1">
      <w:start w:val="1"/>
      <w:numFmt w:val="lowerRoman"/>
      <w:lvlText w:val="%9."/>
      <w:lvlJc w:val="right"/>
      <w:pPr>
        <w:ind w:left="8179" w:hanging="180"/>
      </w:pPr>
    </w:lvl>
  </w:abstractNum>
  <w:abstractNum w:abstractNumId="1" w15:restartNumberingAfterBreak="0">
    <w:nsid w:val="0D565353"/>
    <w:multiLevelType w:val="hybridMultilevel"/>
    <w:tmpl w:val="E88AA898"/>
    <w:lvl w:ilvl="0" w:tplc="F5E4C09E">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E784970"/>
    <w:multiLevelType w:val="multilevel"/>
    <w:tmpl w:val="BEF2CB36"/>
    <w:lvl w:ilvl="0">
      <w:start w:val="1"/>
      <w:numFmt w:val="decimal"/>
      <w:lvlText w:val="%1"/>
      <w:lvlJc w:val="left"/>
      <w:pPr>
        <w:ind w:left="405" w:hanging="405"/>
      </w:pPr>
    </w:lvl>
    <w:lvl w:ilvl="1">
      <w:start w:val="1"/>
      <w:numFmt w:val="decimal"/>
      <w:lvlText w:val="%1.%2"/>
      <w:lvlJc w:val="left"/>
      <w:pPr>
        <w:ind w:left="405" w:hanging="405"/>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3" w15:restartNumberingAfterBreak="0">
    <w:nsid w:val="125F76EE"/>
    <w:multiLevelType w:val="multilevel"/>
    <w:tmpl w:val="1E34127E"/>
    <w:styleLink w:val="HeadList31"/>
    <w:lvl w:ilvl="0">
      <w:start w:val="1"/>
      <w:numFmt w:val="decimal"/>
      <w:lvlText w:val="%1."/>
      <w:lvlJc w:val="left"/>
      <w:pPr>
        <w:tabs>
          <w:tab w:val="num" w:pos="1418"/>
        </w:tabs>
        <w:ind w:left="0" w:firstLine="0"/>
      </w:pPr>
      <w:rPr>
        <w:rFonts w:asciiTheme="majorHAnsi" w:hAnsiTheme="majorHAnsi"/>
        <w:b/>
        <w:color w:val="05C3DE" w:themeColor="accent1"/>
        <w:sz w:val="60"/>
      </w:rPr>
    </w:lvl>
    <w:lvl w:ilvl="1">
      <w:start w:val="1"/>
      <w:numFmt w:val="decimal"/>
      <w:lvlText w:val="%1.%2."/>
      <w:lvlJc w:val="left"/>
      <w:pPr>
        <w:tabs>
          <w:tab w:val="num" w:pos="1418"/>
        </w:tabs>
        <w:ind w:left="0" w:firstLine="0"/>
      </w:pPr>
      <w:rPr>
        <w:rFonts w:hint="default"/>
        <w:b/>
        <w:i w:val="0"/>
      </w:rPr>
    </w:lvl>
    <w:lvl w:ilvl="2">
      <w:start w:val="1"/>
      <w:numFmt w:val="decimal"/>
      <w:lvlText w:val="%1.%2.%3."/>
      <w:lvlJc w:val="left"/>
      <w:pPr>
        <w:tabs>
          <w:tab w:val="num" w:pos="1418"/>
        </w:tabs>
        <w:ind w:left="0" w:firstLine="0"/>
      </w:pPr>
      <w:rPr>
        <w:rFonts w:hint="default"/>
        <w:b/>
        <w:i w:val="0"/>
      </w:rPr>
    </w:lvl>
    <w:lvl w:ilvl="3">
      <w:start w:val="1"/>
      <w:numFmt w:val="decimal"/>
      <w:lvlText w:val="%1.%2.%3.%4."/>
      <w:lvlJc w:val="left"/>
      <w:pPr>
        <w:tabs>
          <w:tab w:val="num" w:pos="1418"/>
        </w:tabs>
        <w:ind w:left="0" w:firstLine="0"/>
      </w:pPr>
      <w:rPr>
        <w:rFonts w:hint="default"/>
        <w:b/>
        <w:i w:val="0"/>
      </w:rPr>
    </w:lvl>
    <w:lvl w:ilvl="4">
      <w:start w:val="1"/>
      <w:numFmt w:val="decimal"/>
      <w:lvlText w:val="%1.%2.%3.%4.%5."/>
      <w:lvlJc w:val="left"/>
      <w:pPr>
        <w:tabs>
          <w:tab w:val="num" w:pos="1418"/>
        </w:tabs>
        <w:ind w:left="0" w:firstLine="0"/>
      </w:pPr>
      <w:rPr>
        <w:rFonts w:hint="default"/>
        <w:b/>
        <w:i w:val="0"/>
      </w:rPr>
    </w:lvl>
    <w:lvl w:ilvl="5">
      <w:start w:val="1"/>
      <w:numFmt w:val="decimal"/>
      <w:lvlText w:val="%1.%2.%3.%4.%5.%6."/>
      <w:lvlJc w:val="left"/>
      <w:pPr>
        <w:tabs>
          <w:tab w:val="num" w:pos="1418"/>
        </w:tabs>
        <w:ind w:left="0" w:firstLine="0"/>
      </w:pPr>
      <w:rPr>
        <w:rFonts w:hint="default"/>
        <w:b/>
        <w:i w:val="0"/>
      </w:rPr>
    </w:lvl>
    <w:lvl w:ilvl="6">
      <w:start w:val="1"/>
      <w:numFmt w:val="decimal"/>
      <w:lvlText w:val="%1.%2.%3.%4.%5.%6.%7."/>
      <w:lvlJc w:val="left"/>
      <w:pPr>
        <w:tabs>
          <w:tab w:val="num" w:pos="1418"/>
        </w:tabs>
        <w:ind w:left="0" w:firstLine="0"/>
      </w:pPr>
      <w:rPr>
        <w:rFonts w:hint="default"/>
        <w:b/>
        <w:i w:val="0"/>
      </w:rPr>
    </w:lvl>
    <w:lvl w:ilvl="7">
      <w:start w:val="1"/>
      <w:numFmt w:val="decimal"/>
      <w:lvlText w:val="%1.%2.%3.%4.%5.%6.%7.%8."/>
      <w:lvlJc w:val="left"/>
      <w:pPr>
        <w:tabs>
          <w:tab w:val="num" w:pos="1418"/>
        </w:tabs>
        <w:ind w:left="0" w:firstLine="0"/>
      </w:pPr>
      <w:rPr>
        <w:rFonts w:hint="default"/>
        <w:b/>
        <w:i w:val="0"/>
      </w:rPr>
    </w:lvl>
    <w:lvl w:ilvl="8">
      <w:start w:val="1"/>
      <w:numFmt w:val="decimal"/>
      <w:lvlText w:val="%1.%2.%3.%4.%5.%6.%7.%8.%9."/>
      <w:lvlJc w:val="left"/>
      <w:pPr>
        <w:tabs>
          <w:tab w:val="num" w:pos="1418"/>
        </w:tabs>
        <w:ind w:left="0" w:firstLine="0"/>
      </w:pPr>
      <w:rPr>
        <w:rFonts w:hint="default"/>
        <w:b/>
        <w:i w:val="0"/>
      </w:rPr>
    </w:lvl>
  </w:abstractNum>
  <w:abstractNum w:abstractNumId="4" w15:restartNumberingAfterBreak="0">
    <w:nsid w:val="14EB341E"/>
    <w:multiLevelType w:val="multilevel"/>
    <w:tmpl w:val="1CFA24B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82C11D7"/>
    <w:multiLevelType w:val="hybridMultilevel"/>
    <w:tmpl w:val="9EB6475E"/>
    <w:styleLink w:val="Style21"/>
    <w:lvl w:ilvl="0" w:tplc="4C7ECD18">
      <w:start w:val="1"/>
      <w:numFmt w:val="decimal"/>
      <w:lvlText w:val="%1"/>
      <w:lvlJc w:val="left"/>
      <w:pPr>
        <w:ind w:left="720" w:hanging="360"/>
      </w:pPr>
      <w:rPr>
        <w:rFonts w:ascii="Arial" w:hAnsi="Arial" w:hint="default"/>
        <w:b/>
        <w:i w:val="0"/>
        <w:sz w:val="3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870444F"/>
    <w:multiLevelType w:val="hybridMultilevel"/>
    <w:tmpl w:val="9EA463DC"/>
    <w:lvl w:ilvl="0" w:tplc="D9922E8E">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BBB08E6"/>
    <w:multiLevelType w:val="multilevel"/>
    <w:tmpl w:val="35E84FBA"/>
    <w:styleLink w:val="HeadList3"/>
    <w:lvl w:ilvl="0">
      <w:start w:val="1"/>
      <w:numFmt w:val="decimal"/>
      <w:lvlText w:val="%1."/>
      <w:lvlJc w:val="left"/>
      <w:pPr>
        <w:tabs>
          <w:tab w:val="num" w:pos="1418"/>
        </w:tabs>
        <w:ind w:left="0" w:firstLine="0"/>
      </w:pPr>
      <w:rPr>
        <w:rFonts w:asciiTheme="majorHAnsi" w:hAnsiTheme="majorHAnsi" w:hint="default"/>
        <w:b/>
        <w:i w:val="0"/>
        <w:color w:val="auto"/>
        <w:sz w:val="30"/>
      </w:rPr>
    </w:lvl>
    <w:lvl w:ilvl="1">
      <w:start w:val="1"/>
      <w:numFmt w:val="decimal"/>
      <w:lvlText w:val="%1.%2."/>
      <w:lvlJc w:val="left"/>
      <w:pPr>
        <w:tabs>
          <w:tab w:val="num" w:pos="1418"/>
        </w:tabs>
        <w:ind w:left="0" w:firstLine="0"/>
      </w:pPr>
      <w:rPr>
        <w:rFonts w:asciiTheme="majorHAnsi" w:hAnsiTheme="majorHAnsi" w:hint="default"/>
        <w:b/>
        <w:i w:val="0"/>
      </w:rPr>
    </w:lvl>
    <w:lvl w:ilvl="2">
      <w:start w:val="1"/>
      <w:numFmt w:val="decimal"/>
      <w:lvlText w:val="%1.%2.%3."/>
      <w:lvlJc w:val="left"/>
      <w:pPr>
        <w:tabs>
          <w:tab w:val="num" w:pos="1418"/>
        </w:tabs>
        <w:ind w:left="0" w:firstLine="0"/>
      </w:pPr>
      <w:rPr>
        <w:rFonts w:asciiTheme="majorHAnsi" w:hAnsiTheme="majorHAnsi" w:hint="default"/>
        <w:b/>
        <w:i w:val="0"/>
      </w:rPr>
    </w:lvl>
    <w:lvl w:ilvl="3">
      <w:start w:val="1"/>
      <w:numFmt w:val="decimal"/>
      <w:lvlText w:val="%1.%2.%3.%4."/>
      <w:lvlJc w:val="left"/>
      <w:pPr>
        <w:tabs>
          <w:tab w:val="num" w:pos="1418"/>
        </w:tabs>
        <w:ind w:left="0" w:firstLine="0"/>
      </w:pPr>
      <w:rPr>
        <w:rFonts w:asciiTheme="majorHAnsi" w:hAnsiTheme="majorHAnsi" w:hint="default"/>
        <w:b/>
        <w:i w:val="0"/>
      </w:rPr>
    </w:lvl>
    <w:lvl w:ilvl="4">
      <w:start w:val="1"/>
      <w:numFmt w:val="decimal"/>
      <w:lvlText w:val="%1.%2.%3.%4.%5."/>
      <w:lvlJc w:val="left"/>
      <w:pPr>
        <w:tabs>
          <w:tab w:val="num" w:pos="1418"/>
        </w:tabs>
        <w:ind w:left="0" w:firstLine="0"/>
      </w:pPr>
      <w:rPr>
        <w:rFonts w:asciiTheme="majorHAnsi" w:hAnsiTheme="majorHAnsi" w:hint="default"/>
        <w:b/>
        <w:i w:val="0"/>
      </w:rPr>
    </w:lvl>
    <w:lvl w:ilvl="5">
      <w:start w:val="1"/>
      <w:numFmt w:val="decimal"/>
      <w:lvlText w:val="%1.%2.%3.%4.%5.%6."/>
      <w:lvlJc w:val="left"/>
      <w:pPr>
        <w:tabs>
          <w:tab w:val="num" w:pos="1418"/>
        </w:tabs>
        <w:ind w:left="0" w:firstLine="0"/>
      </w:pPr>
      <w:rPr>
        <w:rFonts w:asciiTheme="majorHAnsi" w:hAnsiTheme="majorHAnsi" w:hint="default"/>
        <w:b/>
        <w:i w:val="0"/>
      </w:rPr>
    </w:lvl>
    <w:lvl w:ilvl="6">
      <w:start w:val="1"/>
      <w:numFmt w:val="decimal"/>
      <w:lvlText w:val="%1.%2.%3.%4.%5.%6.%7."/>
      <w:lvlJc w:val="left"/>
      <w:pPr>
        <w:tabs>
          <w:tab w:val="num" w:pos="1418"/>
        </w:tabs>
        <w:ind w:left="0" w:firstLine="0"/>
      </w:pPr>
      <w:rPr>
        <w:rFonts w:asciiTheme="majorHAnsi" w:hAnsiTheme="majorHAnsi" w:hint="default"/>
        <w:b/>
        <w:i w:val="0"/>
      </w:rPr>
    </w:lvl>
    <w:lvl w:ilvl="7">
      <w:start w:val="1"/>
      <w:numFmt w:val="decimal"/>
      <w:lvlText w:val="%1.%2.%3.%4.%5.%6.%7.%8."/>
      <w:lvlJc w:val="left"/>
      <w:pPr>
        <w:tabs>
          <w:tab w:val="num" w:pos="1418"/>
        </w:tabs>
        <w:ind w:left="0" w:firstLine="0"/>
      </w:pPr>
      <w:rPr>
        <w:rFonts w:asciiTheme="majorHAnsi" w:hAnsiTheme="majorHAnsi" w:hint="default"/>
        <w:b/>
        <w:i w:val="0"/>
      </w:rPr>
    </w:lvl>
    <w:lvl w:ilvl="8">
      <w:start w:val="1"/>
      <w:numFmt w:val="decimal"/>
      <w:lvlText w:val="%1.%2.%3.%4.%5.%6.%7.%8.%9."/>
      <w:lvlJc w:val="left"/>
      <w:pPr>
        <w:tabs>
          <w:tab w:val="num" w:pos="1418"/>
        </w:tabs>
        <w:ind w:left="0" w:firstLine="0"/>
      </w:pPr>
      <w:rPr>
        <w:rFonts w:asciiTheme="majorHAnsi" w:hAnsiTheme="majorHAnsi" w:hint="default"/>
        <w:b/>
        <w:i w:val="0"/>
      </w:rPr>
    </w:lvl>
  </w:abstractNum>
  <w:abstractNum w:abstractNumId="8" w15:restartNumberingAfterBreak="0">
    <w:nsid w:val="1E3923DC"/>
    <w:multiLevelType w:val="hybridMultilevel"/>
    <w:tmpl w:val="B83C8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283EA6"/>
    <w:multiLevelType w:val="hybridMultilevel"/>
    <w:tmpl w:val="E88AA898"/>
    <w:lvl w:ilvl="0" w:tplc="F5E4C09E">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23FD46F0"/>
    <w:multiLevelType w:val="hybridMultilevel"/>
    <w:tmpl w:val="3634D72C"/>
    <w:lvl w:ilvl="0" w:tplc="18DAE6B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6096EC2"/>
    <w:multiLevelType w:val="hybridMultilevel"/>
    <w:tmpl w:val="1BB65F48"/>
    <w:styleLink w:val="CurrentList1"/>
    <w:lvl w:ilvl="0" w:tplc="E0385D74">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286C008A"/>
    <w:multiLevelType w:val="hybridMultilevel"/>
    <w:tmpl w:val="B8784C72"/>
    <w:lvl w:ilvl="0" w:tplc="D9922E8E">
      <w:start w:val="1"/>
      <w:numFmt w:val="bullet"/>
      <w:lvlText w:val="‐"/>
      <w:lvlJc w:val="left"/>
      <w:pPr>
        <w:ind w:left="792" w:hanging="360"/>
      </w:pPr>
      <w:rPr>
        <w:rFonts w:ascii="Calibri" w:hAnsi="Calibri" w:hint="default"/>
      </w:rPr>
    </w:lvl>
    <w:lvl w:ilvl="1" w:tplc="08090003" w:tentative="1">
      <w:start w:val="1"/>
      <w:numFmt w:val="bullet"/>
      <w:lvlText w:val="o"/>
      <w:lvlJc w:val="left"/>
      <w:pPr>
        <w:ind w:left="1512" w:hanging="360"/>
      </w:pPr>
      <w:rPr>
        <w:rFonts w:ascii="Courier New" w:hAnsi="Courier New" w:cs="Courier New" w:hint="default"/>
      </w:rPr>
    </w:lvl>
    <w:lvl w:ilvl="2" w:tplc="08090005" w:tentative="1">
      <w:start w:val="1"/>
      <w:numFmt w:val="bullet"/>
      <w:lvlText w:val=""/>
      <w:lvlJc w:val="left"/>
      <w:pPr>
        <w:ind w:left="2232" w:hanging="360"/>
      </w:pPr>
      <w:rPr>
        <w:rFonts w:ascii="Wingdings" w:hAnsi="Wingdings" w:hint="default"/>
      </w:rPr>
    </w:lvl>
    <w:lvl w:ilvl="3" w:tplc="08090001" w:tentative="1">
      <w:start w:val="1"/>
      <w:numFmt w:val="bullet"/>
      <w:lvlText w:val=""/>
      <w:lvlJc w:val="left"/>
      <w:pPr>
        <w:ind w:left="2952" w:hanging="360"/>
      </w:pPr>
      <w:rPr>
        <w:rFonts w:ascii="Symbol" w:hAnsi="Symbol" w:hint="default"/>
      </w:rPr>
    </w:lvl>
    <w:lvl w:ilvl="4" w:tplc="08090003" w:tentative="1">
      <w:start w:val="1"/>
      <w:numFmt w:val="bullet"/>
      <w:lvlText w:val="o"/>
      <w:lvlJc w:val="left"/>
      <w:pPr>
        <w:ind w:left="3672" w:hanging="360"/>
      </w:pPr>
      <w:rPr>
        <w:rFonts w:ascii="Courier New" w:hAnsi="Courier New" w:cs="Courier New" w:hint="default"/>
      </w:rPr>
    </w:lvl>
    <w:lvl w:ilvl="5" w:tplc="08090005" w:tentative="1">
      <w:start w:val="1"/>
      <w:numFmt w:val="bullet"/>
      <w:lvlText w:val=""/>
      <w:lvlJc w:val="left"/>
      <w:pPr>
        <w:ind w:left="4392" w:hanging="360"/>
      </w:pPr>
      <w:rPr>
        <w:rFonts w:ascii="Wingdings" w:hAnsi="Wingdings" w:hint="default"/>
      </w:rPr>
    </w:lvl>
    <w:lvl w:ilvl="6" w:tplc="08090001" w:tentative="1">
      <w:start w:val="1"/>
      <w:numFmt w:val="bullet"/>
      <w:lvlText w:val=""/>
      <w:lvlJc w:val="left"/>
      <w:pPr>
        <w:ind w:left="5112" w:hanging="360"/>
      </w:pPr>
      <w:rPr>
        <w:rFonts w:ascii="Symbol" w:hAnsi="Symbol" w:hint="default"/>
      </w:rPr>
    </w:lvl>
    <w:lvl w:ilvl="7" w:tplc="08090003" w:tentative="1">
      <w:start w:val="1"/>
      <w:numFmt w:val="bullet"/>
      <w:lvlText w:val="o"/>
      <w:lvlJc w:val="left"/>
      <w:pPr>
        <w:ind w:left="5832" w:hanging="360"/>
      </w:pPr>
      <w:rPr>
        <w:rFonts w:ascii="Courier New" w:hAnsi="Courier New" w:cs="Courier New" w:hint="default"/>
      </w:rPr>
    </w:lvl>
    <w:lvl w:ilvl="8" w:tplc="08090005" w:tentative="1">
      <w:start w:val="1"/>
      <w:numFmt w:val="bullet"/>
      <w:lvlText w:val=""/>
      <w:lvlJc w:val="left"/>
      <w:pPr>
        <w:ind w:left="6552" w:hanging="360"/>
      </w:pPr>
      <w:rPr>
        <w:rFonts w:ascii="Wingdings" w:hAnsi="Wingdings" w:hint="default"/>
      </w:rPr>
    </w:lvl>
  </w:abstractNum>
  <w:abstractNum w:abstractNumId="13" w15:restartNumberingAfterBreak="0">
    <w:nsid w:val="29CA5BF8"/>
    <w:multiLevelType w:val="multilevel"/>
    <w:tmpl w:val="AEB25142"/>
    <w:styleLink w:val="HeadList2"/>
    <w:lvl w:ilvl="0">
      <w:start w:val="1"/>
      <w:numFmt w:val="decimal"/>
      <w:lvlText w:val="%1."/>
      <w:lvlJc w:val="left"/>
      <w:pPr>
        <w:tabs>
          <w:tab w:val="num" w:pos="1418"/>
        </w:tabs>
        <w:ind w:left="0" w:firstLine="0"/>
      </w:pPr>
      <w:rPr>
        <w:rFonts w:asciiTheme="majorHAnsi" w:hAnsiTheme="majorHAnsi" w:hint="default"/>
        <w:b/>
        <w:i w:val="0"/>
        <w:color w:val="auto"/>
        <w:sz w:val="48"/>
      </w:rPr>
    </w:lvl>
    <w:lvl w:ilvl="1">
      <w:start w:val="1"/>
      <w:numFmt w:val="decimal"/>
      <w:lvlText w:val="%1.%2."/>
      <w:lvlJc w:val="left"/>
      <w:pPr>
        <w:tabs>
          <w:tab w:val="num" w:pos="1418"/>
        </w:tabs>
        <w:ind w:left="0" w:firstLine="0"/>
      </w:pPr>
      <w:rPr>
        <w:rFonts w:asciiTheme="majorHAnsi" w:hAnsiTheme="majorHAnsi" w:hint="default"/>
        <w:b/>
        <w:i w:val="0"/>
      </w:rPr>
    </w:lvl>
    <w:lvl w:ilvl="2">
      <w:start w:val="1"/>
      <w:numFmt w:val="decimal"/>
      <w:lvlText w:val="%1.%2.%3."/>
      <w:lvlJc w:val="left"/>
      <w:pPr>
        <w:tabs>
          <w:tab w:val="num" w:pos="1418"/>
        </w:tabs>
        <w:ind w:left="0" w:firstLine="0"/>
      </w:pPr>
      <w:rPr>
        <w:rFonts w:asciiTheme="majorHAnsi" w:hAnsiTheme="majorHAnsi" w:hint="default"/>
        <w:b/>
        <w:i w:val="0"/>
      </w:rPr>
    </w:lvl>
    <w:lvl w:ilvl="3">
      <w:start w:val="1"/>
      <w:numFmt w:val="decimal"/>
      <w:lvlText w:val="%1.%2.%3.%4."/>
      <w:lvlJc w:val="left"/>
      <w:pPr>
        <w:tabs>
          <w:tab w:val="num" w:pos="1418"/>
        </w:tabs>
        <w:ind w:left="0" w:firstLine="0"/>
      </w:pPr>
      <w:rPr>
        <w:rFonts w:asciiTheme="majorHAnsi" w:hAnsiTheme="majorHAnsi" w:hint="default"/>
        <w:b/>
        <w:i w:val="0"/>
      </w:rPr>
    </w:lvl>
    <w:lvl w:ilvl="4">
      <w:start w:val="1"/>
      <w:numFmt w:val="decimal"/>
      <w:lvlText w:val="%1.%2.%3.%4.%5."/>
      <w:lvlJc w:val="left"/>
      <w:pPr>
        <w:tabs>
          <w:tab w:val="num" w:pos="1418"/>
        </w:tabs>
        <w:ind w:left="0" w:firstLine="0"/>
      </w:pPr>
      <w:rPr>
        <w:rFonts w:asciiTheme="majorHAnsi" w:hAnsiTheme="majorHAnsi" w:hint="default"/>
        <w:b/>
        <w:i w:val="0"/>
      </w:rPr>
    </w:lvl>
    <w:lvl w:ilvl="5">
      <w:start w:val="1"/>
      <w:numFmt w:val="decimal"/>
      <w:lvlText w:val="%1.%2.%3.%4.%5.%6."/>
      <w:lvlJc w:val="left"/>
      <w:pPr>
        <w:tabs>
          <w:tab w:val="num" w:pos="1418"/>
        </w:tabs>
        <w:ind w:left="0" w:firstLine="0"/>
      </w:pPr>
      <w:rPr>
        <w:rFonts w:asciiTheme="majorHAnsi" w:hAnsiTheme="majorHAnsi" w:hint="default"/>
        <w:b/>
        <w:i w:val="0"/>
      </w:rPr>
    </w:lvl>
    <w:lvl w:ilvl="6">
      <w:start w:val="1"/>
      <w:numFmt w:val="decimal"/>
      <w:lvlText w:val="%1.%2.%3.%4.%5.%6.%7."/>
      <w:lvlJc w:val="left"/>
      <w:pPr>
        <w:tabs>
          <w:tab w:val="num" w:pos="1418"/>
        </w:tabs>
        <w:ind w:left="0" w:firstLine="0"/>
      </w:pPr>
      <w:rPr>
        <w:rFonts w:asciiTheme="majorHAnsi" w:hAnsiTheme="majorHAnsi" w:hint="default"/>
        <w:b/>
        <w:i w:val="0"/>
      </w:rPr>
    </w:lvl>
    <w:lvl w:ilvl="7">
      <w:start w:val="1"/>
      <w:numFmt w:val="decimal"/>
      <w:lvlText w:val="%1.%2.%3.%4.%5.%6.%7.%8."/>
      <w:lvlJc w:val="left"/>
      <w:pPr>
        <w:tabs>
          <w:tab w:val="num" w:pos="1418"/>
        </w:tabs>
        <w:ind w:left="0" w:firstLine="0"/>
      </w:pPr>
      <w:rPr>
        <w:rFonts w:asciiTheme="majorHAnsi" w:hAnsiTheme="majorHAnsi" w:hint="default"/>
        <w:b/>
        <w:i w:val="0"/>
      </w:rPr>
    </w:lvl>
    <w:lvl w:ilvl="8">
      <w:start w:val="1"/>
      <w:numFmt w:val="decimal"/>
      <w:lvlText w:val="%1.%2.%3.%4.%5.%6.%7.%8.%9."/>
      <w:lvlJc w:val="left"/>
      <w:pPr>
        <w:tabs>
          <w:tab w:val="num" w:pos="1418"/>
        </w:tabs>
        <w:ind w:left="0" w:firstLine="0"/>
      </w:pPr>
      <w:rPr>
        <w:rFonts w:asciiTheme="majorHAnsi" w:hAnsiTheme="majorHAnsi" w:hint="default"/>
        <w:b/>
        <w:i w:val="0"/>
      </w:rPr>
    </w:lvl>
  </w:abstractNum>
  <w:abstractNum w:abstractNumId="14" w15:restartNumberingAfterBreak="0">
    <w:nsid w:val="2B133710"/>
    <w:multiLevelType w:val="hybridMultilevel"/>
    <w:tmpl w:val="1CB0ECAA"/>
    <w:styleLink w:val="HeadList4"/>
    <w:lvl w:ilvl="0" w:tplc="000E8B68">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C3F1864"/>
    <w:multiLevelType w:val="hybridMultilevel"/>
    <w:tmpl w:val="E61AF90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CB02A12"/>
    <w:multiLevelType w:val="hybridMultilevel"/>
    <w:tmpl w:val="E61AF906"/>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0D17B5D"/>
    <w:multiLevelType w:val="multilevel"/>
    <w:tmpl w:val="4554288C"/>
    <w:lvl w:ilvl="0">
      <w:start w:val="1"/>
      <w:numFmt w:val="decimal"/>
      <w:pStyle w:val="Heading1"/>
      <w:suff w:val="space"/>
      <w:lvlText w:val="Chapter %1"/>
      <w:lvlJc w:val="left"/>
      <w:pPr>
        <w:ind w:left="0" w:firstLine="0"/>
      </w:pPr>
    </w:lvl>
    <w:lvl w:ilvl="1">
      <w:start w:val="1"/>
      <w:numFmt w:val="none"/>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pStyle w:val="Heading8"/>
      <w:suff w:val="nothing"/>
      <w:lvlText w:val=""/>
      <w:lvlJc w:val="left"/>
      <w:pPr>
        <w:ind w:left="0" w:firstLine="0"/>
      </w:pPr>
    </w:lvl>
    <w:lvl w:ilvl="8">
      <w:start w:val="1"/>
      <w:numFmt w:val="none"/>
      <w:pStyle w:val="Heading9"/>
      <w:suff w:val="nothing"/>
      <w:lvlText w:val=""/>
      <w:lvlJc w:val="left"/>
      <w:pPr>
        <w:ind w:left="0" w:firstLine="0"/>
      </w:pPr>
    </w:lvl>
  </w:abstractNum>
  <w:abstractNum w:abstractNumId="18" w15:restartNumberingAfterBreak="0">
    <w:nsid w:val="33586BC4"/>
    <w:multiLevelType w:val="hybridMultilevel"/>
    <w:tmpl w:val="F91EA5D6"/>
    <w:lvl w:ilvl="0" w:tplc="EDD49B22">
      <w:start w:val="1"/>
      <w:numFmt w:val="lowerLetter"/>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40246283"/>
    <w:multiLevelType w:val="hybridMultilevel"/>
    <w:tmpl w:val="165AFABE"/>
    <w:lvl w:ilvl="0" w:tplc="3D485C94">
      <w:numFmt w:val="bullet"/>
      <w:lvlText w:val=""/>
      <w:lvlJc w:val="left"/>
      <w:pPr>
        <w:ind w:left="720" w:hanging="360"/>
      </w:pPr>
      <w:rPr>
        <w:rFonts w:ascii="Symbol" w:eastAsia="Times New Roman" w:hAnsi="Symbol" w:cstheme="majorHAnsi"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0" w15:restartNumberingAfterBreak="0">
    <w:nsid w:val="41482F76"/>
    <w:multiLevelType w:val="hybridMultilevel"/>
    <w:tmpl w:val="41DC199C"/>
    <w:lvl w:ilvl="0" w:tplc="F95C06F2">
      <w:start w:val="6"/>
      <w:numFmt w:val="bullet"/>
      <w:pStyle w:val="Bullet2"/>
      <w:lvlText w:val=""/>
      <w:lvlJc w:val="left"/>
      <w:pPr>
        <w:ind w:left="1080" w:hanging="360"/>
      </w:pPr>
      <w:rPr>
        <w:rFonts w:ascii="Symbol" w:eastAsia="Arial" w:hAnsi="Symbol" w:cs="Arial (TT) Regular" w:hint="default"/>
        <w:b w:val="0"/>
        <w:bCs w:val="0"/>
        <w:i w:val="0"/>
        <w:iCs w:val="0"/>
        <w:caps w:val="0"/>
        <w:smallCaps w:val="0"/>
        <w:strike w:val="0"/>
        <w:dstrike w:val="0"/>
        <w:vanish w:val="0"/>
        <w:color w:val="auto"/>
        <w:spacing w:val="0"/>
        <w:kern w:val="0"/>
        <w:position w:val="0"/>
        <w:sz w:val="18"/>
        <w:szCs w:val="18"/>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15:restartNumberingAfterBreak="0">
    <w:nsid w:val="421C62F4"/>
    <w:multiLevelType w:val="hybridMultilevel"/>
    <w:tmpl w:val="E88AA898"/>
    <w:lvl w:ilvl="0" w:tplc="F5E4C09E">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4BA24BF4"/>
    <w:multiLevelType w:val="multilevel"/>
    <w:tmpl w:val="12BC2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C3020AD"/>
    <w:multiLevelType w:val="hybridMultilevel"/>
    <w:tmpl w:val="7D488F02"/>
    <w:lvl w:ilvl="0" w:tplc="D0002BC0">
      <w:start w:val="6"/>
      <w:numFmt w:val="bullet"/>
      <w:pStyle w:val="Bullet1"/>
      <w:lvlText w:val=""/>
      <w:lvlJc w:val="left"/>
      <w:pPr>
        <w:ind w:left="720" w:hanging="360"/>
      </w:pPr>
      <w:rPr>
        <w:rFonts w:ascii="Symbol" w:eastAsia="Arial" w:hAnsi="Symbol" w:cs="Arial (TT) Regular" w:hint="default"/>
        <w:b w:val="0"/>
        <w:bCs w:val="0"/>
        <w:i w:val="0"/>
        <w:iCs w:val="0"/>
        <w:caps w:val="0"/>
        <w:smallCaps w:val="0"/>
        <w:strike w:val="0"/>
        <w:dstrike w:val="0"/>
        <w:noProof w:val="0"/>
        <w:vanish w:val="0"/>
        <w:color w:val="auto"/>
        <w:spacing w:val="0"/>
        <w:kern w:val="0"/>
        <w:position w:val="0"/>
        <w:sz w:val="18"/>
        <w:szCs w:val="1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D45223F"/>
    <w:multiLevelType w:val="hybridMultilevel"/>
    <w:tmpl w:val="E88AA898"/>
    <w:lvl w:ilvl="0" w:tplc="F5E4C09E">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4F540FEA"/>
    <w:multiLevelType w:val="hybridMultilevel"/>
    <w:tmpl w:val="BE1A9502"/>
    <w:lvl w:ilvl="0" w:tplc="FFFFFFFF">
      <w:start w:val="1"/>
      <w:numFmt w:val="bullet"/>
      <w:pStyle w:val="Tablebullet1"/>
      <w:lvlText w:val=""/>
      <w:lvlJc w:val="left"/>
      <w:pPr>
        <w:ind w:left="731" w:hanging="360"/>
      </w:pPr>
      <w:rPr>
        <w:rFonts w:ascii="Symbol" w:hAnsi="Symbol" w:hint="default"/>
      </w:rPr>
    </w:lvl>
    <w:lvl w:ilvl="1" w:tplc="08090003" w:tentative="1">
      <w:start w:val="1"/>
      <w:numFmt w:val="bullet"/>
      <w:lvlText w:val="o"/>
      <w:lvlJc w:val="left"/>
      <w:pPr>
        <w:ind w:left="1451" w:hanging="360"/>
      </w:pPr>
      <w:rPr>
        <w:rFonts w:ascii="Courier New" w:hAnsi="Courier New" w:cs="Courier New" w:hint="default"/>
      </w:rPr>
    </w:lvl>
    <w:lvl w:ilvl="2" w:tplc="08090005" w:tentative="1">
      <w:start w:val="1"/>
      <w:numFmt w:val="bullet"/>
      <w:lvlText w:val=""/>
      <w:lvlJc w:val="left"/>
      <w:pPr>
        <w:ind w:left="2171" w:hanging="360"/>
      </w:pPr>
      <w:rPr>
        <w:rFonts w:ascii="Wingdings" w:hAnsi="Wingdings" w:hint="default"/>
      </w:rPr>
    </w:lvl>
    <w:lvl w:ilvl="3" w:tplc="08090001" w:tentative="1">
      <w:start w:val="1"/>
      <w:numFmt w:val="bullet"/>
      <w:lvlText w:val=""/>
      <w:lvlJc w:val="left"/>
      <w:pPr>
        <w:ind w:left="2891" w:hanging="360"/>
      </w:pPr>
      <w:rPr>
        <w:rFonts w:ascii="Symbol" w:hAnsi="Symbol" w:hint="default"/>
      </w:rPr>
    </w:lvl>
    <w:lvl w:ilvl="4" w:tplc="08090003" w:tentative="1">
      <w:start w:val="1"/>
      <w:numFmt w:val="bullet"/>
      <w:lvlText w:val="o"/>
      <w:lvlJc w:val="left"/>
      <w:pPr>
        <w:ind w:left="3611" w:hanging="360"/>
      </w:pPr>
      <w:rPr>
        <w:rFonts w:ascii="Courier New" w:hAnsi="Courier New" w:cs="Courier New" w:hint="default"/>
      </w:rPr>
    </w:lvl>
    <w:lvl w:ilvl="5" w:tplc="08090005" w:tentative="1">
      <w:start w:val="1"/>
      <w:numFmt w:val="bullet"/>
      <w:lvlText w:val=""/>
      <w:lvlJc w:val="left"/>
      <w:pPr>
        <w:ind w:left="4331" w:hanging="360"/>
      </w:pPr>
      <w:rPr>
        <w:rFonts w:ascii="Wingdings" w:hAnsi="Wingdings" w:hint="default"/>
      </w:rPr>
    </w:lvl>
    <w:lvl w:ilvl="6" w:tplc="08090001" w:tentative="1">
      <w:start w:val="1"/>
      <w:numFmt w:val="bullet"/>
      <w:lvlText w:val=""/>
      <w:lvlJc w:val="left"/>
      <w:pPr>
        <w:ind w:left="5051" w:hanging="360"/>
      </w:pPr>
      <w:rPr>
        <w:rFonts w:ascii="Symbol" w:hAnsi="Symbol" w:hint="default"/>
      </w:rPr>
    </w:lvl>
    <w:lvl w:ilvl="7" w:tplc="08090003" w:tentative="1">
      <w:start w:val="1"/>
      <w:numFmt w:val="bullet"/>
      <w:lvlText w:val="o"/>
      <w:lvlJc w:val="left"/>
      <w:pPr>
        <w:ind w:left="5771" w:hanging="360"/>
      </w:pPr>
      <w:rPr>
        <w:rFonts w:ascii="Courier New" w:hAnsi="Courier New" w:cs="Courier New" w:hint="default"/>
      </w:rPr>
    </w:lvl>
    <w:lvl w:ilvl="8" w:tplc="08090005" w:tentative="1">
      <w:start w:val="1"/>
      <w:numFmt w:val="bullet"/>
      <w:lvlText w:val=""/>
      <w:lvlJc w:val="left"/>
      <w:pPr>
        <w:ind w:left="6491" w:hanging="360"/>
      </w:pPr>
      <w:rPr>
        <w:rFonts w:ascii="Wingdings" w:hAnsi="Wingdings" w:hint="default"/>
      </w:rPr>
    </w:lvl>
  </w:abstractNum>
  <w:abstractNum w:abstractNumId="26" w15:restartNumberingAfterBreak="0">
    <w:nsid w:val="563157B2"/>
    <w:multiLevelType w:val="multilevel"/>
    <w:tmpl w:val="87348064"/>
    <w:lvl w:ilvl="0">
      <w:start w:val="1"/>
      <w:numFmt w:val="decimal"/>
      <w:lvlText w:val="%1."/>
      <w:lvlJc w:val="left"/>
      <w:pPr>
        <w:tabs>
          <w:tab w:val="num" w:pos="0"/>
        </w:tabs>
        <w:ind w:left="0" w:firstLine="0"/>
      </w:pPr>
      <w:rPr>
        <w:rFonts w:ascii="Arial" w:hAnsi="Arial" w:hint="default"/>
        <w:b w:val="0"/>
        <w:i w:val="0"/>
        <w:color w:val="auto"/>
        <w:sz w:val="36"/>
      </w:rPr>
    </w:lvl>
    <w:lvl w:ilvl="1">
      <w:start w:val="1"/>
      <w:numFmt w:val="decimal"/>
      <w:lvlText w:val="%1.%2."/>
      <w:lvlJc w:val="left"/>
      <w:pPr>
        <w:tabs>
          <w:tab w:val="num" w:pos="0"/>
        </w:tabs>
        <w:ind w:left="0" w:firstLine="0"/>
      </w:pPr>
      <w:rPr>
        <w:rFonts w:hint="default"/>
        <w:b w:val="0"/>
        <w:i w:val="0"/>
      </w:rPr>
    </w:lvl>
    <w:lvl w:ilvl="2">
      <w:start w:val="1"/>
      <w:numFmt w:val="decimal"/>
      <w:lvlText w:val="%1.%2.%3."/>
      <w:lvlJc w:val="left"/>
      <w:pPr>
        <w:tabs>
          <w:tab w:val="num" w:pos="0"/>
        </w:tabs>
        <w:ind w:left="0" w:firstLine="0"/>
      </w:pPr>
      <w:rPr>
        <w:rFonts w:hint="default"/>
        <w:b w:val="0"/>
        <w:i w:val="0"/>
      </w:rPr>
    </w:lvl>
    <w:lvl w:ilvl="3">
      <w:start w:val="1"/>
      <w:numFmt w:val="decimal"/>
      <w:lvlText w:val="%1.%2.%3.%4"/>
      <w:lvlJc w:val="left"/>
      <w:pPr>
        <w:tabs>
          <w:tab w:val="num" w:pos="0"/>
        </w:tabs>
        <w:ind w:left="0" w:firstLine="0"/>
      </w:pPr>
      <w:rPr>
        <w:rFonts w:hint="default"/>
        <w:b w:val="0"/>
        <w:i w:val="0"/>
      </w:rPr>
    </w:lvl>
    <w:lvl w:ilvl="4">
      <w:start w:val="1"/>
      <w:numFmt w:val="decimal"/>
      <w:lvlText w:val="%1.%2.%3.%4.%5."/>
      <w:lvlJc w:val="left"/>
      <w:pPr>
        <w:tabs>
          <w:tab w:val="num" w:pos="0"/>
        </w:tabs>
        <w:ind w:left="0" w:firstLine="0"/>
      </w:pPr>
      <w:rPr>
        <w:rFonts w:hint="default"/>
        <w:b w:val="0"/>
        <w:i w:val="0"/>
      </w:rPr>
    </w:lvl>
    <w:lvl w:ilvl="5">
      <w:start w:val="1"/>
      <w:numFmt w:val="decimal"/>
      <w:lvlText w:val="%1.%2.%3.%4.%5.%6."/>
      <w:lvlJc w:val="left"/>
      <w:pPr>
        <w:tabs>
          <w:tab w:val="num" w:pos="0"/>
        </w:tabs>
        <w:ind w:left="0" w:firstLine="0"/>
      </w:pPr>
      <w:rPr>
        <w:rFonts w:hint="default"/>
        <w:b w:val="0"/>
        <w:i w:val="0"/>
      </w:rPr>
    </w:lvl>
    <w:lvl w:ilvl="6">
      <w:start w:val="1"/>
      <w:numFmt w:val="decimal"/>
      <w:lvlText w:val="%1.%2.%3.%4.%5.%6.%7."/>
      <w:lvlJc w:val="left"/>
      <w:pPr>
        <w:tabs>
          <w:tab w:val="num" w:pos="0"/>
        </w:tabs>
        <w:ind w:left="0" w:firstLine="0"/>
      </w:pPr>
      <w:rPr>
        <w:rFonts w:hint="default"/>
        <w:b w:val="0"/>
        <w:i w:val="0"/>
      </w:rPr>
    </w:lvl>
    <w:lvl w:ilvl="7">
      <w:start w:val="1"/>
      <w:numFmt w:val="decimal"/>
      <w:lvlText w:val="%1.%2.%3.%4.%5.%6.%7.%8."/>
      <w:lvlJc w:val="left"/>
      <w:pPr>
        <w:tabs>
          <w:tab w:val="num" w:pos="0"/>
        </w:tabs>
        <w:ind w:left="0" w:firstLine="0"/>
      </w:pPr>
      <w:rPr>
        <w:rFonts w:hint="default"/>
        <w:b w:val="0"/>
        <w:i w:val="0"/>
      </w:rPr>
    </w:lvl>
    <w:lvl w:ilvl="8">
      <w:start w:val="1"/>
      <w:numFmt w:val="decimal"/>
      <w:lvlText w:val="%1.%2.%3.%4.%5.%6.%7.%8.%9."/>
      <w:lvlJc w:val="left"/>
      <w:pPr>
        <w:tabs>
          <w:tab w:val="num" w:pos="0"/>
        </w:tabs>
        <w:ind w:left="0" w:firstLine="0"/>
      </w:pPr>
      <w:rPr>
        <w:rFonts w:hint="default"/>
        <w:b w:val="0"/>
        <w:i w:val="0"/>
      </w:rPr>
    </w:lvl>
  </w:abstractNum>
  <w:abstractNum w:abstractNumId="27" w15:restartNumberingAfterBreak="0">
    <w:nsid w:val="573F4354"/>
    <w:multiLevelType w:val="multilevel"/>
    <w:tmpl w:val="3F7CEA3E"/>
    <w:lvl w:ilvl="0">
      <w:start w:val="1"/>
      <w:numFmt w:val="decimal"/>
      <w:pStyle w:val="Head1"/>
      <w:lvlText w:val="Chapter %1."/>
      <w:lvlJc w:val="left"/>
      <w:pPr>
        <w:ind w:left="502" w:hanging="360"/>
      </w:pPr>
    </w:lvl>
    <w:lvl w:ilvl="1">
      <w:start w:val="1"/>
      <w:numFmt w:val="decimal"/>
      <w:pStyle w:val="Head2"/>
      <w:lvlText w:val="%1.%2."/>
      <w:lvlJc w:val="left"/>
      <w:pPr>
        <w:ind w:left="43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57995AAF"/>
    <w:multiLevelType w:val="multilevel"/>
    <w:tmpl w:val="D9088196"/>
    <w:styleLink w:val="Style2"/>
    <w:lvl w:ilvl="0">
      <w:start w:val="1"/>
      <w:numFmt w:val="decimal"/>
      <w:lvlText w:val="%1."/>
      <w:lvlJc w:val="left"/>
      <w:pPr>
        <w:tabs>
          <w:tab w:val="num" w:pos="1418"/>
        </w:tabs>
        <w:ind w:left="0" w:firstLine="0"/>
      </w:pPr>
      <w:rPr>
        <w:rFonts w:asciiTheme="majorHAnsi" w:hAnsiTheme="majorHAnsi" w:hint="default"/>
        <w:b/>
        <w:color w:val="auto"/>
        <w:sz w:val="60"/>
      </w:rPr>
    </w:lvl>
    <w:lvl w:ilvl="1">
      <w:start w:val="1"/>
      <w:numFmt w:val="decimal"/>
      <w:lvlText w:val="%1.%2."/>
      <w:lvlJc w:val="left"/>
      <w:pPr>
        <w:tabs>
          <w:tab w:val="num" w:pos="1418"/>
        </w:tabs>
        <w:ind w:left="0" w:firstLine="0"/>
      </w:pPr>
      <w:rPr>
        <w:rFonts w:hint="default"/>
        <w:b/>
        <w:i w:val="0"/>
      </w:rPr>
    </w:lvl>
    <w:lvl w:ilvl="2">
      <w:start w:val="1"/>
      <w:numFmt w:val="decimal"/>
      <w:lvlText w:val="%1.%2.%3."/>
      <w:lvlJc w:val="left"/>
      <w:pPr>
        <w:tabs>
          <w:tab w:val="num" w:pos="1418"/>
        </w:tabs>
        <w:ind w:left="0" w:firstLine="0"/>
      </w:pPr>
      <w:rPr>
        <w:rFonts w:hint="default"/>
        <w:b/>
        <w:i w:val="0"/>
      </w:rPr>
    </w:lvl>
    <w:lvl w:ilvl="3">
      <w:start w:val="1"/>
      <w:numFmt w:val="decimal"/>
      <w:lvlText w:val="%1.%2.%3.%4."/>
      <w:lvlJc w:val="left"/>
      <w:pPr>
        <w:tabs>
          <w:tab w:val="num" w:pos="1418"/>
        </w:tabs>
        <w:ind w:left="0" w:firstLine="0"/>
      </w:pPr>
      <w:rPr>
        <w:rFonts w:hint="default"/>
        <w:b/>
        <w:i w:val="0"/>
      </w:rPr>
    </w:lvl>
    <w:lvl w:ilvl="4">
      <w:start w:val="1"/>
      <w:numFmt w:val="decimal"/>
      <w:lvlText w:val="%1.%2.%3.%4.%5."/>
      <w:lvlJc w:val="left"/>
      <w:pPr>
        <w:tabs>
          <w:tab w:val="num" w:pos="1418"/>
        </w:tabs>
        <w:ind w:left="0" w:firstLine="0"/>
      </w:pPr>
      <w:rPr>
        <w:rFonts w:hint="default"/>
        <w:b/>
        <w:i w:val="0"/>
      </w:rPr>
    </w:lvl>
    <w:lvl w:ilvl="5">
      <w:start w:val="1"/>
      <w:numFmt w:val="decimal"/>
      <w:lvlText w:val="%1.%2.%3.%4.%5.%6."/>
      <w:lvlJc w:val="left"/>
      <w:pPr>
        <w:tabs>
          <w:tab w:val="num" w:pos="1418"/>
        </w:tabs>
        <w:ind w:left="0" w:firstLine="0"/>
      </w:pPr>
      <w:rPr>
        <w:rFonts w:hint="default"/>
        <w:b/>
        <w:i w:val="0"/>
      </w:rPr>
    </w:lvl>
    <w:lvl w:ilvl="6">
      <w:start w:val="1"/>
      <w:numFmt w:val="decimal"/>
      <w:lvlText w:val="%1.%2.%3.%4.%5.%6.%7."/>
      <w:lvlJc w:val="left"/>
      <w:pPr>
        <w:tabs>
          <w:tab w:val="num" w:pos="1418"/>
        </w:tabs>
        <w:ind w:left="0" w:firstLine="0"/>
      </w:pPr>
      <w:rPr>
        <w:rFonts w:hint="default"/>
        <w:b/>
        <w:i w:val="0"/>
      </w:rPr>
    </w:lvl>
    <w:lvl w:ilvl="7">
      <w:start w:val="1"/>
      <w:numFmt w:val="decimal"/>
      <w:lvlText w:val="%1.%2.%3.%4.%5.%6.%7.%8."/>
      <w:lvlJc w:val="left"/>
      <w:pPr>
        <w:tabs>
          <w:tab w:val="num" w:pos="1418"/>
        </w:tabs>
        <w:ind w:left="0" w:firstLine="0"/>
      </w:pPr>
      <w:rPr>
        <w:rFonts w:hint="default"/>
        <w:b/>
        <w:i w:val="0"/>
      </w:rPr>
    </w:lvl>
    <w:lvl w:ilvl="8">
      <w:start w:val="1"/>
      <w:numFmt w:val="decimal"/>
      <w:lvlText w:val="%1.%2.%3.%4.%5.%6.%7.%8.%9."/>
      <w:lvlJc w:val="left"/>
      <w:pPr>
        <w:tabs>
          <w:tab w:val="num" w:pos="1418"/>
        </w:tabs>
        <w:ind w:left="0" w:firstLine="0"/>
      </w:pPr>
      <w:rPr>
        <w:rFonts w:hint="default"/>
        <w:b/>
        <w:i w:val="0"/>
      </w:rPr>
    </w:lvl>
  </w:abstractNum>
  <w:abstractNum w:abstractNumId="29" w15:restartNumberingAfterBreak="0">
    <w:nsid w:val="5BE06DD4"/>
    <w:multiLevelType w:val="hybridMultilevel"/>
    <w:tmpl w:val="03A63EB4"/>
    <w:lvl w:ilvl="0" w:tplc="4ACE2E7E">
      <w:start w:val="2"/>
      <w:numFmt w:val="bullet"/>
      <w:lvlText w:val="-"/>
      <w:lvlJc w:val="left"/>
      <w:pPr>
        <w:ind w:left="720" w:hanging="360"/>
      </w:pPr>
      <w:rPr>
        <w:rFonts w:ascii="Calibri" w:eastAsia="Times New Roman" w:hAnsi="Calibri" w:cs="Calibri"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0" w15:restartNumberingAfterBreak="0">
    <w:nsid w:val="5D9F5B57"/>
    <w:multiLevelType w:val="hybridMultilevel"/>
    <w:tmpl w:val="7B001336"/>
    <w:lvl w:ilvl="0" w:tplc="60EA80CE">
      <w:start w:val="1"/>
      <w:numFmt w:val="decimal"/>
      <w:pStyle w:val="Palladium-Numbering"/>
      <w:lvlText w:val="%1"/>
      <w:lvlJc w:val="left"/>
      <w:pPr>
        <w:ind w:left="720" w:hanging="360"/>
      </w:pPr>
      <w:rPr>
        <w:rFonts w:ascii="Arial" w:hAnsi="Arial" w:hint="default"/>
        <w:b/>
        <w:i w:val="0"/>
        <w:caps w:val="0"/>
        <w:strike w:val="0"/>
        <w:dstrike w:val="0"/>
        <w:vanish w:val="0"/>
        <w:color w:val="000000" w:themeColor="text1"/>
        <w:sz w:val="22"/>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0F7248D"/>
    <w:multiLevelType w:val="hybridMultilevel"/>
    <w:tmpl w:val="E88AA898"/>
    <w:lvl w:ilvl="0" w:tplc="F5E4C09E">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65B768A4"/>
    <w:multiLevelType w:val="multilevel"/>
    <w:tmpl w:val="38C43764"/>
    <w:styleLink w:val="HeadList1"/>
    <w:lvl w:ilvl="0">
      <w:start w:val="1"/>
      <w:numFmt w:val="decimal"/>
      <w:lvlText w:val="%1."/>
      <w:lvlJc w:val="left"/>
      <w:pPr>
        <w:tabs>
          <w:tab w:val="num" w:pos="1418"/>
        </w:tabs>
        <w:ind w:left="0" w:firstLine="0"/>
      </w:pPr>
      <w:rPr>
        <w:rFonts w:asciiTheme="majorHAnsi" w:hAnsiTheme="majorHAnsi" w:hint="default"/>
        <w:b/>
        <w:i w:val="0"/>
        <w:color w:val="auto"/>
        <w:sz w:val="48"/>
      </w:rPr>
    </w:lvl>
    <w:lvl w:ilvl="1">
      <w:start w:val="1"/>
      <w:numFmt w:val="decimal"/>
      <w:lvlText w:val="%1.%2."/>
      <w:lvlJc w:val="left"/>
      <w:pPr>
        <w:tabs>
          <w:tab w:val="num" w:pos="1418"/>
        </w:tabs>
        <w:ind w:left="0" w:firstLine="0"/>
      </w:pPr>
      <w:rPr>
        <w:rFonts w:asciiTheme="majorHAnsi" w:hAnsiTheme="majorHAnsi" w:hint="default"/>
        <w:b/>
        <w:i w:val="0"/>
      </w:rPr>
    </w:lvl>
    <w:lvl w:ilvl="2">
      <w:start w:val="1"/>
      <w:numFmt w:val="decimal"/>
      <w:lvlText w:val="%1.%2.%3."/>
      <w:lvlJc w:val="left"/>
      <w:pPr>
        <w:tabs>
          <w:tab w:val="num" w:pos="1418"/>
        </w:tabs>
        <w:ind w:left="0" w:firstLine="0"/>
      </w:pPr>
      <w:rPr>
        <w:rFonts w:asciiTheme="majorHAnsi" w:hAnsiTheme="majorHAnsi" w:hint="default"/>
        <w:b/>
        <w:i w:val="0"/>
      </w:rPr>
    </w:lvl>
    <w:lvl w:ilvl="3">
      <w:start w:val="1"/>
      <w:numFmt w:val="decimal"/>
      <w:lvlText w:val="%1.%2.%3.%4."/>
      <w:lvlJc w:val="left"/>
      <w:pPr>
        <w:tabs>
          <w:tab w:val="num" w:pos="1418"/>
        </w:tabs>
        <w:ind w:left="0" w:firstLine="0"/>
      </w:pPr>
      <w:rPr>
        <w:rFonts w:asciiTheme="majorHAnsi" w:hAnsiTheme="majorHAnsi" w:hint="default"/>
        <w:b/>
        <w:i w:val="0"/>
      </w:rPr>
    </w:lvl>
    <w:lvl w:ilvl="4">
      <w:start w:val="1"/>
      <w:numFmt w:val="decimal"/>
      <w:lvlText w:val="%1.%2.%3.%4.%5."/>
      <w:lvlJc w:val="left"/>
      <w:pPr>
        <w:tabs>
          <w:tab w:val="num" w:pos="1418"/>
        </w:tabs>
        <w:ind w:left="0" w:firstLine="0"/>
      </w:pPr>
      <w:rPr>
        <w:rFonts w:asciiTheme="majorHAnsi" w:hAnsiTheme="majorHAnsi" w:hint="default"/>
        <w:b/>
        <w:i w:val="0"/>
      </w:rPr>
    </w:lvl>
    <w:lvl w:ilvl="5">
      <w:start w:val="1"/>
      <w:numFmt w:val="decimal"/>
      <w:lvlText w:val="%1.%2.%3.%4.%5.%6."/>
      <w:lvlJc w:val="left"/>
      <w:pPr>
        <w:tabs>
          <w:tab w:val="num" w:pos="1418"/>
        </w:tabs>
        <w:ind w:left="0" w:firstLine="0"/>
      </w:pPr>
      <w:rPr>
        <w:rFonts w:asciiTheme="majorHAnsi" w:hAnsiTheme="majorHAnsi" w:hint="default"/>
        <w:b/>
        <w:i w:val="0"/>
      </w:rPr>
    </w:lvl>
    <w:lvl w:ilvl="6">
      <w:start w:val="1"/>
      <w:numFmt w:val="decimal"/>
      <w:lvlText w:val="%1.%2.%3.%4.%5.%6.%7."/>
      <w:lvlJc w:val="left"/>
      <w:pPr>
        <w:tabs>
          <w:tab w:val="num" w:pos="1418"/>
        </w:tabs>
        <w:ind w:left="0" w:firstLine="0"/>
      </w:pPr>
      <w:rPr>
        <w:rFonts w:asciiTheme="majorHAnsi" w:hAnsiTheme="majorHAnsi" w:hint="default"/>
        <w:b/>
        <w:i w:val="0"/>
      </w:rPr>
    </w:lvl>
    <w:lvl w:ilvl="7">
      <w:start w:val="1"/>
      <w:numFmt w:val="decimal"/>
      <w:lvlText w:val="%1.%2.%3.%4.%5.%6.%7.%8."/>
      <w:lvlJc w:val="left"/>
      <w:pPr>
        <w:tabs>
          <w:tab w:val="num" w:pos="1418"/>
        </w:tabs>
        <w:ind w:left="0" w:firstLine="0"/>
      </w:pPr>
      <w:rPr>
        <w:rFonts w:asciiTheme="majorHAnsi" w:hAnsiTheme="majorHAnsi" w:hint="default"/>
        <w:b/>
        <w:i w:val="0"/>
      </w:rPr>
    </w:lvl>
    <w:lvl w:ilvl="8">
      <w:start w:val="1"/>
      <w:numFmt w:val="decimal"/>
      <w:lvlText w:val="%1.%2.%3.%4.%5.%6.%7.%8.%9."/>
      <w:lvlJc w:val="left"/>
      <w:pPr>
        <w:tabs>
          <w:tab w:val="num" w:pos="1418"/>
        </w:tabs>
        <w:ind w:left="0" w:firstLine="0"/>
      </w:pPr>
      <w:rPr>
        <w:rFonts w:asciiTheme="majorHAnsi" w:hAnsiTheme="majorHAnsi" w:hint="default"/>
        <w:b/>
        <w:i w:val="0"/>
      </w:rPr>
    </w:lvl>
  </w:abstractNum>
  <w:abstractNum w:abstractNumId="33" w15:restartNumberingAfterBreak="0">
    <w:nsid w:val="67224450"/>
    <w:multiLevelType w:val="hybridMultilevel"/>
    <w:tmpl w:val="F3940C8C"/>
    <w:lvl w:ilvl="0" w:tplc="B192AABA">
      <w:start w:val="1"/>
      <w:numFmt w:val="decimal"/>
      <w:lvlText w:val="%1."/>
      <w:lvlJc w:val="left"/>
      <w:pPr>
        <w:ind w:left="1020" w:hanging="360"/>
      </w:pPr>
    </w:lvl>
    <w:lvl w:ilvl="1" w:tplc="120CA402">
      <w:start w:val="1"/>
      <w:numFmt w:val="decimal"/>
      <w:lvlText w:val="%2."/>
      <w:lvlJc w:val="left"/>
      <w:pPr>
        <w:ind w:left="1020" w:hanging="360"/>
      </w:pPr>
    </w:lvl>
    <w:lvl w:ilvl="2" w:tplc="5F68982A">
      <w:start w:val="1"/>
      <w:numFmt w:val="decimal"/>
      <w:lvlText w:val="%3."/>
      <w:lvlJc w:val="left"/>
      <w:pPr>
        <w:ind w:left="1020" w:hanging="360"/>
      </w:pPr>
    </w:lvl>
    <w:lvl w:ilvl="3" w:tplc="F06C01BE">
      <w:start w:val="1"/>
      <w:numFmt w:val="decimal"/>
      <w:lvlText w:val="%4."/>
      <w:lvlJc w:val="left"/>
      <w:pPr>
        <w:ind w:left="1020" w:hanging="360"/>
      </w:pPr>
    </w:lvl>
    <w:lvl w:ilvl="4" w:tplc="27AEAA96">
      <w:start w:val="1"/>
      <w:numFmt w:val="decimal"/>
      <w:lvlText w:val="%5."/>
      <w:lvlJc w:val="left"/>
      <w:pPr>
        <w:ind w:left="1020" w:hanging="360"/>
      </w:pPr>
    </w:lvl>
    <w:lvl w:ilvl="5" w:tplc="D6D06F5A">
      <w:start w:val="1"/>
      <w:numFmt w:val="decimal"/>
      <w:lvlText w:val="%6."/>
      <w:lvlJc w:val="left"/>
      <w:pPr>
        <w:ind w:left="1020" w:hanging="360"/>
      </w:pPr>
    </w:lvl>
    <w:lvl w:ilvl="6" w:tplc="6AACAA08">
      <w:start w:val="1"/>
      <w:numFmt w:val="decimal"/>
      <w:lvlText w:val="%7."/>
      <w:lvlJc w:val="left"/>
      <w:pPr>
        <w:ind w:left="1020" w:hanging="360"/>
      </w:pPr>
    </w:lvl>
    <w:lvl w:ilvl="7" w:tplc="7E2A75F0">
      <w:start w:val="1"/>
      <w:numFmt w:val="decimal"/>
      <w:lvlText w:val="%8."/>
      <w:lvlJc w:val="left"/>
      <w:pPr>
        <w:ind w:left="1020" w:hanging="360"/>
      </w:pPr>
    </w:lvl>
    <w:lvl w:ilvl="8" w:tplc="139E09BC">
      <w:start w:val="1"/>
      <w:numFmt w:val="decimal"/>
      <w:lvlText w:val="%9."/>
      <w:lvlJc w:val="left"/>
      <w:pPr>
        <w:ind w:left="1020" w:hanging="360"/>
      </w:pPr>
    </w:lvl>
  </w:abstractNum>
  <w:abstractNum w:abstractNumId="34" w15:restartNumberingAfterBreak="0">
    <w:nsid w:val="6EA61334"/>
    <w:multiLevelType w:val="multilevel"/>
    <w:tmpl w:val="CC402E02"/>
    <w:styleLink w:val="HeadList21"/>
    <w:lvl w:ilvl="0">
      <w:start w:val="1"/>
      <w:numFmt w:val="decimal"/>
      <w:lvlText w:val="%1"/>
      <w:lvlJc w:val="left"/>
      <w:pPr>
        <w:ind w:left="720" w:hanging="360"/>
      </w:pPr>
      <w:rPr>
        <w:rFonts w:ascii="Arial" w:hAnsi="Arial" w:hint="default"/>
        <w:b/>
        <w:i w:val="0"/>
        <w:caps w:val="0"/>
        <w:strike w:val="0"/>
        <w:dstrike w:val="0"/>
        <w:vanish w:val="0"/>
        <w:color w:val="000000" w:themeColor="text1"/>
        <w:sz w:val="48"/>
        <w:vertAlign w:val="baseline"/>
      </w:rPr>
    </w:lvl>
    <w:lvl w:ilvl="1">
      <w:start w:val="1"/>
      <w:numFmt w:val="decimal"/>
      <w:isLgl/>
      <w:lvlText w:val="%1.%2"/>
      <w:lvlJc w:val="left"/>
      <w:pPr>
        <w:ind w:left="1440" w:hanging="1080"/>
      </w:pPr>
      <w:rPr>
        <w:rFonts w:hint="default"/>
      </w:rPr>
    </w:lvl>
    <w:lvl w:ilvl="2">
      <w:start w:val="1"/>
      <w:numFmt w:val="decimal"/>
      <w:isLgl/>
      <w:lvlText w:val="%1.%2.%3"/>
      <w:lvlJc w:val="left"/>
      <w:pPr>
        <w:ind w:left="1800" w:hanging="1440"/>
      </w:pPr>
      <w:rPr>
        <w:rFonts w:hint="default"/>
      </w:rPr>
    </w:lvl>
    <w:lvl w:ilvl="3">
      <w:start w:val="1"/>
      <w:numFmt w:val="decimal"/>
      <w:isLgl/>
      <w:lvlText w:val="%1.%2.%3.%4"/>
      <w:lvlJc w:val="left"/>
      <w:pPr>
        <w:ind w:left="2520" w:hanging="2160"/>
      </w:pPr>
      <w:rPr>
        <w:rFonts w:hint="default"/>
      </w:rPr>
    </w:lvl>
    <w:lvl w:ilvl="4">
      <w:start w:val="1"/>
      <w:numFmt w:val="decimal"/>
      <w:isLgl/>
      <w:lvlText w:val="%1.%2.%3.%4.%5"/>
      <w:lvlJc w:val="left"/>
      <w:pPr>
        <w:ind w:left="2880" w:hanging="2520"/>
      </w:pPr>
      <w:rPr>
        <w:rFonts w:hint="default"/>
      </w:rPr>
    </w:lvl>
    <w:lvl w:ilvl="5">
      <w:start w:val="1"/>
      <w:numFmt w:val="decimal"/>
      <w:isLgl/>
      <w:lvlText w:val="%1.%2.%3.%4.%5.%6"/>
      <w:lvlJc w:val="left"/>
      <w:pPr>
        <w:ind w:left="3240" w:hanging="2880"/>
      </w:pPr>
      <w:rPr>
        <w:rFonts w:hint="default"/>
      </w:rPr>
    </w:lvl>
    <w:lvl w:ilvl="6">
      <w:start w:val="1"/>
      <w:numFmt w:val="decimal"/>
      <w:isLgl/>
      <w:lvlText w:val="%1.%2.%3.%4.%5.%6.%7"/>
      <w:lvlJc w:val="left"/>
      <w:pPr>
        <w:ind w:left="3960" w:hanging="3600"/>
      </w:pPr>
      <w:rPr>
        <w:rFonts w:hint="default"/>
      </w:rPr>
    </w:lvl>
    <w:lvl w:ilvl="7">
      <w:start w:val="1"/>
      <w:numFmt w:val="decimal"/>
      <w:isLgl/>
      <w:lvlText w:val="%1.%2.%3.%4.%5.%6.%7.%8"/>
      <w:lvlJc w:val="left"/>
      <w:pPr>
        <w:ind w:left="4320" w:hanging="3960"/>
      </w:pPr>
      <w:rPr>
        <w:rFonts w:hint="default"/>
      </w:rPr>
    </w:lvl>
    <w:lvl w:ilvl="8">
      <w:start w:val="1"/>
      <w:numFmt w:val="decimal"/>
      <w:isLgl/>
      <w:lvlText w:val="%1.%2.%3.%4.%5.%6.%7.%8.%9"/>
      <w:lvlJc w:val="left"/>
      <w:pPr>
        <w:ind w:left="5040" w:hanging="4680"/>
      </w:pPr>
      <w:rPr>
        <w:rFonts w:hint="default"/>
      </w:rPr>
    </w:lvl>
  </w:abstractNum>
  <w:abstractNum w:abstractNumId="35" w15:restartNumberingAfterBreak="0">
    <w:nsid w:val="74FE7F5C"/>
    <w:multiLevelType w:val="hybridMultilevel"/>
    <w:tmpl w:val="A26237E4"/>
    <w:lvl w:ilvl="0" w:tplc="A538C2AA">
      <w:numFmt w:val="bullet"/>
      <w:lvlText w:val=""/>
      <w:lvlJc w:val="left"/>
      <w:pPr>
        <w:ind w:left="720" w:hanging="360"/>
      </w:pPr>
      <w:rPr>
        <w:rFonts w:ascii="Symbol" w:eastAsia="Times New Roman" w:hAnsi="Symbol" w:cstheme="majorHAnsi"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6" w15:restartNumberingAfterBreak="0">
    <w:nsid w:val="793835C1"/>
    <w:multiLevelType w:val="hybridMultilevel"/>
    <w:tmpl w:val="CA744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B8331F8"/>
    <w:multiLevelType w:val="hybridMultilevel"/>
    <w:tmpl w:val="6BC49F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D1E3906"/>
    <w:multiLevelType w:val="multilevel"/>
    <w:tmpl w:val="0CF216C4"/>
    <w:lvl w:ilvl="0">
      <w:start w:val="1"/>
      <w:numFmt w:val="decimal"/>
      <w:pStyle w:val="Palladium-FeatureFigure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093012509">
    <w:abstractNumId w:val="23"/>
  </w:num>
  <w:num w:numId="2" w16cid:durableId="324670400">
    <w:abstractNumId w:val="20"/>
  </w:num>
  <w:num w:numId="3" w16cid:durableId="927537344">
    <w:abstractNumId w:val="30"/>
  </w:num>
  <w:num w:numId="4" w16cid:durableId="1737431826">
    <w:abstractNumId w:val="38"/>
  </w:num>
  <w:num w:numId="5" w16cid:durableId="1069423645">
    <w:abstractNumId w:val="13"/>
  </w:num>
  <w:num w:numId="6" w16cid:durableId="1880242091">
    <w:abstractNumId w:val="28"/>
  </w:num>
  <w:num w:numId="7" w16cid:durableId="312150206">
    <w:abstractNumId w:val="32"/>
  </w:num>
  <w:num w:numId="8" w16cid:durableId="831332531">
    <w:abstractNumId w:val="7"/>
  </w:num>
  <w:num w:numId="9" w16cid:durableId="1992517338">
    <w:abstractNumId w:val="16"/>
  </w:num>
  <w:num w:numId="10" w16cid:durableId="1407336127">
    <w:abstractNumId w:val="17"/>
  </w:num>
  <w:num w:numId="11" w16cid:durableId="1527210955">
    <w:abstractNumId w:val="27"/>
  </w:num>
  <w:num w:numId="12" w16cid:durableId="424032976">
    <w:abstractNumId w:val="8"/>
  </w:num>
  <w:num w:numId="13" w16cid:durableId="2111588062">
    <w:abstractNumId w:val="25"/>
  </w:num>
  <w:num w:numId="14" w16cid:durableId="773861453">
    <w:abstractNumId w:val="11"/>
    <w:lvlOverride w:ilvl="0">
      <w:lvl w:ilvl="0" w:tplc="E0385D74">
        <w:start w:val="1"/>
        <w:numFmt w:val="decimal"/>
        <w:lvlText w:val="%1."/>
        <w:lvlJc w:val="left"/>
        <w:pPr>
          <w:ind w:left="720" w:hanging="360"/>
        </w:pPr>
        <w:rPr>
          <w:color w:val="auto"/>
        </w:rPr>
      </w:lvl>
    </w:lvlOverride>
  </w:num>
  <w:num w:numId="15" w16cid:durableId="1835535043">
    <w:abstractNumId w:val="14"/>
  </w:num>
  <w:num w:numId="16" w16cid:durableId="639574502">
    <w:abstractNumId w:val="0"/>
  </w:num>
  <w:num w:numId="17" w16cid:durableId="1808088136">
    <w:abstractNumId w:val="22"/>
  </w:num>
  <w:num w:numId="18" w16cid:durableId="1991788589">
    <w:abstractNumId w:val="12"/>
  </w:num>
  <w:num w:numId="19" w16cid:durableId="361516514">
    <w:abstractNumId w:val="24"/>
  </w:num>
  <w:num w:numId="20" w16cid:durableId="171068358">
    <w:abstractNumId w:val="18"/>
  </w:num>
  <w:num w:numId="21" w16cid:durableId="1533574479">
    <w:abstractNumId w:val="6"/>
  </w:num>
  <w:num w:numId="22" w16cid:durableId="681861989">
    <w:abstractNumId w:val="31"/>
  </w:num>
  <w:num w:numId="23" w16cid:durableId="1554808788">
    <w:abstractNumId w:val="21"/>
  </w:num>
  <w:num w:numId="24" w16cid:durableId="622007125">
    <w:abstractNumId w:val="9"/>
  </w:num>
  <w:num w:numId="25" w16cid:durableId="850097847">
    <w:abstractNumId w:val="1"/>
  </w:num>
  <w:num w:numId="26" w16cid:durableId="611014676">
    <w:abstractNumId w:val="29"/>
  </w:num>
  <w:num w:numId="27" w16cid:durableId="647173282">
    <w:abstractNumId w:val="10"/>
  </w:num>
  <w:num w:numId="28" w16cid:durableId="1300190872">
    <w:abstractNumId w:val="15"/>
  </w:num>
  <w:num w:numId="29" w16cid:durableId="464738043">
    <w:abstractNumId w:val="11"/>
  </w:num>
  <w:num w:numId="30" w16cid:durableId="2067753722">
    <w:abstractNumId w:val="33"/>
  </w:num>
  <w:num w:numId="31" w16cid:durableId="423958639">
    <w:abstractNumId w:val="19"/>
  </w:num>
  <w:num w:numId="32" w16cid:durableId="982656354">
    <w:abstractNumId w:val="35"/>
  </w:num>
  <w:num w:numId="33" w16cid:durableId="1951936546">
    <w:abstractNumId w:val="34"/>
  </w:num>
  <w:num w:numId="34" w16cid:durableId="952513415">
    <w:abstractNumId w:val="5"/>
  </w:num>
  <w:num w:numId="35" w16cid:durableId="2056076141">
    <w:abstractNumId w:val="3"/>
  </w:num>
  <w:num w:numId="36" w16cid:durableId="1991247340">
    <w:abstractNumId w:val="26"/>
  </w:num>
  <w:num w:numId="37" w16cid:durableId="1347829992">
    <w:abstractNumId w:val="4"/>
  </w:num>
  <w:num w:numId="38" w16cid:durableId="2075812899">
    <w:abstractNumId w:val="0"/>
    <w:lvlOverride w:ilvl="0">
      <w:lvl w:ilvl="0" w:tplc="36BA03E0">
        <w:start w:val="1"/>
        <w:numFmt w:val="decimal"/>
        <w:pStyle w:val="Figure"/>
        <w:lvlText w:val="Figure %1."/>
        <w:lvlJc w:val="left"/>
        <w:pPr>
          <w:ind w:left="1068" w:hanging="360"/>
        </w:pPr>
        <w:rPr>
          <w:rFonts w:hint="default"/>
          <w:b w:val="0"/>
          <w:bCs w:val="0"/>
        </w:rPr>
      </w:lvl>
    </w:lvlOverride>
  </w:num>
  <w:num w:numId="39" w16cid:durableId="301621133">
    <w:abstractNumId w:val="36"/>
  </w:num>
  <w:num w:numId="40" w16cid:durableId="779181665">
    <w:abstractNumId w:val="37"/>
  </w:num>
  <w:num w:numId="41" w16cid:durableId="162773602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1357609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AYCMyMTC2MLU0sDI0sTcyUdpeDU4uLM/DyQAhOTWgDad+ayLQAAAA=="/>
  </w:docVars>
  <w:rsids>
    <w:rsidRoot w:val="000C5CD7"/>
    <w:rsid w:val="0000020B"/>
    <w:rsid w:val="0000025F"/>
    <w:rsid w:val="0000033A"/>
    <w:rsid w:val="0000061C"/>
    <w:rsid w:val="000006FF"/>
    <w:rsid w:val="0000074D"/>
    <w:rsid w:val="00000898"/>
    <w:rsid w:val="00000917"/>
    <w:rsid w:val="0000095B"/>
    <w:rsid w:val="00000A81"/>
    <w:rsid w:val="00000BF2"/>
    <w:rsid w:val="00000C48"/>
    <w:rsid w:val="0000111E"/>
    <w:rsid w:val="00001471"/>
    <w:rsid w:val="0000164B"/>
    <w:rsid w:val="0000191F"/>
    <w:rsid w:val="00001996"/>
    <w:rsid w:val="00001B2C"/>
    <w:rsid w:val="00001B3B"/>
    <w:rsid w:val="00001D3B"/>
    <w:rsid w:val="00001DED"/>
    <w:rsid w:val="000020AE"/>
    <w:rsid w:val="000020C8"/>
    <w:rsid w:val="00002258"/>
    <w:rsid w:val="000022DF"/>
    <w:rsid w:val="00002473"/>
    <w:rsid w:val="000024E4"/>
    <w:rsid w:val="00002574"/>
    <w:rsid w:val="00002671"/>
    <w:rsid w:val="00002876"/>
    <w:rsid w:val="000029FB"/>
    <w:rsid w:val="00002B71"/>
    <w:rsid w:val="00002C95"/>
    <w:rsid w:val="000031F5"/>
    <w:rsid w:val="000033A8"/>
    <w:rsid w:val="000033F3"/>
    <w:rsid w:val="0000358E"/>
    <w:rsid w:val="00003791"/>
    <w:rsid w:val="00003837"/>
    <w:rsid w:val="0000392D"/>
    <w:rsid w:val="00003C28"/>
    <w:rsid w:val="00003C2D"/>
    <w:rsid w:val="00003CC1"/>
    <w:rsid w:val="00003D52"/>
    <w:rsid w:val="00003D86"/>
    <w:rsid w:val="00003DB3"/>
    <w:rsid w:val="00003F2C"/>
    <w:rsid w:val="00004032"/>
    <w:rsid w:val="00004033"/>
    <w:rsid w:val="000040A4"/>
    <w:rsid w:val="00004129"/>
    <w:rsid w:val="00004250"/>
    <w:rsid w:val="000042FA"/>
    <w:rsid w:val="0000432E"/>
    <w:rsid w:val="0000437D"/>
    <w:rsid w:val="00004384"/>
    <w:rsid w:val="0000461A"/>
    <w:rsid w:val="0000479E"/>
    <w:rsid w:val="000048DE"/>
    <w:rsid w:val="0000494C"/>
    <w:rsid w:val="00004B30"/>
    <w:rsid w:val="00004C0B"/>
    <w:rsid w:val="000053A2"/>
    <w:rsid w:val="00005600"/>
    <w:rsid w:val="0000560E"/>
    <w:rsid w:val="0000567C"/>
    <w:rsid w:val="00005887"/>
    <w:rsid w:val="00005900"/>
    <w:rsid w:val="00005986"/>
    <w:rsid w:val="00005D6E"/>
    <w:rsid w:val="00005DCE"/>
    <w:rsid w:val="00005E3F"/>
    <w:rsid w:val="00005ECE"/>
    <w:rsid w:val="00005F98"/>
    <w:rsid w:val="000060C5"/>
    <w:rsid w:val="0000613D"/>
    <w:rsid w:val="000063F4"/>
    <w:rsid w:val="000064C5"/>
    <w:rsid w:val="000066C1"/>
    <w:rsid w:val="00006AA7"/>
    <w:rsid w:val="00006ABD"/>
    <w:rsid w:val="00006B87"/>
    <w:rsid w:val="00006C5C"/>
    <w:rsid w:val="000071F7"/>
    <w:rsid w:val="0000736B"/>
    <w:rsid w:val="00007545"/>
    <w:rsid w:val="0000778A"/>
    <w:rsid w:val="000077D5"/>
    <w:rsid w:val="0000793C"/>
    <w:rsid w:val="0000794F"/>
    <w:rsid w:val="00007CB0"/>
    <w:rsid w:val="00007EFA"/>
    <w:rsid w:val="00010222"/>
    <w:rsid w:val="00010367"/>
    <w:rsid w:val="0001045C"/>
    <w:rsid w:val="0001047D"/>
    <w:rsid w:val="000105E5"/>
    <w:rsid w:val="00010BE2"/>
    <w:rsid w:val="00010EE4"/>
    <w:rsid w:val="000112E1"/>
    <w:rsid w:val="00011462"/>
    <w:rsid w:val="0001146F"/>
    <w:rsid w:val="000116DE"/>
    <w:rsid w:val="000116F0"/>
    <w:rsid w:val="00011D20"/>
    <w:rsid w:val="00011DAD"/>
    <w:rsid w:val="00011E1C"/>
    <w:rsid w:val="0001230D"/>
    <w:rsid w:val="0001232C"/>
    <w:rsid w:val="000124AE"/>
    <w:rsid w:val="00012917"/>
    <w:rsid w:val="00012A71"/>
    <w:rsid w:val="00012AF9"/>
    <w:rsid w:val="00012D28"/>
    <w:rsid w:val="0001314A"/>
    <w:rsid w:val="000131C1"/>
    <w:rsid w:val="000135F6"/>
    <w:rsid w:val="00013763"/>
    <w:rsid w:val="00013A97"/>
    <w:rsid w:val="00013B0A"/>
    <w:rsid w:val="00013B6E"/>
    <w:rsid w:val="00013E65"/>
    <w:rsid w:val="00013F06"/>
    <w:rsid w:val="0001408A"/>
    <w:rsid w:val="00014127"/>
    <w:rsid w:val="0001417F"/>
    <w:rsid w:val="000141D7"/>
    <w:rsid w:val="00014281"/>
    <w:rsid w:val="000143CD"/>
    <w:rsid w:val="00014A13"/>
    <w:rsid w:val="00014B6F"/>
    <w:rsid w:val="00014BF4"/>
    <w:rsid w:val="00014C71"/>
    <w:rsid w:val="00014CAB"/>
    <w:rsid w:val="00014D12"/>
    <w:rsid w:val="00015373"/>
    <w:rsid w:val="00015434"/>
    <w:rsid w:val="0001559F"/>
    <w:rsid w:val="0001570F"/>
    <w:rsid w:val="00015728"/>
    <w:rsid w:val="0001573A"/>
    <w:rsid w:val="000159E3"/>
    <w:rsid w:val="00015AA2"/>
    <w:rsid w:val="00015B17"/>
    <w:rsid w:val="00015CD9"/>
    <w:rsid w:val="00015DA6"/>
    <w:rsid w:val="00015F2F"/>
    <w:rsid w:val="00015F67"/>
    <w:rsid w:val="00016012"/>
    <w:rsid w:val="000160E2"/>
    <w:rsid w:val="000163A6"/>
    <w:rsid w:val="000164B2"/>
    <w:rsid w:val="00016501"/>
    <w:rsid w:val="00016532"/>
    <w:rsid w:val="0001656E"/>
    <w:rsid w:val="00016848"/>
    <w:rsid w:val="000168CD"/>
    <w:rsid w:val="000169A3"/>
    <w:rsid w:val="00016A0B"/>
    <w:rsid w:val="00016B45"/>
    <w:rsid w:val="00016C05"/>
    <w:rsid w:val="00016EC4"/>
    <w:rsid w:val="00017347"/>
    <w:rsid w:val="0001746E"/>
    <w:rsid w:val="00017522"/>
    <w:rsid w:val="000175EF"/>
    <w:rsid w:val="00017656"/>
    <w:rsid w:val="0001799A"/>
    <w:rsid w:val="00017A37"/>
    <w:rsid w:val="00017A5A"/>
    <w:rsid w:val="00017C2E"/>
    <w:rsid w:val="00017D82"/>
    <w:rsid w:val="00017EF9"/>
    <w:rsid w:val="00017FAC"/>
    <w:rsid w:val="00017FC3"/>
    <w:rsid w:val="00020028"/>
    <w:rsid w:val="0002048D"/>
    <w:rsid w:val="00020534"/>
    <w:rsid w:val="0002053B"/>
    <w:rsid w:val="00020659"/>
    <w:rsid w:val="000206BE"/>
    <w:rsid w:val="00020891"/>
    <w:rsid w:val="000208EC"/>
    <w:rsid w:val="00020948"/>
    <w:rsid w:val="00020975"/>
    <w:rsid w:val="00020ABB"/>
    <w:rsid w:val="00020B2C"/>
    <w:rsid w:val="00020B5C"/>
    <w:rsid w:val="00020C67"/>
    <w:rsid w:val="00020CA2"/>
    <w:rsid w:val="00020CA9"/>
    <w:rsid w:val="00020EF9"/>
    <w:rsid w:val="00020F4A"/>
    <w:rsid w:val="00020FB7"/>
    <w:rsid w:val="00021549"/>
    <w:rsid w:val="00021B5F"/>
    <w:rsid w:val="00021CEC"/>
    <w:rsid w:val="00022307"/>
    <w:rsid w:val="000225D8"/>
    <w:rsid w:val="00022641"/>
    <w:rsid w:val="0002279D"/>
    <w:rsid w:val="00022838"/>
    <w:rsid w:val="00022B20"/>
    <w:rsid w:val="00022B2F"/>
    <w:rsid w:val="00022C56"/>
    <w:rsid w:val="00022C88"/>
    <w:rsid w:val="000230B0"/>
    <w:rsid w:val="00023148"/>
    <w:rsid w:val="00023192"/>
    <w:rsid w:val="00023362"/>
    <w:rsid w:val="000233E8"/>
    <w:rsid w:val="00023584"/>
    <w:rsid w:val="000238BF"/>
    <w:rsid w:val="00023917"/>
    <w:rsid w:val="000239CF"/>
    <w:rsid w:val="00023B87"/>
    <w:rsid w:val="00023BE0"/>
    <w:rsid w:val="00023C1B"/>
    <w:rsid w:val="00023D74"/>
    <w:rsid w:val="00023E20"/>
    <w:rsid w:val="00023F3E"/>
    <w:rsid w:val="00024018"/>
    <w:rsid w:val="00024193"/>
    <w:rsid w:val="000242C9"/>
    <w:rsid w:val="000244A6"/>
    <w:rsid w:val="000244F9"/>
    <w:rsid w:val="0002454D"/>
    <w:rsid w:val="000245D3"/>
    <w:rsid w:val="00024863"/>
    <w:rsid w:val="000248B7"/>
    <w:rsid w:val="000248DC"/>
    <w:rsid w:val="00024A0B"/>
    <w:rsid w:val="00024A7E"/>
    <w:rsid w:val="00024AFF"/>
    <w:rsid w:val="00024B89"/>
    <w:rsid w:val="00024D4A"/>
    <w:rsid w:val="0002528B"/>
    <w:rsid w:val="0002555A"/>
    <w:rsid w:val="00025571"/>
    <w:rsid w:val="000257AB"/>
    <w:rsid w:val="0002582D"/>
    <w:rsid w:val="00025BA9"/>
    <w:rsid w:val="00025C58"/>
    <w:rsid w:val="00025E6D"/>
    <w:rsid w:val="00025F1A"/>
    <w:rsid w:val="00025F9A"/>
    <w:rsid w:val="00026056"/>
    <w:rsid w:val="000261BE"/>
    <w:rsid w:val="00026758"/>
    <w:rsid w:val="00026933"/>
    <w:rsid w:val="00026C1A"/>
    <w:rsid w:val="00026D34"/>
    <w:rsid w:val="00026D3D"/>
    <w:rsid w:val="00026DFA"/>
    <w:rsid w:val="00026E36"/>
    <w:rsid w:val="000270F0"/>
    <w:rsid w:val="0002726D"/>
    <w:rsid w:val="00027380"/>
    <w:rsid w:val="0002780D"/>
    <w:rsid w:val="000279CF"/>
    <w:rsid w:val="00027A9D"/>
    <w:rsid w:val="00027ADC"/>
    <w:rsid w:val="00027BF6"/>
    <w:rsid w:val="00027D84"/>
    <w:rsid w:val="000301DB"/>
    <w:rsid w:val="0003021D"/>
    <w:rsid w:val="00030307"/>
    <w:rsid w:val="000309FC"/>
    <w:rsid w:val="00030AE5"/>
    <w:rsid w:val="00030CCC"/>
    <w:rsid w:val="0003106B"/>
    <w:rsid w:val="00031074"/>
    <w:rsid w:val="000310D3"/>
    <w:rsid w:val="00031252"/>
    <w:rsid w:val="000313C0"/>
    <w:rsid w:val="0003161D"/>
    <w:rsid w:val="00031B17"/>
    <w:rsid w:val="00031C02"/>
    <w:rsid w:val="00031C38"/>
    <w:rsid w:val="00031E73"/>
    <w:rsid w:val="00031E85"/>
    <w:rsid w:val="00031F70"/>
    <w:rsid w:val="00032494"/>
    <w:rsid w:val="000324C6"/>
    <w:rsid w:val="000326F7"/>
    <w:rsid w:val="0003271F"/>
    <w:rsid w:val="0003296B"/>
    <w:rsid w:val="00032D92"/>
    <w:rsid w:val="000330F2"/>
    <w:rsid w:val="00033145"/>
    <w:rsid w:val="00033216"/>
    <w:rsid w:val="00033269"/>
    <w:rsid w:val="000332DF"/>
    <w:rsid w:val="0003355D"/>
    <w:rsid w:val="00033D0D"/>
    <w:rsid w:val="00033EE5"/>
    <w:rsid w:val="0003469F"/>
    <w:rsid w:val="00034884"/>
    <w:rsid w:val="000349D0"/>
    <w:rsid w:val="00034DE9"/>
    <w:rsid w:val="00034E81"/>
    <w:rsid w:val="00035067"/>
    <w:rsid w:val="000351E2"/>
    <w:rsid w:val="000351F8"/>
    <w:rsid w:val="00035569"/>
    <w:rsid w:val="000356E1"/>
    <w:rsid w:val="00035975"/>
    <w:rsid w:val="000359C2"/>
    <w:rsid w:val="00035B48"/>
    <w:rsid w:val="00035E3F"/>
    <w:rsid w:val="00035E70"/>
    <w:rsid w:val="00036281"/>
    <w:rsid w:val="00036431"/>
    <w:rsid w:val="000365D3"/>
    <w:rsid w:val="00036760"/>
    <w:rsid w:val="0003689C"/>
    <w:rsid w:val="0003692D"/>
    <w:rsid w:val="0003707B"/>
    <w:rsid w:val="00037206"/>
    <w:rsid w:val="00037498"/>
    <w:rsid w:val="0003751E"/>
    <w:rsid w:val="0003768B"/>
    <w:rsid w:val="00037694"/>
    <w:rsid w:val="000376FE"/>
    <w:rsid w:val="00037776"/>
    <w:rsid w:val="000379CF"/>
    <w:rsid w:val="00037B17"/>
    <w:rsid w:val="00037D26"/>
    <w:rsid w:val="0004012E"/>
    <w:rsid w:val="0004016E"/>
    <w:rsid w:val="000404F2"/>
    <w:rsid w:val="000406C2"/>
    <w:rsid w:val="00040836"/>
    <w:rsid w:val="00040902"/>
    <w:rsid w:val="00040940"/>
    <w:rsid w:val="00040A99"/>
    <w:rsid w:val="00040D3F"/>
    <w:rsid w:val="00040E66"/>
    <w:rsid w:val="00040FBF"/>
    <w:rsid w:val="000412A2"/>
    <w:rsid w:val="00041565"/>
    <w:rsid w:val="0004156D"/>
    <w:rsid w:val="0004166A"/>
    <w:rsid w:val="00041762"/>
    <w:rsid w:val="000417EF"/>
    <w:rsid w:val="00041B42"/>
    <w:rsid w:val="00041CD6"/>
    <w:rsid w:val="00041E46"/>
    <w:rsid w:val="00042016"/>
    <w:rsid w:val="000420EC"/>
    <w:rsid w:val="00042181"/>
    <w:rsid w:val="0004233F"/>
    <w:rsid w:val="000428A4"/>
    <w:rsid w:val="00042A53"/>
    <w:rsid w:val="00042A57"/>
    <w:rsid w:val="00042B8D"/>
    <w:rsid w:val="00042C73"/>
    <w:rsid w:val="00042CC7"/>
    <w:rsid w:val="00042EB6"/>
    <w:rsid w:val="00042ED7"/>
    <w:rsid w:val="00043156"/>
    <w:rsid w:val="0004327C"/>
    <w:rsid w:val="00043431"/>
    <w:rsid w:val="00043597"/>
    <w:rsid w:val="00043981"/>
    <w:rsid w:val="00043B15"/>
    <w:rsid w:val="00043C9F"/>
    <w:rsid w:val="00043DBB"/>
    <w:rsid w:val="00043E68"/>
    <w:rsid w:val="0004404D"/>
    <w:rsid w:val="000440AF"/>
    <w:rsid w:val="00044192"/>
    <w:rsid w:val="000441B6"/>
    <w:rsid w:val="00044279"/>
    <w:rsid w:val="00044298"/>
    <w:rsid w:val="000443BE"/>
    <w:rsid w:val="00044462"/>
    <w:rsid w:val="0004459F"/>
    <w:rsid w:val="0004485D"/>
    <w:rsid w:val="00044900"/>
    <w:rsid w:val="00044976"/>
    <w:rsid w:val="00044D7B"/>
    <w:rsid w:val="00044E44"/>
    <w:rsid w:val="00044F74"/>
    <w:rsid w:val="0004542B"/>
    <w:rsid w:val="00045505"/>
    <w:rsid w:val="000455C4"/>
    <w:rsid w:val="00045620"/>
    <w:rsid w:val="000456A8"/>
    <w:rsid w:val="00045846"/>
    <w:rsid w:val="00045AD7"/>
    <w:rsid w:val="00045BDC"/>
    <w:rsid w:val="00045D93"/>
    <w:rsid w:val="00045E02"/>
    <w:rsid w:val="00045F8C"/>
    <w:rsid w:val="00046023"/>
    <w:rsid w:val="00046108"/>
    <w:rsid w:val="00046283"/>
    <w:rsid w:val="00046582"/>
    <w:rsid w:val="0004658F"/>
    <w:rsid w:val="000465F9"/>
    <w:rsid w:val="0004675E"/>
    <w:rsid w:val="00046918"/>
    <w:rsid w:val="00046962"/>
    <w:rsid w:val="00046A19"/>
    <w:rsid w:val="00046B2B"/>
    <w:rsid w:val="00046EAA"/>
    <w:rsid w:val="00047038"/>
    <w:rsid w:val="00047144"/>
    <w:rsid w:val="00047428"/>
    <w:rsid w:val="0004751D"/>
    <w:rsid w:val="00047655"/>
    <w:rsid w:val="00047836"/>
    <w:rsid w:val="000478B3"/>
    <w:rsid w:val="00047A0C"/>
    <w:rsid w:val="00047BF1"/>
    <w:rsid w:val="00047D49"/>
    <w:rsid w:val="00047D9B"/>
    <w:rsid w:val="00050075"/>
    <w:rsid w:val="0005015B"/>
    <w:rsid w:val="000502DD"/>
    <w:rsid w:val="00050689"/>
    <w:rsid w:val="000506B5"/>
    <w:rsid w:val="00050733"/>
    <w:rsid w:val="000507AB"/>
    <w:rsid w:val="000508FF"/>
    <w:rsid w:val="00050AB1"/>
    <w:rsid w:val="00050B17"/>
    <w:rsid w:val="00050BE4"/>
    <w:rsid w:val="00050D2C"/>
    <w:rsid w:val="00050E88"/>
    <w:rsid w:val="00051293"/>
    <w:rsid w:val="000513C0"/>
    <w:rsid w:val="000514B8"/>
    <w:rsid w:val="00051816"/>
    <w:rsid w:val="0005184B"/>
    <w:rsid w:val="000518BE"/>
    <w:rsid w:val="00051D77"/>
    <w:rsid w:val="00051D9D"/>
    <w:rsid w:val="00051DB5"/>
    <w:rsid w:val="00052015"/>
    <w:rsid w:val="000522C7"/>
    <w:rsid w:val="00052374"/>
    <w:rsid w:val="0005261D"/>
    <w:rsid w:val="0005280B"/>
    <w:rsid w:val="000528DC"/>
    <w:rsid w:val="000529E2"/>
    <w:rsid w:val="00052A8A"/>
    <w:rsid w:val="00052C0A"/>
    <w:rsid w:val="00052C20"/>
    <w:rsid w:val="00052DF3"/>
    <w:rsid w:val="00052E84"/>
    <w:rsid w:val="000530DF"/>
    <w:rsid w:val="00053127"/>
    <w:rsid w:val="00053532"/>
    <w:rsid w:val="0005364F"/>
    <w:rsid w:val="00053787"/>
    <w:rsid w:val="00053B62"/>
    <w:rsid w:val="00053BBF"/>
    <w:rsid w:val="00053DAE"/>
    <w:rsid w:val="00053EA7"/>
    <w:rsid w:val="00053F66"/>
    <w:rsid w:val="00053FFA"/>
    <w:rsid w:val="000540AE"/>
    <w:rsid w:val="00054349"/>
    <w:rsid w:val="00054386"/>
    <w:rsid w:val="0005438E"/>
    <w:rsid w:val="0005446A"/>
    <w:rsid w:val="000546C4"/>
    <w:rsid w:val="00054765"/>
    <w:rsid w:val="0005488B"/>
    <w:rsid w:val="00054963"/>
    <w:rsid w:val="00054DCC"/>
    <w:rsid w:val="00054F96"/>
    <w:rsid w:val="0005508E"/>
    <w:rsid w:val="00055359"/>
    <w:rsid w:val="000553E1"/>
    <w:rsid w:val="00055654"/>
    <w:rsid w:val="000556D1"/>
    <w:rsid w:val="000557C4"/>
    <w:rsid w:val="000558BC"/>
    <w:rsid w:val="0005591F"/>
    <w:rsid w:val="00055B1D"/>
    <w:rsid w:val="00055C69"/>
    <w:rsid w:val="00055D69"/>
    <w:rsid w:val="00055E94"/>
    <w:rsid w:val="00055EDD"/>
    <w:rsid w:val="000564C1"/>
    <w:rsid w:val="0005676D"/>
    <w:rsid w:val="00056963"/>
    <w:rsid w:val="00056E49"/>
    <w:rsid w:val="00056E52"/>
    <w:rsid w:val="0005708E"/>
    <w:rsid w:val="0005714B"/>
    <w:rsid w:val="0005731D"/>
    <w:rsid w:val="0005764B"/>
    <w:rsid w:val="0005782C"/>
    <w:rsid w:val="0005785C"/>
    <w:rsid w:val="0005788A"/>
    <w:rsid w:val="000579E6"/>
    <w:rsid w:val="00057A4A"/>
    <w:rsid w:val="00057C2D"/>
    <w:rsid w:val="00057ED8"/>
    <w:rsid w:val="0006033B"/>
    <w:rsid w:val="00060428"/>
    <w:rsid w:val="00060574"/>
    <w:rsid w:val="000605C8"/>
    <w:rsid w:val="00060DC5"/>
    <w:rsid w:val="0006108B"/>
    <w:rsid w:val="0006112F"/>
    <w:rsid w:val="000614C0"/>
    <w:rsid w:val="00061502"/>
    <w:rsid w:val="00061701"/>
    <w:rsid w:val="000619EB"/>
    <w:rsid w:val="00061D7A"/>
    <w:rsid w:val="0006210B"/>
    <w:rsid w:val="000621AE"/>
    <w:rsid w:val="00062379"/>
    <w:rsid w:val="000623D8"/>
    <w:rsid w:val="000623F6"/>
    <w:rsid w:val="00062674"/>
    <w:rsid w:val="000626EF"/>
    <w:rsid w:val="000627B5"/>
    <w:rsid w:val="0006296B"/>
    <w:rsid w:val="00062B02"/>
    <w:rsid w:val="00062B6F"/>
    <w:rsid w:val="00062BCD"/>
    <w:rsid w:val="00062C6C"/>
    <w:rsid w:val="00062DD3"/>
    <w:rsid w:val="00062E3E"/>
    <w:rsid w:val="00062E9C"/>
    <w:rsid w:val="00062F45"/>
    <w:rsid w:val="000630A6"/>
    <w:rsid w:val="0006319D"/>
    <w:rsid w:val="00063239"/>
    <w:rsid w:val="00063241"/>
    <w:rsid w:val="00063280"/>
    <w:rsid w:val="000632BE"/>
    <w:rsid w:val="000633AB"/>
    <w:rsid w:val="00063540"/>
    <w:rsid w:val="000639FB"/>
    <w:rsid w:val="00063B04"/>
    <w:rsid w:val="00063E58"/>
    <w:rsid w:val="000640C5"/>
    <w:rsid w:val="0006416B"/>
    <w:rsid w:val="000641A2"/>
    <w:rsid w:val="00064244"/>
    <w:rsid w:val="000642D5"/>
    <w:rsid w:val="000642E7"/>
    <w:rsid w:val="00064302"/>
    <w:rsid w:val="000646F3"/>
    <w:rsid w:val="00064A88"/>
    <w:rsid w:val="00064C33"/>
    <w:rsid w:val="00064F8C"/>
    <w:rsid w:val="00065051"/>
    <w:rsid w:val="000650DB"/>
    <w:rsid w:val="00065177"/>
    <w:rsid w:val="000651EF"/>
    <w:rsid w:val="000652C5"/>
    <w:rsid w:val="00065398"/>
    <w:rsid w:val="0006539A"/>
    <w:rsid w:val="00065437"/>
    <w:rsid w:val="000654F5"/>
    <w:rsid w:val="000655D4"/>
    <w:rsid w:val="000658C7"/>
    <w:rsid w:val="00065B2D"/>
    <w:rsid w:val="00065B59"/>
    <w:rsid w:val="00065D53"/>
    <w:rsid w:val="00065E20"/>
    <w:rsid w:val="00065F7C"/>
    <w:rsid w:val="00066350"/>
    <w:rsid w:val="00066450"/>
    <w:rsid w:val="0006650F"/>
    <w:rsid w:val="00066733"/>
    <w:rsid w:val="00066BD4"/>
    <w:rsid w:val="00067071"/>
    <w:rsid w:val="000675CA"/>
    <w:rsid w:val="00067788"/>
    <w:rsid w:val="00067802"/>
    <w:rsid w:val="000679E8"/>
    <w:rsid w:val="00067AC4"/>
    <w:rsid w:val="00067D60"/>
    <w:rsid w:val="00067F2B"/>
    <w:rsid w:val="00070007"/>
    <w:rsid w:val="00070014"/>
    <w:rsid w:val="00070031"/>
    <w:rsid w:val="0007029E"/>
    <w:rsid w:val="0007053A"/>
    <w:rsid w:val="0007070D"/>
    <w:rsid w:val="000707FB"/>
    <w:rsid w:val="00070818"/>
    <w:rsid w:val="00070CF2"/>
    <w:rsid w:val="00070EE8"/>
    <w:rsid w:val="00071067"/>
    <w:rsid w:val="000710ED"/>
    <w:rsid w:val="0007113A"/>
    <w:rsid w:val="000712F7"/>
    <w:rsid w:val="0007153C"/>
    <w:rsid w:val="000715FB"/>
    <w:rsid w:val="00071737"/>
    <w:rsid w:val="0007196A"/>
    <w:rsid w:val="00071996"/>
    <w:rsid w:val="000719A4"/>
    <w:rsid w:val="000719C5"/>
    <w:rsid w:val="00071BD4"/>
    <w:rsid w:val="00071D09"/>
    <w:rsid w:val="00071EA2"/>
    <w:rsid w:val="0007228D"/>
    <w:rsid w:val="00072599"/>
    <w:rsid w:val="000725EF"/>
    <w:rsid w:val="00072622"/>
    <w:rsid w:val="0007269E"/>
    <w:rsid w:val="0007272B"/>
    <w:rsid w:val="0007274E"/>
    <w:rsid w:val="000729F2"/>
    <w:rsid w:val="00072A48"/>
    <w:rsid w:val="00072FA1"/>
    <w:rsid w:val="000734EF"/>
    <w:rsid w:val="000734F2"/>
    <w:rsid w:val="00073561"/>
    <w:rsid w:val="0007362A"/>
    <w:rsid w:val="0007366D"/>
    <w:rsid w:val="00073845"/>
    <w:rsid w:val="000739A5"/>
    <w:rsid w:val="00073B4B"/>
    <w:rsid w:val="00073BAA"/>
    <w:rsid w:val="00073EAD"/>
    <w:rsid w:val="00073F0E"/>
    <w:rsid w:val="000741D6"/>
    <w:rsid w:val="00074314"/>
    <w:rsid w:val="000745E1"/>
    <w:rsid w:val="00074697"/>
    <w:rsid w:val="000749F0"/>
    <w:rsid w:val="00074BCC"/>
    <w:rsid w:val="00074DC4"/>
    <w:rsid w:val="000753C1"/>
    <w:rsid w:val="000753F4"/>
    <w:rsid w:val="00075482"/>
    <w:rsid w:val="000755AC"/>
    <w:rsid w:val="00075664"/>
    <w:rsid w:val="000756B8"/>
    <w:rsid w:val="000758EE"/>
    <w:rsid w:val="000760AE"/>
    <w:rsid w:val="000766F3"/>
    <w:rsid w:val="0007685F"/>
    <w:rsid w:val="000768FE"/>
    <w:rsid w:val="00076A28"/>
    <w:rsid w:val="00076B8A"/>
    <w:rsid w:val="00076DCE"/>
    <w:rsid w:val="00076E8E"/>
    <w:rsid w:val="00076F07"/>
    <w:rsid w:val="00076F57"/>
    <w:rsid w:val="000770F2"/>
    <w:rsid w:val="000771B6"/>
    <w:rsid w:val="00077707"/>
    <w:rsid w:val="00077A07"/>
    <w:rsid w:val="00077A5E"/>
    <w:rsid w:val="00077A7D"/>
    <w:rsid w:val="00077B38"/>
    <w:rsid w:val="00080477"/>
    <w:rsid w:val="00080A0D"/>
    <w:rsid w:val="00080B5F"/>
    <w:rsid w:val="00080CE9"/>
    <w:rsid w:val="00080EC6"/>
    <w:rsid w:val="00080F07"/>
    <w:rsid w:val="00080F51"/>
    <w:rsid w:val="00080F5E"/>
    <w:rsid w:val="00081081"/>
    <w:rsid w:val="00081122"/>
    <w:rsid w:val="000815EB"/>
    <w:rsid w:val="000816E2"/>
    <w:rsid w:val="00081872"/>
    <w:rsid w:val="0008195C"/>
    <w:rsid w:val="0008199F"/>
    <w:rsid w:val="00081E59"/>
    <w:rsid w:val="00082184"/>
    <w:rsid w:val="00082540"/>
    <w:rsid w:val="000828B2"/>
    <w:rsid w:val="00082AD6"/>
    <w:rsid w:val="00083009"/>
    <w:rsid w:val="00083493"/>
    <w:rsid w:val="00083760"/>
    <w:rsid w:val="00083805"/>
    <w:rsid w:val="000838A2"/>
    <w:rsid w:val="000838FF"/>
    <w:rsid w:val="00083B89"/>
    <w:rsid w:val="00083C38"/>
    <w:rsid w:val="00083CEC"/>
    <w:rsid w:val="00084015"/>
    <w:rsid w:val="00084130"/>
    <w:rsid w:val="000844F3"/>
    <w:rsid w:val="00084A5E"/>
    <w:rsid w:val="00084BF1"/>
    <w:rsid w:val="00084F1D"/>
    <w:rsid w:val="00085429"/>
    <w:rsid w:val="00085483"/>
    <w:rsid w:val="000856CA"/>
    <w:rsid w:val="00085832"/>
    <w:rsid w:val="00085A36"/>
    <w:rsid w:val="00085D9E"/>
    <w:rsid w:val="00085DFB"/>
    <w:rsid w:val="00085E6A"/>
    <w:rsid w:val="00086246"/>
    <w:rsid w:val="00086313"/>
    <w:rsid w:val="00086353"/>
    <w:rsid w:val="00086641"/>
    <w:rsid w:val="0008674D"/>
    <w:rsid w:val="000868E5"/>
    <w:rsid w:val="00086AB0"/>
    <w:rsid w:val="00086DDB"/>
    <w:rsid w:val="00086E07"/>
    <w:rsid w:val="00086FC4"/>
    <w:rsid w:val="00086FDC"/>
    <w:rsid w:val="000873A0"/>
    <w:rsid w:val="00087493"/>
    <w:rsid w:val="0008770A"/>
    <w:rsid w:val="000877FB"/>
    <w:rsid w:val="000879AE"/>
    <w:rsid w:val="00087AB1"/>
    <w:rsid w:val="00087FCA"/>
    <w:rsid w:val="0009002A"/>
    <w:rsid w:val="0009014E"/>
    <w:rsid w:val="00090150"/>
    <w:rsid w:val="0009027B"/>
    <w:rsid w:val="00090293"/>
    <w:rsid w:val="0009029D"/>
    <w:rsid w:val="000902E0"/>
    <w:rsid w:val="0009066F"/>
    <w:rsid w:val="000907DA"/>
    <w:rsid w:val="00090AB6"/>
    <w:rsid w:val="0009113F"/>
    <w:rsid w:val="00091779"/>
    <w:rsid w:val="000919C1"/>
    <w:rsid w:val="000919E1"/>
    <w:rsid w:val="00091DD9"/>
    <w:rsid w:val="0009207C"/>
    <w:rsid w:val="0009244F"/>
    <w:rsid w:val="00092527"/>
    <w:rsid w:val="00092693"/>
    <w:rsid w:val="00092A83"/>
    <w:rsid w:val="00092AA4"/>
    <w:rsid w:val="00092D41"/>
    <w:rsid w:val="00092DB3"/>
    <w:rsid w:val="00092ED7"/>
    <w:rsid w:val="00092FF2"/>
    <w:rsid w:val="00093155"/>
    <w:rsid w:val="000932F2"/>
    <w:rsid w:val="0009335C"/>
    <w:rsid w:val="000933AD"/>
    <w:rsid w:val="000933B9"/>
    <w:rsid w:val="00093439"/>
    <w:rsid w:val="0009381B"/>
    <w:rsid w:val="00093A58"/>
    <w:rsid w:val="00093B84"/>
    <w:rsid w:val="00093BEB"/>
    <w:rsid w:val="00093C39"/>
    <w:rsid w:val="00093D6F"/>
    <w:rsid w:val="00093EB9"/>
    <w:rsid w:val="00093F94"/>
    <w:rsid w:val="0009402D"/>
    <w:rsid w:val="000942E9"/>
    <w:rsid w:val="0009447E"/>
    <w:rsid w:val="00094519"/>
    <w:rsid w:val="00094620"/>
    <w:rsid w:val="0009488B"/>
    <w:rsid w:val="0009489C"/>
    <w:rsid w:val="000949F1"/>
    <w:rsid w:val="00094A1B"/>
    <w:rsid w:val="00094C7A"/>
    <w:rsid w:val="00094CE3"/>
    <w:rsid w:val="00094EDF"/>
    <w:rsid w:val="00095031"/>
    <w:rsid w:val="000952A6"/>
    <w:rsid w:val="00095492"/>
    <w:rsid w:val="00095569"/>
    <w:rsid w:val="0009592F"/>
    <w:rsid w:val="00095C4F"/>
    <w:rsid w:val="00095CBE"/>
    <w:rsid w:val="00095D56"/>
    <w:rsid w:val="00095E69"/>
    <w:rsid w:val="0009600D"/>
    <w:rsid w:val="00096083"/>
    <w:rsid w:val="000960F0"/>
    <w:rsid w:val="00096137"/>
    <w:rsid w:val="00096423"/>
    <w:rsid w:val="0009645F"/>
    <w:rsid w:val="0009663E"/>
    <w:rsid w:val="0009670D"/>
    <w:rsid w:val="00096C0F"/>
    <w:rsid w:val="00096D7B"/>
    <w:rsid w:val="00096DB5"/>
    <w:rsid w:val="000971E6"/>
    <w:rsid w:val="00097520"/>
    <w:rsid w:val="000975D5"/>
    <w:rsid w:val="0009785A"/>
    <w:rsid w:val="00097C89"/>
    <w:rsid w:val="00097CEF"/>
    <w:rsid w:val="00097D2F"/>
    <w:rsid w:val="00097D8F"/>
    <w:rsid w:val="00097FF8"/>
    <w:rsid w:val="0009F94C"/>
    <w:rsid w:val="000A00A4"/>
    <w:rsid w:val="000A012D"/>
    <w:rsid w:val="000A0732"/>
    <w:rsid w:val="000A0866"/>
    <w:rsid w:val="000A08BE"/>
    <w:rsid w:val="000A0949"/>
    <w:rsid w:val="000A0A17"/>
    <w:rsid w:val="000A0F6A"/>
    <w:rsid w:val="000A106A"/>
    <w:rsid w:val="000A11A9"/>
    <w:rsid w:val="000A13E0"/>
    <w:rsid w:val="000A15D7"/>
    <w:rsid w:val="000A1FF0"/>
    <w:rsid w:val="000A21BE"/>
    <w:rsid w:val="000A2205"/>
    <w:rsid w:val="000A2296"/>
    <w:rsid w:val="000A230E"/>
    <w:rsid w:val="000A27F7"/>
    <w:rsid w:val="000A28B0"/>
    <w:rsid w:val="000A28CB"/>
    <w:rsid w:val="000A29A4"/>
    <w:rsid w:val="000A2A54"/>
    <w:rsid w:val="000A2A72"/>
    <w:rsid w:val="000A2A76"/>
    <w:rsid w:val="000A2AA8"/>
    <w:rsid w:val="000A2BAD"/>
    <w:rsid w:val="000A2D3F"/>
    <w:rsid w:val="000A2F58"/>
    <w:rsid w:val="000A3261"/>
    <w:rsid w:val="000A35B8"/>
    <w:rsid w:val="000A36D0"/>
    <w:rsid w:val="000A387E"/>
    <w:rsid w:val="000A389A"/>
    <w:rsid w:val="000A3AFC"/>
    <w:rsid w:val="000A3C13"/>
    <w:rsid w:val="000A3E2C"/>
    <w:rsid w:val="000A458A"/>
    <w:rsid w:val="000A476F"/>
    <w:rsid w:val="000A4798"/>
    <w:rsid w:val="000A4E2B"/>
    <w:rsid w:val="000A4ECF"/>
    <w:rsid w:val="000A5045"/>
    <w:rsid w:val="000A5118"/>
    <w:rsid w:val="000A5507"/>
    <w:rsid w:val="000A57C4"/>
    <w:rsid w:val="000A5886"/>
    <w:rsid w:val="000A58EA"/>
    <w:rsid w:val="000A597B"/>
    <w:rsid w:val="000A5989"/>
    <w:rsid w:val="000A59CE"/>
    <w:rsid w:val="000A5D80"/>
    <w:rsid w:val="000A5DB3"/>
    <w:rsid w:val="000A5F09"/>
    <w:rsid w:val="000A61CF"/>
    <w:rsid w:val="000A623D"/>
    <w:rsid w:val="000A628D"/>
    <w:rsid w:val="000A6334"/>
    <w:rsid w:val="000A64C5"/>
    <w:rsid w:val="000A66E9"/>
    <w:rsid w:val="000A69F4"/>
    <w:rsid w:val="000A6AE5"/>
    <w:rsid w:val="000A6B0A"/>
    <w:rsid w:val="000A6CFD"/>
    <w:rsid w:val="000A6E3B"/>
    <w:rsid w:val="000A6ED4"/>
    <w:rsid w:val="000A709E"/>
    <w:rsid w:val="000A71D1"/>
    <w:rsid w:val="000A73E5"/>
    <w:rsid w:val="000A7670"/>
    <w:rsid w:val="000A76AF"/>
    <w:rsid w:val="000A7710"/>
    <w:rsid w:val="000A7793"/>
    <w:rsid w:val="000A7AF2"/>
    <w:rsid w:val="000A7F0C"/>
    <w:rsid w:val="000B00A3"/>
    <w:rsid w:val="000B0626"/>
    <w:rsid w:val="000B083D"/>
    <w:rsid w:val="000B0CCC"/>
    <w:rsid w:val="000B0EED"/>
    <w:rsid w:val="000B0F0F"/>
    <w:rsid w:val="000B1153"/>
    <w:rsid w:val="000B11D8"/>
    <w:rsid w:val="000B11ED"/>
    <w:rsid w:val="000B130E"/>
    <w:rsid w:val="000B1536"/>
    <w:rsid w:val="000B15C4"/>
    <w:rsid w:val="000B1740"/>
    <w:rsid w:val="000B19EE"/>
    <w:rsid w:val="000B1DA3"/>
    <w:rsid w:val="000B218A"/>
    <w:rsid w:val="000B21C8"/>
    <w:rsid w:val="000B241E"/>
    <w:rsid w:val="000B26AA"/>
    <w:rsid w:val="000B28D9"/>
    <w:rsid w:val="000B28E2"/>
    <w:rsid w:val="000B290B"/>
    <w:rsid w:val="000B2C27"/>
    <w:rsid w:val="000B2C5E"/>
    <w:rsid w:val="000B2D06"/>
    <w:rsid w:val="000B2E17"/>
    <w:rsid w:val="000B2F10"/>
    <w:rsid w:val="000B2FA5"/>
    <w:rsid w:val="000B3071"/>
    <w:rsid w:val="000B311B"/>
    <w:rsid w:val="000B360B"/>
    <w:rsid w:val="000B36C5"/>
    <w:rsid w:val="000B37A2"/>
    <w:rsid w:val="000B389D"/>
    <w:rsid w:val="000B38CB"/>
    <w:rsid w:val="000B3906"/>
    <w:rsid w:val="000B3AEC"/>
    <w:rsid w:val="000B3BA0"/>
    <w:rsid w:val="000B3D4A"/>
    <w:rsid w:val="000B40A6"/>
    <w:rsid w:val="000B4328"/>
    <w:rsid w:val="000B494A"/>
    <w:rsid w:val="000B4BF6"/>
    <w:rsid w:val="000B5020"/>
    <w:rsid w:val="000B502F"/>
    <w:rsid w:val="000B522A"/>
    <w:rsid w:val="000B5524"/>
    <w:rsid w:val="000B5531"/>
    <w:rsid w:val="000B564B"/>
    <w:rsid w:val="000B56F5"/>
    <w:rsid w:val="000B5843"/>
    <w:rsid w:val="000B594A"/>
    <w:rsid w:val="000B5C8F"/>
    <w:rsid w:val="000B5EE9"/>
    <w:rsid w:val="000B610B"/>
    <w:rsid w:val="000B628E"/>
    <w:rsid w:val="000B62C5"/>
    <w:rsid w:val="000B631D"/>
    <w:rsid w:val="000B634E"/>
    <w:rsid w:val="000B642A"/>
    <w:rsid w:val="000B643C"/>
    <w:rsid w:val="000B653B"/>
    <w:rsid w:val="000B658C"/>
    <w:rsid w:val="000B6737"/>
    <w:rsid w:val="000B6B46"/>
    <w:rsid w:val="000B6B63"/>
    <w:rsid w:val="000B6B70"/>
    <w:rsid w:val="000B6B9F"/>
    <w:rsid w:val="000B6C46"/>
    <w:rsid w:val="000B6D1E"/>
    <w:rsid w:val="000B7040"/>
    <w:rsid w:val="000B70F6"/>
    <w:rsid w:val="000B70FB"/>
    <w:rsid w:val="000B71C3"/>
    <w:rsid w:val="000B72B8"/>
    <w:rsid w:val="000B737B"/>
    <w:rsid w:val="000B744D"/>
    <w:rsid w:val="000B7455"/>
    <w:rsid w:val="000B75B0"/>
    <w:rsid w:val="000B75B2"/>
    <w:rsid w:val="000B765A"/>
    <w:rsid w:val="000B769E"/>
    <w:rsid w:val="000B797A"/>
    <w:rsid w:val="000B7A27"/>
    <w:rsid w:val="000B7BB6"/>
    <w:rsid w:val="000B7E5B"/>
    <w:rsid w:val="000C0446"/>
    <w:rsid w:val="000C0488"/>
    <w:rsid w:val="000C0B03"/>
    <w:rsid w:val="000C0CA6"/>
    <w:rsid w:val="000C0D7F"/>
    <w:rsid w:val="000C0EFA"/>
    <w:rsid w:val="000C12F4"/>
    <w:rsid w:val="000C1359"/>
    <w:rsid w:val="000C1728"/>
    <w:rsid w:val="000C178A"/>
    <w:rsid w:val="000C19C1"/>
    <w:rsid w:val="000C1CFE"/>
    <w:rsid w:val="000C1D4A"/>
    <w:rsid w:val="000C1F1A"/>
    <w:rsid w:val="000C1F61"/>
    <w:rsid w:val="000C2278"/>
    <w:rsid w:val="000C24DA"/>
    <w:rsid w:val="000C25D3"/>
    <w:rsid w:val="000C275D"/>
    <w:rsid w:val="000C2994"/>
    <w:rsid w:val="000C2B78"/>
    <w:rsid w:val="000C2C48"/>
    <w:rsid w:val="000C2C93"/>
    <w:rsid w:val="000C2D79"/>
    <w:rsid w:val="000C2E3B"/>
    <w:rsid w:val="000C3016"/>
    <w:rsid w:val="000C310D"/>
    <w:rsid w:val="000C3192"/>
    <w:rsid w:val="000C32CB"/>
    <w:rsid w:val="000C3333"/>
    <w:rsid w:val="000C34FE"/>
    <w:rsid w:val="000C366A"/>
    <w:rsid w:val="000C36B6"/>
    <w:rsid w:val="000C39DB"/>
    <w:rsid w:val="000C3C33"/>
    <w:rsid w:val="000C3E18"/>
    <w:rsid w:val="000C40C7"/>
    <w:rsid w:val="000C417D"/>
    <w:rsid w:val="000C41DF"/>
    <w:rsid w:val="000C42E8"/>
    <w:rsid w:val="000C447E"/>
    <w:rsid w:val="000C44A2"/>
    <w:rsid w:val="000C46AE"/>
    <w:rsid w:val="000C4869"/>
    <w:rsid w:val="000C4ACE"/>
    <w:rsid w:val="000C4B42"/>
    <w:rsid w:val="000C4B97"/>
    <w:rsid w:val="000C4BE4"/>
    <w:rsid w:val="000C4CB5"/>
    <w:rsid w:val="000C4F07"/>
    <w:rsid w:val="000C510F"/>
    <w:rsid w:val="000C5151"/>
    <w:rsid w:val="000C517A"/>
    <w:rsid w:val="000C520E"/>
    <w:rsid w:val="000C52CA"/>
    <w:rsid w:val="000C5330"/>
    <w:rsid w:val="000C544B"/>
    <w:rsid w:val="000C54F6"/>
    <w:rsid w:val="000C55B5"/>
    <w:rsid w:val="000C5B7D"/>
    <w:rsid w:val="000C5CD7"/>
    <w:rsid w:val="000C5E8E"/>
    <w:rsid w:val="000C5FA7"/>
    <w:rsid w:val="000C61DF"/>
    <w:rsid w:val="000C645B"/>
    <w:rsid w:val="000C657D"/>
    <w:rsid w:val="000C6976"/>
    <w:rsid w:val="000C6A66"/>
    <w:rsid w:val="000C6B5C"/>
    <w:rsid w:val="000C6CD0"/>
    <w:rsid w:val="000C6D86"/>
    <w:rsid w:val="000C6EAE"/>
    <w:rsid w:val="000C6FCA"/>
    <w:rsid w:val="000C732C"/>
    <w:rsid w:val="000C73BD"/>
    <w:rsid w:val="000C7601"/>
    <w:rsid w:val="000C7C1C"/>
    <w:rsid w:val="000C7FC1"/>
    <w:rsid w:val="000D01F5"/>
    <w:rsid w:val="000D0B06"/>
    <w:rsid w:val="000D0BC2"/>
    <w:rsid w:val="000D0D3D"/>
    <w:rsid w:val="000D0DDF"/>
    <w:rsid w:val="000D1028"/>
    <w:rsid w:val="000D1038"/>
    <w:rsid w:val="000D109D"/>
    <w:rsid w:val="000D123A"/>
    <w:rsid w:val="000D125A"/>
    <w:rsid w:val="000D130E"/>
    <w:rsid w:val="000D139B"/>
    <w:rsid w:val="000D1697"/>
    <w:rsid w:val="000D19E1"/>
    <w:rsid w:val="000D1C4C"/>
    <w:rsid w:val="000D1D16"/>
    <w:rsid w:val="000D205C"/>
    <w:rsid w:val="000D2209"/>
    <w:rsid w:val="000D2A28"/>
    <w:rsid w:val="000D2A61"/>
    <w:rsid w:val="000D2C88"/>
    <w:rsid w:val="000D2E19"/>
    <w:rsid w:val="000D2F3F"/>
    <w:rsid w:val="000D2F5D"/>
    <w:rsid w:val="000D2FB5"/>
    <w:rsid w:val="000D305F"/>
    <w:rsid w:val="000D352E"/>
    <w:rsid w:val="000D3844"/>
    <w:rsid w:val="000D38FC"/>
    <w:rsid w:val="000D3BC8"/>
    <w:rsid w:val="000D3C65"/>
    <w:rsid w:val="000D3DC9"/>
    <w:rsid w:val="000D4689"/>
    <w:rsid w:val="000D489E"/>
    <w:rsid w:val="000D4AD7"/>
    <w:rsid w:val="000D4B07"/>
    <w:rsid w:val="000D5194"/>
    <w:rsid w:val="000D5332"/>
    <w:rsid w:val="000D5408"/>
    <w:rsid w:val="000D546D"/>
    <w:rsid w:val="000D549B"/>
    <w:rsid w:val="000D573B"/>
    <w:rsid w:val="000D5883"/>
    <w:rsid w:val="000D5923"/>
    <w:rsid w:val="000D5ED6"/>
    <w:rsid w:val="000D61E3"/>
    <w:rsid w:val="000D634A"/>
    <w:rsid w:val="000D645C"/>
    <w:rsid w:val="000D66AD"/>
    <w:rsid w:val="000D6A86"/>
    <w:rsid w:val="000D6E8A"/>
    <w:rsid w:val="000D6E94"/>
    <w:rsid w:val="000D6F00"/>
    <w:rsid w:val="000D7149"/>
    <w:rsid w:val="000D71DA"/>
    <w:rsid w:val="000D7302"/>
    <w:rsid w:val="000D75DC"/>
    <w:rsid w:val="000D76D5"/>
    <w:rsid w:val="000D7797"/>
    <w:rsid w:val="000D790D"/>
    <w:rsid w:val="000D7915"/>
    <w:rsid w:val="000D793D"/>
    <w:rsid w:val="000D7AFD"/>
    <w:rsid w:val="000D7B18"/>
    <w:rsid w:val="000D7BD3"/>
    <w:rsid w:val="000D7C14"/>
    <w:rsid w:val="000D7C23"/>
    <w:rsid w:val="000D7E71"/>
    <w:rsid w:val="000E0294"/>
    <w:rsid w:val="000E04C4"/>
    <w:rsid w:val="000E0596"/>
    <w:rsid w:val="000E0657"/>
    <w:rsid w:val="000E0904"/>
    <w:rsid w:val="000E0C06"/>
    <w:rsid w:val="000E0CFB"/>
    <w:rsid w:val="000E0E21"/>
    <w:rsid w:val="000E0E39"/>
    <w:rsid w:val="000E0E71"/>
    <w:rsid w:val="000E0FCF"/>
    <w:rsid w:val="000E13A3"/>
    <w:rsid w:val="000E143E"/>
    <w:rsid w:val="000E14EC"/>
    <w:rsid w:val="000E1526"/>
    <w:rsid w:val="000E1533"/>
    <w:rsid w:val="000E1940"/>
    <w:rsid w:val="000E1B18"/>
    <w:rsid w:val="000E1BBC"/>
    <w:rsid w:val="000E1DD7"/>
    <w:rsid w:val="000E1EA1"/>
    <w:rsid w:val="000E1FBF"/>
    <w:rsid w:val="000E20B8"/>
    <w:rsid w:val="000E21E1"/>
    <w:rsid w:val="000E2577"/>
    <w:rsid w:val="000E25BA"/>
    <w:rsid w:val="000E2985"/>
    <w:rsid w:val="000E2B80"/>
    <w:rsid w:val="000E2BBD"/>
    <w:rsid w:val="000E2F35"/>
    <w:rsid w:val="000E2FB8"/>
    <w:rsid w:val="000E2FD3"/>
    <w:rsid w:val="000E3098"/>
    <w:rsid w:val="000E3205"/>
    <w:rsid w:val="000E3698"/>
    <w:rsid w:val="000E369F"/>
    <w:rsid w:val="000E3745"/>
    <w:rsid w:val="000E37EE"/>
    <w:rsid w:val="000E398F"/>
    <w:rsid w:val="000E39EF"/>
    <w:rsid w:val="000E3DDB"/>
    <w:rsid w:val="000E3F09"/>
    <w:rsid w:val="000E41F8"/>
    <w:rsid w:val="000E447C"/>
    <w:rsid w:val="000E44C5"/>
    <w:rsid w:val="000E49E7"/>
    <w:rsid w:val="000E4A92"/>
    <w:rsid w:val="000E4D36"/>
    <w:rsid w:val="000E4E6A"/>
    <w:rsid w:val="000E4E6C"/>
    <w:rsid w:val="000E4F81"/>
    <w:rsid w:val="000E4FDE"/>
    <w:rsid w:val="000E505C"/>
    <w:rsid w:val="000E5651"/>
    <w:rsid w:val="000E57FB"/>
    <w:rsid w:val="000E58FE"/>
    <w:rsid w:val="000E5A2E"/>
    <w:rsid w:val="000E5B4C"/>
    <w:rsid w:val="000E6121"/>
    <w:rsid w:val="000E6189"/>
    <w:rsid w:val="000E623A"/>
    <w:rsid w:val="000E63BC"/>
    <w:rsid w:val="000E654D"/>
    <w:rsid w:val="000E66C2"/>
    <w:rsid w:val="000E68C0"/>
    <w:rsid w:val="000E68CC"/>
    <w:rsid w:val="000E6903"/>
    <w:rsid w:val="000E693C"/>
    <w:rsid w:val="000E6CF2"/>
    <w:rsid w:val="000E71A9"/>
    <w:rsid w:val="000E71BF"/>
    <w:rsid w:val="000E71DA"/>
    <w:rsid w:val="000E735F"/>
    <w:rsid w:val="000E744E"/>
    <w:rsid w:val="000E74CC"/>
    <w:rsid w:val="000E74F1"/>
    <w:rsid w:val="000E773B"/>
    <w:rsid w:val="000E7B19"/>
    <w:rsid w:val="000E7BCB"/>
    <w:rsid w:val="000E7C3C"/>
    <w:rsid w:val="000F0465"/>
    <w:rsid w:val="000F04FB"/>
    <w:rsid w:val="000F0594"/>
    <w:rsid w:val="000F05C2"/>
    <w:rsid w:val="000F0685"/>
    <w:rsid w:val="000F08D6"/>
    <w:rsid w:val="000F0E66"/>
    <w:rsid w:val="000F0F8D"/>
    <w:rsid w:val="000F1076"/>
    <w:rsid w:val="000F11EE"/>
    <w:rsid w:val="000F1241"/>
    <w:rsid w:val="000F1520"/>
    <w:rsid w:val="000F1532"/>
    <w:rsid w:val="000F1553"/>
    <w:rsid w:val="000F1A1D"/>
    <w:rsid w:val="000F1A2E"/>
    <w:rsid w:val="000F1B2C"/>
    <w:rsid w:val="000F1C2D"/>
    <w:rsid w:val="000F1E67"/>
    <w:rsid w:val="000F2089"/>
    <w:rsid w:val="000F2147"/>
    <w:rsid w:val="000F22B6"/>
    <w:rsid w:val="000F2322"/>
    <w:rsid w:val="000F2352"/>
    <w:rsid w:val="000F23BA"/>
    <w:rsid w:val="000F24B3"/>
    <w:rsid w:val="000F2699"/>
    <w:rsid w:val="000F2893"/>
    <w:rsid w:val="000F2995"/>
    <w:rsid w:val="000F2AF3"/>
    <w:rsid w:val="000F2C37"/>
    <w:rsid w:val="000F2D9B"/>
    <w:rsid w:val="000F2DDB"/>
    <w:rsid w:val="000F2F22"/>
    <w:rsid w:val="000F2F2A"/>
    <w:rsid w:val="000F3347"/>
    <w:rsid w:val="000F340E"/>
    <w:rsid w:val="000F35C4"/>
    <w:rsid w:val="000F35D6"/>
    <w:rsid w:val="000F3730"/>
    <w:rsid w:val="000F3929"/>
    <w:rsid w:val="000F3A51"/>
    <w:rsid w:val="000F3A9A"/>
    <w:rsid w:val="000F3B4F"/>
    <w:rsid w:val="000F3EF8"/>
    <w:rsid w:val="000F3FAD"/>
    <w:rsid w:val="000F43D5"/>
    <w:rsid w:val="000F462A"/>
    <w:rsid w:val="000F47AC"/>
    <w:rsid w:val="000F4945"/>
    <w:rsid w:val="000F4F83"/>
    <w:rsid w:val="000F5416"/>
    <w:rsid w:val="000F554B"/>
    <w:rsid w:val="000F5675"/>
    <w:rsid w:val="000F57ED"/>
    <w:rsid w:val="000F5897"/>
    <w:rsid w:val="000F5C72"/>
    <w:rsid w:val="000F5FF9"/>
    <w:rsid w:val="000F6020"/>
    <w:rsid w:val="000F61DE"/>
    <w:rsid w:val="000F6246"/>
    <w:rsid w:val="000F62C0"/>
    <w:rsid w:val="000F64D2"/>
    <w:rsid w:val="000F6A79"/>
    <w:rsid w:val="000F6B13"/>
    <w:rsid w:val="000F6B52"/>
    <w:rsid w:val="000F6CD2"/>
    <w:rsid w:val="000F74BC"/>
    <w:rsid w:val="000F78EE"/>
    <w:rsid w:val="000F7A32"/>
    <w:rsid w:val="000F7E7A"/>
    <w:rsid w:val="000F7F45"/>
    <w:rsid w:val="00100080"/>
    <w:rsid w:val="001002AF"/>
    <w:rsid w:val="00100550"/>
    <w:rsid w:val="0010058A"/>
    <w:rsid w:val="00100696"/>
    <w:rsid w:val="001006C6"/>
    <w:rsid w:val="00100792"/>
    <w:rsid w:val="001007AA"/>
    <w:rsid w:val="00100846"/>
    <w:rsid w:val="00100880"/>
    <w:rsid w:val="00100CE2"/>
    <w:rsid w:val="00100CF4"/>
    <w:rsid w:val="00100D5A"/>
    <w:rsid w:val="00100DB5"/>
    <w:rsid w:val="00100ED4"/>
    <w:rsid w:val="00100FA5"/>
    <w:rsid w:val="00101151"/>
    <w:rsid w:val="00101199"/>
    <w:rsid w:val="001013AF"/>
    <w:rsid w:val="00101608"/>
    <w:rsid w:val="00101683"/>
    <w:rsid w:val="00101902"/>
    <w:rsid w:val="001019A1"/>
    <w:rsid w:val="00101AC2"/>
    <w:rsid w:val="00102124"/>
    <w:rsid w:val="001021D0"/>
    <w:rsid w:val="0010221A"/>
    <w:rsid w:val="001023C1"/>
    <w:rsid w:val="001025AF"/>
    <w:rsid w:val="001025D3"/>
    <w:rsid w:val="0010268D"/>
    <w:rsid w:val="001026B2"/>
    <w:rsid w:val="00102842"/>
    <w:rsid w:val="001028B3"/>
    <w:rsid w:val="001029DC"/>
    <w:rsid w:val="00102A3A"/>
    <w:rsid w:val="00102A93"/>
    <w:rsid w:val="00102E16"/>
    <w:rsid w:val="00102E81"/>
    <w:rsid w:val="00102FA5"/>
    <w:rsid w:val="001033D9"/>
    <w:rsid w:val="0010350B"/>
    <w:rsid w:val="00103719"/>
    <w:rsid w:val="001037D7"/>
    <w:rsid w:val="0010381B"/>
    <w:rsid w:val="00103C12"/>
    <w:rsid w:val="00103C55"/>
    <w:rsid w:val="00103CE0"/>
    <w:rsid w:val="00103EF6"/>
    <w:rsid w:val="00104284"/>
    <w:rsid w:val="00104461"/>
    <w:rsid w:val="0010463B"/>
    <w:rsid w:val="00104783"/>
    <w:rsid w:val="001048BB"/>
    <w:rsid w:val="001048BE"/>
    <w:rsid w:val="00104DA7"/>
    <w:rsid w:val="00104FD4"/>
    <w:rsid w:val="0010502C"/>
    <w:rsid w:val="00105314"/>
    <w:rsid w:val="0010560B"/>
    <w:rsid w:val="001056D7"/>
    <w:rsid w:val="00105706"/>
    <w:rsid w:val="0010571F"/>
    <w:rsid w:val="00105B2C"/>
    <w:rsid w:val="00105F12"/>
    <w:rsid w:val="00105F3A"/>
    <w:rsid w:val="0010606F"/>
    <w:rsid w:val="0010622B"/>
    <w:rsid w:val="0010684D"/>
    <w:rsid w:val="00106B6C"/>
    <w:rsid w:val="00106DB0"/>
    <w:rsid w:val="00106E71"/>
    <w:rsid w:val="00107103"/>
    <w:rsid w:val="00107155"/>
    <w:rsid w:val="001071C9"/>
    <w:rsid w:val="001071F8"/>
    <w:rsid w:val="00107237"/>
    <w:rsid w:val="001073F9"/>
    <w:rsid w:val="001075EE"/>
    <w:rsid w:val="0010764A"/>
    <w:rsid w:val="001076BC"/>
    <w:rsid w:val="00107711"/>
    <w:rsid w:val="00107954"/>
    <w:rsid w:val="001079E0"/>
    <w:rsid w:val="00107A22"/>
    <w:rsid w:val="00107C5F"/>
    <w:rsid w:val="00107DE7"/>
    <w:rsid w:val="0011009B"/>
    <w:rsid w:val="001101B8"/>
    <w:rsid w:val="0011022B"/>
    <w:rsid w:val="0011024B"/>
    <w:rsid w:val="0011026C"/>
    <w:rsid w:val="001103E4"/>
    <w:rsid w:val="00110430"/>
    <w:rsid w:val="00110692"/>
    <w:rsid w:val="001107A8"/>
    <w:rsid w:val="0011091B"/>
    <w:rsid w:val="00110B78"/>
    <w:rsid w:val="00110C2F"/>
    <w:rsid w:val="00110D5F"/>
    <w:rsid w:val="001110E8"/>
    <w:rsid w:val="00111243"/>
    <w:rsid w:val="00111258"/>
    <w:rsid w:val="00111324"/>
    <w:rsid w:val="00111524"/>
    <w:rsid w:val="00111AAF"/>
    <w:rsid w:val="00111DF1"/>
    <w:rsid w:val="00111FFA"/>
    <w:rsid w:val="001120B5"/>
    <w:rsid w:val="00112152"/>
    <w:rsid w:val="00112385"/>
    <w:rsid w:val="0011248A"/>
    <w:rsid w:val="00112733"/>
    <w:rsid w:val="00112878"/>
    <w:rsid w:val="00112D22"/>
    <w:rsid w:val="00113126"/>
    <w:rsid w:val="0011341F"/>
    <w:rsid w:val="00113444"/>
    <w:rsid w:val="0011358B"/>
    <w:rsid w:val="00113A32"/>
    <w:rsid w:val="00113B22"/>
    <w:rsid w:val="00113DF7"/>
    <w:rsid w:val="00113EBC"/>
    <w:rsid w:val="00113EE8"/>
    <w:rsid w:val="00113F06"/>
    <w:rsid w:val="00113FB1"/>
    <w:rsid w:val="001140B0"/>
    <w:rsid w:val="00114226"/>
    <w:rsid w:val="0011423D"/>
    <w:rsid w:val="00114325"/>
    <w:rsid w:val="00114757"/>
    <w:rsid w:val="00114761"/>
    <w:rsid w:val="001147C7"/>
    <w:rsid w:val="00114DAB"/>
    <w:rsid w:val="00114DD4"/>
    <w:rsid w:val="00114E70"/>
    <w:rsid w:val="0011515C"/>
    <w:rsid w:val="001155B7"/>
    <w:rsid w:val="001156D7"/>
    <w:rsid w:val="00115CBD"/>
    <w:rsid w:val="00115D63"/>
    <w:rsid w:val="00115E88"/>
    <w:rsid w:val="00115F3E"/>
    <w:rsid w:val="00115FD6"/>
    <w:rsid w:val="00116257"/>
    <w:rsid w:val="00116329"/>
    <w:rsid w:val="00116333"/>
    <w:rsid w:val="001163E3"/>
    <w:rsid w:val="00116401"/>
    <w:rsid w:val="00116747"/>
    <w:rsid w:val="001168F5"/>
    <w:rsid w:val="00116963"/>
    <w:rsid w:val="00116A34"/>
    <w:rsid w:val="00116CB9"/>
    <w:rsid w:val="00116F3E"/>
    <w:rsid w:val="00116F7B"/>
    <w:rsid w:val="0011760A"/>
    <w:rsid w:val="00117627"/>
    <w:rsid w:val="00117996"/>
    <w:rsid w:val="001179FB"/>
    <w:rsid w:val="00117FBD"/>
    <w:rsid w:val="0012025F"/>
    <w:rsid w:val="00120412"/>
    <w:rsid w:val="00120458"/>
    <w:rsid w:val="0012058D"/>
    <w:rsid w:val="001205A4"/>
    <w:rsid w:val="00120910"/>
    <w:rsid w:val="0012098D"/>
    <w:rsid w:val="00120A25"/>
    <w:rsid w:val="00120AE9"/>
    <w:rsid w:val="00120C69"/>
    <w:rsid w:val="00120D6F"/>
    <w:rsid w:val="0012102A"/>
    <w:rsid w:val="00121188"/>
    <w:rsid w:val="001211DC"/>
    <w:rsid w:val="00121238"/>
    <w:rsid w:val="001212D3"/>
    <w:rsid w:val="001214CE"/>
    <w:rsid w:val="001216EE"/>
    <w:rsid w:val="00121ABE"/>
    <w:rsid w:val="00121CA9"/>
    <w:rsid w:val="00121E3C"/>
    <w:rsid w:val="0012203E"/>
    <w:rsid w:val="00122076"/>
    <w:rsid w:val="00122094"/>
    <w:rsid w:val="001220CC"/>
    <w:rsid w:val="001220ED"/>
    <w:rsid w:val="0012261C"/>
    <w:rsid w:val="00122665"/>
    <w:rsid w:val="0012293D"/>
    <w:rsid w:val="00122BA6"/>
    <w:rsid w:val="00122C19"/>
    <w:rsid w:val="00122E72"/>
    <w:rsid w:val="0012322E"/>
    <w:rsid w:val="001232FF"/>
    <w:rsid w:val="00123716"/>
    <w:rsid w:val="0012391D"/>
    <w:rsid w:val="00123BCB"/>
    <w:rsid w:val="00123C6D"/>
    <w:rsid w:val="00123CA7"/>
    <w:rsid w:val="001246DD"/>
    <w:rsid w:val="0012483A"/>
    <w:rsid w:val="00124B22"/>
    <w:rsid w:val="00124D29"/>
    <w:rsid w:val="00124E02"/>
    <w:rsid w:val="00124E4F"/>
    <w:rsid w:val="001250BD"/>
    <w:rsid w:val="00125104"/>
    <w:rsid w:val="0012512E"/>
    <w:rsid w:val="0012515E"/>
    <w:rsid w:val="0012519F"/>
    <w:rsid w:val="001251A5"/>
    <w:rsid w:val="0012528F"/>
    <w:rsid w:val="00125629"/>
    <w:rsid w:val="00125754"/>
    <w:rsid w:val="001258E8"/>
    <w:rsid w:val="00126A7D"/>
    <w:rsid w:val="00126BC8"/>
    <w:rsid w:val="00126C6F"/>
    <w:rsid w:val="00126D53"/>
    <w:rsid w:val="00126ED7"/>
    <w:rsid w:val="001270EE"/>
    <w:rsid w:val="00127650"/>
    <w:rsid w:val="0012795F"/>
    <w:rsid w:val="00127962"/>
    <w:rsid w:val="00127A20"/>
    <w:rsid w:val="00127C38"/>
    <w:rsid w:val="00127D17"/>
    <w:rsid w:val="00127D4B"/>
    <w:rsid w:val="00127E1F"/>
    <w:rsid w:val="00127F82"/>
    <w:rsid w:val="001300BA"/>
    <w:rsid w:val="001300EC"/>
    <w:rsid w:val="001301DD"/>
    <w:rsid w:val="00130625"/>
    <w:rsid w:val="0013086B"/>
    <w:rsid w:val="00130909"/>
    <w:rsid w:val="00130A6B"/>
    <w:rsid w:val="00130ABA"/>
    <w:rsid w:val="00130F3C"/>
    <w:rsid w:val="00130F7E"/>
    <w:rsid w:val="00131212"/>
    <w:rsid w:val="00131375"/>
    <w:rsid w:val="001313C4"/>
    <w:rsid w:val="00131664"/>
    <w:rsid w:val="001316C4"/>
    <w:rsid w:val="001319EE"/>
    <w:rsid w:val="00131BF3"/>
    <w:rsid w:val="00131D6A"/>
    <w:rsid w:val="00131E2B"/>
    <w:rsid w:val="00131E56"/>
    <w:rsid w:val="00132191"/>
    <w:rsid w:val="001321CC"/>
    <w:rsid w:val="0013229D"/>
    <w:rsid w:val="001329E0"/>
    <w:rsid w:val="00132A8A"/>
    <w:rsid w:val="00132E24"/>
    <w:rsid w:val="00132E6A"/>
    <w:rsid w:val="00132FFA"/>
    <w:rsid w:val="001332F9"/>
    <w:rsid w:val="00133309"/>
    <w:rsid w:val="001337B0"/>
    <w:rsid w:val="00133A15"/>
    <w:rsid w:val="00133E63"/>
    <w:rsid w:val="00134005"/>
    <w:rsid w:val="001340FF"/>
    <w:rsid w:val="0013413C"/>
    <w:rsid w:val="00134236"/>
    <w:rsid w:val="001342B9"/>
    <w:rsid w:val="00134340"/>
    <w:rsid w:val="001346DE"/>
    <w:rsid w:val="001349A7"/>
    <w:rsid w:val="00134EBB"/>
    <w:rsid w:val="001353E8"/>
    <w:rsid w:val="0013544B"/>
    <w:rsid w:val="00135458"/>
    <w:rsid w:val="001355C3"/>
    <w:rsid w:val="001358B4"/>
    <w:rsid w:val="001358EF"/>
    <w:rsid w:val="00135D4C"/>
    <w:rsid w:val="00135DAD"/>
    <w:rsid w:val="00135E21"/>
    <w:rsid w:val="00135F03"/>
    <w:rsid w:val="00135FBD"/>
    <w:rsid w:val="00136099"/>
    <w:rsid w:val="001362BB"/>
    <w:rsid w:val="0013637B"/>
    <w:rsid w:val="001363C5"/>
    <w:rsid w:val="00136818"/>
    <w:rsid w:val="00136C57"/>
    <w:rsid w:val="00136D7B"/>
    <w:rsid w:val="00136F41"/>
    <w:rsid w:val="00137039"/>
    <w:rsid w:val="00137556"/>
    <w:rsid w:val="00137754"/>
    <w:rsid w:val="00137ADF"/>
    <w:rsid w:val="00137BBF"/>
    <w:rsid w:val="00137C01"/>
    <w:rsid w:val="00137DA2"/>
    <w:rsid w:val="00140194"/>
    <w:rsid w:val="00140619"/>
    <w:rsid w:val="00140782"/>
    <w:rsid w:val="001408A8"/>
    <w:rsid w:val="0014090B"/>
    <w:rsid w:val="00140D57"/>
    <w:rsid w:val="0014119D"/>
    <w:rsid w:val="001412DA"/>
    <w:rsid w:val="00141616"/>
    <w:rsid w:val="00141633"/>
    <w:rsid w:val="00141739"/>
    <w:rsid w:val="00141827"/>
    <w:rsid w:val="00141835"/>
    <w:rsid w:val="00141AD9"/>
    <w:rsid w:val="00142124"/>
    <w:rsid w:val="00142298"/>
    <w:rsid w:val="001422B2"/>
    <w:rsid w:val="001422B7"/>
    <w:rsid w:val="00142437"/>
    <w:rsid w:val="00142901"/>
    <w:rsid w:val="001429D2"/>
    <w:rsid w:val="00142AAF"/>
    <w:rsid w:val="00142B52"/>
    <w:rsid w:val="00142BD5"/>
    <w:rsid w:val="00142FCE"/>
    <w:rsid w:val="001430AF"/>
    <w:rsid w:val="00143184"/>
    <w:rsid w:val="001431EA"/>
    <w:rsid w:val="0014328C"/>
    <w:rsid w:val="00143377"/>
    <w:rsid w:val="001435A2"/>
    <w:rsid w:val="00143677"/>
    <w:rsid w:val="001438A0"/>
    <w:rsid w:val="00143B1A"/>
    <w:rsid w:val="00143C98"/>
    <w:rsid w:val="0014404F"/>
    <w:rsid w:val="00144064"/>
    <w:rsid w:val="00144384"/>
    <w:rsid w:val="00144663"/>
    <w:rsid w:val="001448BE"/>
    <w:rsid w:val="00144CAF"/>
    <w:rsid w:val="00145135"/>
    <w:rsid w:val="0014514A"/>
    <w:rsid w:val="00145265"/>
    <w:rsid w:val="001452DF"/>
    <w:rsid w:val="0014530B"/>
    <w:rsid w:val="00145402"/>
    <w:rsid w:val="001455CB"/>
    <w:rsid w:val="0014568B"/>
    <w:rsid w:val="001456C4"/>
    <w:rsid w:val="001456D2"/>
    <w:rsid w:val="001459A0"/>
    <w:rsid w:val="001459EA"/>
    <w:rsid w:val="00145A08"/>
    <w:rsid w:val="00145B01"/>
    <w:rsid w:val="00145BFA"/>
    <w:rsid w:val="00146166"/>
    <w:rsid w:val="00146287"/>
    <w:rsid w:val="00146542"/>
    <w:rsid w:val="00146670"/>
    <w:rsid w:val="00146860"/>
    <w:rsid w:val="00146A50"/>
    <w:rsid w:val="00146C51"/>
    <w:rsid w:val="00146DBB"/>
    <w:rsid w:val="00146FD4"/>
    <w:rsid w:val="00146FE3"/>
    <w:rsid w:val="00146FF0"/>
    <w:rsid w:val="0014712B"/>
    <w:rsid w:val="001476B9"/>
    <w:rsid w:val="001477E0"/>
    <w:rsid w:val="001478EA"/>
    <w:rsid w:val="0014794B"/>
    <w:rsid w:val="001479CC"/>
    <w:rsid w:val="00147A22"/>
    <w:rsid w:val="00147E98"/>
    <w:rsid w:val="00147F07"/>
    <w:rsid w:val="00150206"/>
    <w:rsid w:val="0015037E"/>
    <w:rsid w:val="0015044D"/>
    <w:rsid w:val="00150733"/>
    <w:rsid w:val="001508DF"/>
    <w:rsid w:val="0015098B"/>
    <w:rsid w:val="001509B1"/>
    <w:rsid w:val="00150B4D"/>
    <w:rsid w:val="00150C4B"/>
    <w:rsid w:val="00150D68"/>
    <w:rsid w:val="00150DAF"/>
    <w:rsid w:val="00150E06"/>
    <w:rsid w:val="00150E1C"/>
    <w:rsid w:val="0015140B"/>
    <w:rsid w:val="00151739"/>
    <w:rsid w:val="00151977"/>
    <w:rsid w:val="00151AB5"/>
    <w:rsid w:val="00151BFD"/>
    <w:rsid w:val="00151D6F"/>
    <w:rsid w:val="00151E58"/>
    <w:rsid w:val="00152240"/>
    <w:rsid w:val="001523FC"/>
    <w:rsid w:val="0015257E"/>
    <w:rsid w:val="001525D8"/>
    <w:rsid w:val="001525E5"/>
    <w:rsid w:val="00152722"/>
    <w:rsid w:val="001528EB"/>
    <w:rsid w:val="00152B20"/>
    <w:rsid w:val="00152CBE"/>
    <w:rsid w:val="0015321E"/>
    <w:rsid w:val="00153288"/>
    <w:rsid w:val="001533F1"/>
    <w:rsid w:val="001534F0"/>
    <w:rsid w:val="001537A7"/>
    <w:rsid w:val="001537B7"/>
    <w:rsid w:val="0015384F"/>
    <w:rsid w:val="00153AD9"/>
    <w:rsid w:val="0015422E"/>
    <w:rsid w:val="001545AA"/>
    <w:rsid w:val="0015484A"/>
    <w:rsid w:val="00154A97"/>
    <w:rsid w:val="00154B52"/>
    <w:rsid w:val="00154B61"/>
    <w:rsid w:val="00154C47"/>
    <w:rsid w:val="00155066"/>
    <w:rsid w:val="00155128"/>
    <w:rsid w:val="0015513D"/>
    <w:rsid w:val="0015533E"/>
    <w:rsid w:val="001554A4"/>
    <w:rsid w:val="0015557C"/>
    <w:rsid w:val="001555A6"/>
    <w:rsid w:val="00155BD6"/>
    <w:rsid w:val="00155C74"/>
    <w:rsid w:val="00155C7B"/>
    <w:rsid w:val="00155E87"/>
    <w:rsid w:val="00155EBD"/>
    <w:rsid w:val="001563D9"/>
    <w:rsid w:val="0015641D"/>
    <w:rsid w:val="0015652B"/>
    <w:rsid w:val="001566AC"/>
    <w:rsid w:val="001566BB"/>
    <w:rsid w:val="001569C5"/>
    <w:rsid w:val="00156C00"/>
    <w:rsid w:val="00156C7E"/>
    <w:rsid w:val="00156D2C"/>
    <w:rsid w:val="00156FCA"/>
    <w:rsid w:val="00156FEC"/>
    <w:rsid w:val="001571AD"/>
    <w:rsid w:val="001573ED"/>
    <w:rsid w:val="00157557"/>
    <w:rsid w:val="00157668"/>
    <w:rsid w:val="00157687"/>
    <w:rsid w:val="00157741"/>
    <w:rsid w:val="0015785B"/>
    <w:rsid w:val="00157B2D"/>
    <w:rsid w:val="00157E6A"/>
    <w:rsid w:val="0016026E"/>
    <w:rsid w:val="0016035E"/>
    <w:rsid w:val="00160402"/>
    <w:rsid w:val="00160494"/>
    <w:rsid w:val="00160586"/>
    <w:rsid w:val="001605E8"/>
    <w:rsid w:val="001606A6"/>
    <w:rsid w:val="00160BD4"/>
    <w:rsid w:val="00160D16"/>
    <w:rsid w:val="00160E37"/>
    <w:rsid w:val="00160FC1"/>
    <w:rsid w:val="00161051"/>
    <w:rsid w:val="00161092"/>
    <w:rsid w:val="0016109E"/>
    <w:rsid w:val="00161517"/>
    <w:rsid w:val="00161736"/>
    <w:rsid w:val="00161888"/>
    <w:rsid w:val="00161A2E"/>
    <w:rsid w:val="00161C8C"/>
    <w:rsid w:val="00161CFE"/>
    <w:rsid w:val="00161D3D"/>
    <w:rsid w:val="00161DCB"/>
    <w:rsid w:val="001620E9"/>
    <w:rsid w:val="0016217A"/>
    <w:rsid w:val="00162554"/>
    <w:rsid w:val="00162640"/>
    <w:rsid w:val="0016267F"/>
    <w:rsid w:val="0016288D"/>
    <w:rsid w:val="001628A7"/>
    <w:rsid w:val="00162AC4"/>
    <w:rsid w:val="00162B98"/>
    <w:rsid w:val="00162BE5"/>
    <w:rsid w:val="00162BFB"/>
    <w:rsid w:val="00162D43"/>
    <w:rsid w:val="00162D9E"/>
    <w:rsid w:val="00162DC9"/>
    <w:rsid w:val="00162F60"/>
    <w:rsid w:val="0016304C"/>
    <w:rsid w:val="0016328A"/>
    <w:rsid w:val="001632E0"/>
    <w:rsid w:val="001633E2"/>
    <w:rsid w:val="0016356D"/>
    <w:rsid w:val="001636A0"/>
    <w:rsid w:val="00163854"/>
    <w:rsid w:val="001638B1"/>
    <w:rsid w:val="00163A2E"/>
    <w:rsid w:val="00163A3E"/>
    <w:rsid w:val="00163C7B"/>
    <w:rsid w:val="00164189"/>
    <w:rsid w:val="001643B7"/>
    <w:rsid w:val="001643FD"/>
    <w:rsid w:val="001645B9"/>
    <w:rsid w:val="00164731"/>
    <w:rsid w:val="0016496D"/>
    <w:rsid w:val="00164DA0"/>
    <w:rsid w:val="00164DAB"/>
    <w:rsid w:val="00164DC8"/>
    <w:rsid w:val="00164F3F"/>
    <w:rsid w:val="001651B2"/>
    <w:rsid w:val="00165234"/>
    <w:rsid w:val="00165539"/>
    <w:rsid w:val="0016563B"/>
    <w:rsid w:val="001656B0"/>
    <w:rsid w:val="0016572B"/>
    <w:rsid w:val="001657B9"/>
    <w:rsid w:val="001657E6"/>
    <w:rsid w:val="00165891"/>
    <w:rsid w:val="001658AE"/>
    <w:rsid w:val="00165918"/>
    <w:rsid w:val="001659D6"/>
    <w:rsid w:val="00165A5B"/>
    <w:rsid w:val="0016625A"/>
    <w:rsid w:val="001664BD"/>
    <w:rsid w:val="001664E8"/>
    <w:rsid w:val="00166528"/>
    <w:rsid w:val="00166718"/>
    <w:rsid w:val="001667C2"/>
    <w:rsid w:val="001667EE"/>
    <w:rsid w:val="00166943"/>
    <w:rsid w:val="001669E7"/>
    <w:rsid w:val="00166EB7"/>
    <w:rsid w:val="00166F07"/>
    <w:rsid w:val="00166F82"/>
    <w:rsid w:val="0016700A"/>
    <w:rsid w:val="001670A9"/>
    <w:rsid w:val="0016726D"/>
    <w:rsid w:val="001674ED"/>
    <w:rsid w:val="001675B4"/>
    <w:rsid w:val="0016760F"/>
    <w:rsid w:val="001678E2"/>
    <w:rsid w:val="00167BA3"/>
    <w:rsid w:val="00167D29"/>
    <w:rsid w:val="00167E97"/>
    <w:rsid w:val="00167F13"/>
    <w:rsid w:val="00167F4C"/>
    <w:rsid w:val="00170430"/>
    <w:rsid w:val="0017051A"/>
    <w:rsid w:val="001706A3"/>
    <w:rsid w:val="0017073E"/>
    <w:rsid w:val="00170882"/>
    <w:rsid w:val="00170A20"/>
    <w:rsid w:val="00170A5C"/>
    <w:rsid w:val="00170B5D"/>
    <w:rsid w:val="00170BCD"/>
    <w:rsid w:val="00170CD7"/>
    <w:rsid w:val="00170E78"/>
    <w:rsid w:val="00171123"/>
    <w:rsid w:val="0017113A"/>
    <w:rsid w:val="001711BC"/>
    <w:rsid w:val="00171222"/>
    <w:rsid w:val="0017163C"/>
    <w:rsid w:val="001716C4"/>
    <w:rsid w:val="001716D0"/>
    <w:rsid w:val="00171C33"/>
    <w:rsid w:val="00171D68"/>
    <w:rsid w:val="00171DD4"/>
    <w:rsid w:val="00171EDD"/>
    <w:rsid w:val="0017204F"/>
    <w:rsid w:val="001722D7"/>
    <w:rsid w:val="0017269D"/>
    <w:rsid w:val="001726C6"/>
    <w:rsid w:val="001727D8"/>
    <w:rsid w:val="001729FF"/>
    <w:rsid w:val="00172B20"/>
    <w:rsid w:val="00172BC5"/>
    <w:rsid w:val="00172C92"/>
    <w:rsid w:val="00172D38"/>
    <w:rsid w:val="00172EEA"/>
    <w:rsid w:val="00172F84"/>
    <w:rsid w:val="001733E9"/>
    <w:rsid w:val="001734CA"/>
    <w:rsid w:val="001735EA"/>
    <w:rsid w:val="00173BC1"/>
    <w:rsid w:val="00173BE3"/>
    <w:rsid w:val="00173E7B"/>
    <w:rsid w:val="00174023"/>
    <w:rsid w:val="00174053"/>
    <w:rsid w:val="001741BC"/>
    <w:rsid w:val="00174794"/>
    <w:rsid w:val="00174A3E"/>
    <w:rsid w:val="00174C99"/>
    <w:rsid w:val="00174F9F"/>
    <w:rsid w:val="00175030"/>
    <w:rsid w:val="00175078"/>
    <w:rsid w:val="001751A5"/>
    <w:rsid w:val="001751C7"/>
    <w:rsid w:val="00175277"/>
    <w:rsid w:val="00175391"/>
    <w:rsid w:val="001753D4"/>
    <w:rsid w:val="0017541F"/>
    <w:rsid w:val="00175534"/>
    <w:rsid w:val="0017580F"/>
    <w:rsid w:val="00175A55"/>
    <w:rsid w:val="00175BF1"/>
    <w:rsid w:val="00175BF7"/>
    <w:rsid w:val="00175C0C"/>
    <w:rsid w:val="00175DAC"/>
    <w:rsid w:val="00175E49"/>
    <w:rsid w:val="00175E63"/>
    <w:rsid w:val="0017604A"/>
    <w:rsid w:val="00176087"/>
    <w:rsid w:val="00176122"/>
    <w:rsid w:val="00176301"/>
    <w:rsid w:val="0017638D"/>
    <w:rsid w:val="00176390"/>
    <w:rsid w:val="00176402"/>
    <w:rsid w:val="00176678"/>
    <w:rsid w:val="0017682D"/>
    <w:rsid w:val="00176926"/>
    <w:rsid w:val="00176B0C"/>
    <w:rsid w:val="00176D6A"/>
    <w:rsid w:val="00176DF9"/>
    <w:rsid w:val="00176E81"/>
    <w:rsid w:val="00176F0D"/>
    <w:rsid w:val="0017700A"/>
    <w:rsid w:val="0017718C"/>
    <w:rsid w:val="00177358"/>
    <w:rsid w:val="00177439"/>
    <w:rsid w:val="001774C3"/>
    <w:rsid w:val="001774DD"/>
    <w:rsid w:val="00177527"/>
    <w:rsid w:val="0017759D"/>
    <w:rsid w:val="00177669"/>
    <w:rsid w:val="001776AA"/>
    <w:rsid w:val="001777D3"/>
    <w:rsid w:val="00177941"/>
    <w:rsid w:val="00177A9F"/>
    <w:rsid w:val="00177B1D"/>
    <w:rsid w:val="00177B3E"/>
    <w:rsid w:val="00177C78"/>
    <w:rsid w:val="00177D34"/>
    <w:rsid w:val="00177DA8"/>
    <w:rsid w:val="00177EA7"/>
    <w:rsid w:val="001800C2"/>
    <w:rsid w:val="001802E9"/>
    <w:rsid w:val="00180361"/>
    <w:rsid w:val="001805FD"/>
    <w:rsid w:val="001807EF"/>
    <w:rsid w:val="001809A8"/>
    <w:rsid w:val="00180A42"/>
    <w:rsid w:val="00180AA9"/>
    <w:rsid w:val="00180BE2"/>
    <w:rsid w:val="00180F8F"/>
    <w:rsid w:val="00181175"/>
    <w:rsid w:val="001814A4"/>
    <w:rsid w:val="001814E5"/>
    <w:rsid w:val="001814FF"/>
    <w:rsid w:val="001817EA"/>
    <w:rsid w:val="00181A71"/>
    <w:rsid w:val="00181E98"/>
    <w:rsid w:val="00182121"/>
    <w:rsid w:val="0018220D"/>
    <w:rsid w:val="00182261"/>
    <w:rsid w:val="001824F3"/>
    <w:rsid w:val="0018264F"/>
    <w:rsid w:val="001826FA"/>
    <w:rsid w:val="00182717"/>
    <w:rsid w:val="00182AB1"/>
    <w:rsid w:val="00182D45"/>
    <w:rsid w:val="00182E9C"/>
    <w:rsid w:val="00182F6B"/>
    <w:rsid w:val="00183353"/>
    <w:rsid w:val="001833A4"/>
    <w:rsid w:val="0018393F"/>
    <w:rsid w:val="0018398E"/>
    <w:rsid w:val="00183ACE"/>
    <w:rsid w:val="00183DFF"/>
    <w:rsid w:val="00184011"/>
    <w:rsid w:val="00184196"/>
    <w:rsid w:val="001841E4"/>
    <w:rsid w:val="001842B7"/>
    <w:rsid w:val="00184699"/>
    <w:rsid w:val="00184754"/>
    <w:rsid w:val="001848FC"/>
    <w:rsid w:val="00184919"/>
    <w:rsid w:val="00184992"/>
    <w:rsid w:val="00184A12"/>
    <w:rsid w:val="00184A2F"/>
    <w:rsid w:val="00184AB3"/>
    <w:rsid w:val="00184D26"/>
    <w:rsid w:val="00184D83"/>
    <w:rsid w:val="00184DAA"/>
    <w:rsid w:val="00184DBD"/>
    <w:rsid w:val="00184FFC"/>
    <w:rsid w:val="0018508E"/>
    <w:rsid w:val="001850C2"/>
    <w:rsid w:val="0018513E"/>
    <w:rsid w:val="0018527C"/>
    <w:rsid w:val="00185329"/>
    <w:rsid w:val="00185463"/>
    <w:rsid w:val="0018570A"/>
    <w:rsid w:val="0018578D"/>
    <w:rsid w:val="00185896"/>
    <w:rsid w:val="00185A22"/>
    <w:rsid w:val="00185AB0"/>
    <w:rsid w:val="00185CEA"/>
    <w:rsid w:val="00185D93"/>
    <w:rsid w:val="00185F66"/>
    <w:rsid w:val="00185F76"/>
    <w:rsid w:val="00186325"/>
    <w:rsid w:val="001864E9"/>
    <w:rsid w:val="001865A8"/>
    <w:rsid w:val="00186AFF"/>
    <w:rsid w:val="00186C39"/>
    <w:rsid w:val="00186D8C"/>
    <w:rsid w:val="0018714E"/>
    <w:rsid w:val="0018744B"/>
    <w:rsid w:val="0018771B"/>
    <w:rsid w:val="0018777F"/>
    <w:rsid w:val="00187C7E"/>
    <w:rsid w:val="00187CEE"/>
    <w:rsid w:val="00187D4C"/>
    <w:rsid w:val="00190000"/>
    <w:rsid w:val="0019018B"/>
    <w:rsid w:val="001901C6"/>
    <w:rsid w:val="0019026B"/>
    <w:rsid w:val="00190360"/>
    <w:rsid w:val="001903B7"/>
    <w:rsid w:val="00190436"/>
    <w:rsid w:val="00190581"/>
    <w:rsid w:val="001906EE"/>
    <w:rsid w:val="00190727"/>
    <w:rsid w:val="0019088E"/>
    <w:rsid w:val="00190A16"/>
    <w:rsid w:val="00190C0F"/>
    <w:rsid w:val="00191244"/>
    <w:rsid w:val="001915A5"/>
    <w:rsid w:val="00191756"/>
    <w:rsid w:val="001917F9"/>
    <w:rsid w:val="00191930"/>
    <w:rsid w:val="00191945"/>
    <w:rsid w:val="00191C81"/>
    <w:rsid w:val="00191CB1"/>
    <w:rsid w:val="00191F56"/>
    <w:rsid w:val="00192005"/>
    <w:rsid w:val="001921DB"/>
    <w:rsid w:val="00192223"/>
    <w:rsid w:val="001923FC"/>
    <w:rsid w:val="00192449"/>
    <w:rsid w:val="00192586"/>
    <w:rsid w:val="00192AFB"/>
    <w:rsid w:val="00192C89"/>
    <w:rsid w:val="00192DF5"/>
    <w:rsid w:val="00192FD1"/>
    <w:rsid w:val="00193230"/>
    <w:rsid w:val="001932D3"/>
    <w:rsid w:val="00193438"/>
    <w:rsid w:val="001935A9"/>
    <w:rsid w:val="00193626"/>
    <w:rsid w:val="00193654"/>
    <w:rsid w:val="00193B1F"/>
    <w:rsid w:val="00193D86"/>
    <w:rsid w:val="00194242"/>
    <w:rsid w:val="001945A8"/>
    <w:rsid w:val="00194667"/>
    <w:rsid w:val="0019482C"/>
    <w:rsid w:val="00194AA9"/>
    <w:rsid w:val="00194B3D"/>
    <w:rsid w:val="00194BB6"/>
    <w:rsid w:val="00194BEC"/>
    <w:rsid w:val="00194F4A"/>
    <w:rsid w:val="00194FD0"/>
    <w:rsid w:val="00195125"/>
    <w:rsid w:val="0019513E"/>
    <w:rsid w:val="001951E1"/>
    <w:rsid w:val="00195266"/>
    <w:rsid w:val="001952F7"/>
    <w:rsid w:val="0019542B"/>
    <w:rsid w:val="001957E0"/>
    <w:rsid w:val="001959C5"/>
    <w:rsid w:val="00195D63"/>
    <w:rsid w:val="00195EAF"/>
    <w:rsid w:val="00195F03"/>
    <w:rsid w:val="0019601E"/>
    <w:rsid w:val="0019606D"/>
    <w:rsid w:val="0019608A"/>
    <w:rsid w:val="0019618F"/>
    <w:rsid w:val="001964A8"/>
    <w:rsid w:val="001965A3"/>
    <w:rsid w:val="001965CA"/>
    <w:rsid w:val="00196693"/>
    <w:rsid w:val="00196A76"/>
    <w:rsid w:val="00196AD9"/>
    <w:rsid w:val="00196BE9"/>
    <w:rsid w:val="00196DC9"/>
    <w:rsid w:val="00197118"/>
    <w:rsid w:val="001972B7"/>
    <w:rsid w:val="00197339"/>
    <w:rsid w:val="00197770"/>
    <w:rsid w:val="0019785D"/>
    <w:rsid w:val="0019786F"/>
    <w:rsid w:val="00197917"/>
    <w:rsid w:val="00197E35"/>
    <w:rsid w:val="00197E5F"/>
    <w:rsid w:val="00197FBE"/>
    <w:rsid w:val="00199FED"/>
    <w:rsid w:val="001A03C5"/>
    <w:rsid w:val="001A0535"/>
    <w:rsid w:val="001A0718"/>
    <w:rsid w:val="001A07D2"/>
    <w:rsid w:val="001A088A"/>
    <w:rsid w:val="001A08B1"/>
    <w:rsid w:val="001A09AF"/>
    <w:rsid w:val="001A0B4A"/>
    <w:rsid w:val="001A0B79"/>
    <w:rsid w:val="001A0CE6"/>
    <w:rsid w:val="001A0DC2"/>
    <w:rsid w:val="001A0E28"/>
    <w:rsid w:val="001A1231"/>
    <w:rsid w:val="001A13CB"/>
    <w:rsid w:val="001A1449"/>
    <w:rsid w:val="001A14B6"/>
    <w:rsid w:val="001A1728"/>
    <w:rsid w:val="001A19DA"/>
    <w:rsid w:val="001A1A59"/>
    <w:rsid w:val="001A1D7A"/>
    <w:rsid w:val="001A1DB9"/>
    <w:rsid w:val="001A1E3F"/>
    <w:rsid w:val="001A1E62"/>
    <w:rsid w:val="001A1E65"/>
    <w:rsid w:val="001A1F1B"/>
    <w:rsid w:val="001A2026"/>
    <w:rsid w:val="001A21B7"/>
    <w:rsid w:val="001A2213"/>
    <w:rsid w:val="001A244D"/>
    <w:rsid w:val="001A25FA"/>
    <w:rsid w:val="001A2689"/>
    <w:rsid w:val="001A2AB5"/>
    <w:rsid w:val="001A2D83"/>
    <w:rsid w:val="001A2F4F"/>
    <w:rsid w:val="001A2FF0"/>
    <w:rsid w:val="001A30DC"/>
    <w:rsid w:val="001A30E6"/>
    <w:rsid w:val="001A3204"/>
    <w:rsid w:val="001A3498"/>
    <w:rsid w:val="001A34B6"/>
    <w:rsid w:val="001A35D2"/>
    <w:rsid w:val="001A3669"/>
    <w:rsid w:val="001A3876"/>
    <w:rsid w:val="001A3981"/>
    <w:rsid w:val="001A3BAE"/>
    <w:rsid w:val="001A3D2C"/>
    <w:rsid w:val="001A40A6"/>
    <w:rsid w:val="001A4250"/>
    <w:rsid w:val="001A4759"/>
    <w:rsid w:val="001A492B"/>
    <w:rsid w:val="001A4C66"/>
    <w:rsid w:val="001A4CBF"/>
    <w:rsid w:val="001A4D96"/>
    <w:rsid w:val="001A4F17"/>
    <w:rsid w:val="001A5072"/>
    <w:rsid w:val="001A55EB"/>
    <w:rsid w:val="001A5653"/>
    <w:rsid w:val="001A56B4"/>
    <w:rsid w:val="001A5814"/>
    <w:rsid w:val="001A581B"/>
    <w:rsid w:val="001A58C9"/>
    <w:rsid w:val="001A5AA8"/>
    <w:rsid w:val="001A5B6E"/>
    <w:rsid w:val="001A5C57"/>
    <w:rsid w:val="001A5CA9"/>
    <w:rsid w:val="001A5D0C"/>
    <w:rsid w:val="001A5FA9"/>
    <w:rsid w:val="001A60CA"/>
    <w:rsid w:val="001A60F5"/>
    <w:rsid w:val="001A6109"/>
    <w:rsid w:val="001A6156"/>
    <w:rsid w:val="001A629F"/>
    <w:rsid w:val="001A6323"/>
    <w:rsid w:val="001A6333"/>
    <w:rsid w:val="001A6364"/>
    <w:rsid w:val="001A6437"/>
    <w:rsid w:val="001A6625"/>
    <w:rsid w:val="001A665B"/>
    <w:rsid w:val="001A6887"/>
    <w:rsid w:val="001A6A4E"/>
    <w:rsid w:val="001A6B52"/>
    <w:rsid w:val="001A6BC0"/>
    <w:rsid w:val="001A6C62"/>
    <w:rsid w:val="001A70F1"/>
    <w:rsid w:val="001A7322"/>
    <w:rsid w:val="001A76D6"/>
    <w:rsid w:val="001A7C55"/>
    <w:rsid w:val="001A7C5B"/>
    <w:rsid w:val="001A7DED"/>
    <w:rsid w:val="001B0118"/>
    <w:rsid w:val="001B0253"/>
    <w:rsid w:val="001B02CF"/>
    <w:rsid w:val="001B043C"/>
    <w:rsid w:val="001B0521"/>
    <w:rsid w:val="001B055D"/>
    <w:rsid w:val="001B0F51"/>
    <w:rsid w:val="001B0FE0"/>
    <w:rsid w:val="001B100F"/>
    <w:rsid w:val="001B10C1"/>
    <w:rsid w:val="001B12CE"/>
    <w:rsid w:val="001B1396"/>
    <w:rsid w:val="001B157C"/>
    <w:rsid w:val="001B15C6"/>
    <w:rsid w:val="001B1896"/>
    <w:rsid w:val="001B18F5"/>
    <w:rsid w:val="001B1970"/>
    <w:rsid w:val="001B19FE"/>
    <w:rsid w:val="001B1CB5"/>
    <w:rsid w:val="001B1D16"/>
    <w:rsid w:val="001B1E72"/>
    <w:rsid w:val="001B201A"/>
    <w:rsid w:val="001B20B8"/>
    <w:rsid w:val="001B20BB"/>
    <w:rsid w:val="001B20F3"/>
    <w:rsid w:val="001B23ED"/>
    <w:rsid w:val="001B26E4"/>
    <w:rsid w:val="001B27C2"/>
    <w:rsid w:val="001B2862"/>
    <w:rsid w:val="001B28DB"/>
    <w:rsid w:val="001B2928"/>
    <w:rsid w:val="001B2A24"/>
    <w:rsid w:val="001B2B1D"/>
    <w:rsid w:val="001B2B80"/>
    <w:rsid w:val="001B323C"/>
    <w:rsid w:val="001B365A"/>
    <w:rsid w:val="001B37A9"/>
    <w:rsid w:val="001B3938"/>
    <w:rsid w:val="001B3AF6"/>
    <w:rsid w:val="001B3BA4"/>
    <w:rsid w:val="001B3EA8"/>
    <w:rsid w:val="001B4236"/>
    <w:rsid w:val="001B472F"/>
    <w:rsid w:val="001B477C"/>
    <w:rsid w:val="001B4780"/>
    <w:rsid w:val="001B4985"/>
    <w:rsid w:val="001B4A10"/>
    <w:rsid w:val="001B4AAD"/>
    <w:rsid w:val="001B4BB6"/>
    <w:rsid w:val="001B4CDA"/>
    <w:rsid w:val="001B4DFF"/>
    <w:rsid w:val="001B50E2"/>
    <w:rsid w:val="001B53B4"/>
    <w:rsid w:val="001B54E8"/>
    <w:rsid w:val="001B562F"/>
    <w:rsid w:val="001B56AD"/>
    <w:rsid w:val="001B5722"/>
    <w:rsid w:val="001B596D"/>
    <w:rsid w:val="001B5980"/>
    <w:rsid w:val="001B5AD4"/>
    <w:rsid w:val="001B5AD5"/>
    <w:rsid w:val="001B5B18"/>
    <w:rsid w:val="001B5B5B"/>
    <w:rsid w:val="001B5C29"/>
    <w:rsid w:val="001B5E25"/>
    <w:rsid w:val="001B5FC1"/>
    <w:rsid w:val="001B603D"/>
    <w:rsid w:val="001B64F4"/>
    <w:rsid w:val="001B6857"/>
    <w:rsid w:val="001B691D"/>
    <w:rsid w:val="001B6A21"/>
    <w:rsid w:val="001B6DDC"/>
    <w:rsid w:val="001B7294"/>
    <w:rsid w:val="001B765D"/>
    <w:rsid w:val="001B78BD"/>
    <w:rsid w:val="001B78DB"/>
    <w:rsid w:val="001B798E"/>
    <w:rsid w:val="001B79EA"/>
    <w:rsid w:val="001B7BC8"/>
    <w:rsid w:val="001B7C07"/>
    <w:rsid w:val="001B7E37"/>
    <w:rsid w:val="001B7F3E"/>
    <w:rsid w:val="001C003E"/>
    <w:rsid w:val="001C009C"/>
    <w:rsid w:val="001C00B7"/>
    <w:rsid w:val="001C01F9"/>
    <w:rsid w:val="001C01FA"/>
    <w:rsid w:val="001C0247"/>
    <w:rsid w:val="001C024E"/>
    <w:rsid w:val="001C0B2F"/>
    <w:rsid w:val="001C0C41"/>
    <w:rsid w:val="001C1055"/>
    <w:rsid w:val="001C1097"/>
    <w:rsid w:val="001C109A"/>
    <w:rsid w:val="001C1247"/>
    <w:rsid w:val="001C1285"/>
    <w:rsid w:val="001C12EC"/>
    <w:rsid w:val="001C12FF"/>
    <w:rsid w:val="001C1333"/>
    <w:rsid w:val="001C1530"/>
    <w:rsid w:val="001C171F"/>
    <w:rsid w:val="001C18B6"/>
    <w:rsid w:val="001C1AE9"/>
    <w:rsid w:val="001C1C40"/>
    <w:rsid w:val="001C1E90"/>
    <w:rsid w:val="001C214F"/>
    <w:rsid w:val="001C2169"/>
    <w:rsid w:val="001C22AB"/>
    <w:rsid w:val="001C2390"/>
    <w:rsid w:val="001C24D0"/>
    <w:rsid w:val="001C25B2"/>
    <w:rsid w:val="001C27C3"/>
    <w:rsid w:val="001C2B56"/>
    <w:rsid w:val="001C2BBA"/>
    <w:rsid w:val="001C2BC3"/>
    <w:rsid w:val="001C2C06"/>
    <w:rsid w:val="001C3259"/>
    <w:rsid w:val="001C34B4"/>
    <w:rsid w:val="001C35C6"/>
    <w:rsid w:val="001C3646"/>
    <w:rsid w:val="001C37CE"/>
    <w:rsid w:val="001C387C"/>
    <w:rsid w:val="001C3900"/>
    <w:rsid w:val="001C3F92"/>
    <w:rsid w:val="001C43FF"/>
    <w:rsid w:val="001C48EE"/>
    <w:rsid w:val="001C4951"/>
    <w:rsid w:val="001C49A5"/>
    <w:rsid w:val="001C4A96"/>
    <w:rsid w:val="001C4B67"/>
    <w:rsid w:val="001C4B77"/>
    <w:rsid w:val="001C4BE4"/>
    <w:rsid w:val="001C4C01"/>
    <w:rsid w:val="001C5099"/>
    <w:rsid w:val="001C532A"/>
    <w:rsid w:val="001C5331"/>
    <w:rsid w:val="001C55FC"/>
    <w:rsid w:val="001C577C"/>
    <w:rsid w:val="001C5883"/>
    <w:rsid w:val="001C58AF"/>
    <w:rsid w:val="001C5A03"/>
    <w:rsid w:val="001C5A4A"/>
    <w:rsid w:val="001C5C05"/>
    <w:rsid w:val="001C5D2A"/>
    <w:rsid w:val="001C5F36"/>
    <w:rsid w:val="001C5FE9"/>
    <w:rsid w:val="001C6026"/>
    <w:rsid w:val="001C6097"/>
    <w:rsid w:val="001C6379"/>
    <w:rsid w:val="001C6524"/>
    <w:rsid w:val="001C65EF"/>
    <w:rsid w:val="001C68A0"/>
    <w:rsid w:val="001C6AA6"/>
    <w:rsid w:val="001C6B57"/>
    <w:rsid w:val="001C6BB5"/>
    <w:rsid w:val="001C6E8B"/>
    <w:rsid w:val="001C716F"/>
    <w:rsid w:val="001C728D"/>
    <w:rsid w:val="001C737C"/>
    <w:rsid w:val="001C7462"/>
    <w:rsid w:val="001C7532"/>
    <w:rsid w:val="001C75DB"/>
    <w:rsid w:val="001C76D4"/>
    <w:rsid w:val="001C7819"/>
    <w:rsid w:val="001C78CA"/>
    <w:rsid w:val="001C7E84"/>
    <w:rsid w:val="001C7F20"/>
    <w:rsid w:val="001D0575"/>
    <w:rsid w:val="001D05F4"/>
    <w:rsid w:val="001D0A66"/>
    <w:rsid w:val="001D0AEE"/>
    <w:rsid w:val="001D0BA9"/>
    <w:rsid w:val="001D0C21"/>
    <w:rsid w:val="001D0C2A"/>
    <w:rsid w:val="001D0CE7"/>
    <w:rsid w:val="001D0E30"/>
    <w:rsid w:val="001D14FA"/>
    <w:rsid w:val="001D153F"/>
    <w:rsid w:val="001D165F"/>
    <w:rsid w:val="001D17A4"/>
    <w:rsid w:val="001D1869"/>
    <w:rsid w:val="001D1890"/>
    <w:rsid w:val="001D189B"/>
    <w:rsid w:val="001D1B01"/>
    <w:rsid w:val="001D1C24"/>
    <w:rsid w:val="001D1D3A"/>
    <w:rsid w:val="001D1FBB"/>
    <w:rsid w:val="001D1FED"/>
    <w:rsid w:val="001D214B"/>
    <w:rsid w:val="001D21F8"/>
    <w:rsid w:val="001D228B"/>
    <w:rsid w:val="001D2399"/>
    <w:rsid w:val="001D255A"/>
    <w:rsid w:val="001D26D9"/>
    <w:rsid w:val="001D2A44"/>
    <w:rsid w:val="001D2A7D"/>
    <w:rsid w:val="001D2C49"/>
    <w:rsid w:val="001D2D2E"/>
    <w:rsid w:val="001D2E48"/>
    <w:rsid w:val="001D34C0"/>
    <w:rsid w:val="001D3527"/>
    <w:rsid w:val="001D3973"/>
    <w:rsid w:val="001D39A2"/>
    <w:rsid w:val="001D3B83"/>
    <w:rsid w:val="001D3BBC"/>
    <w:rsid w:val="001D3BEC"/>
    <w:rsid w:val="001D3C8E"/>
    <w:rsid w:val="001D3EA8"/>
    <w:rsid w:val="001D4161"/>
    <w:rsid w:val="001D42AF"/>
    <w:rsid w:val="001D43EB"/>
    <w:rsid w:val="001D43F7"/>
    <w:rsid w:val="001D4791"/>
    <w:rsid w:val="001D47EC"/>
    <w:rsid w:val="001D488F"/>
    <w:rsid w:val="001D4EEB"/>
    <w:rsid w:val="001D5356"/>
    <w:rsid w:val="001D564B"/>
    <w:rsid w:val="001D56EF"/>
    <w:rsid w:val="001D579A"/>
    <w:rsid w:val="001D5860"/>
    <w:rsid w:val="001D59E6"/>
    <w:rsid w:val="001D5A43"/>
    <w:rsid w:val="001D6227"/>
    <w:rsid w:val="001D6272"/>
    <w:rsid w:val="001D636D"/>
    <w:rsid w:val="001D6489"/>
    <w:rsid w:val="001D64E0"/>
    <w:rsid w:val="001D659E"/>
    <w:rsid w:val="001D66E6"/>
    <w:rsid w:val="001D682D"/>
    <w:rsid w:val="001D6C72"/>
    <w:rsid w:val="001D6ECD"/>
    <w:rsid w:val="001D7650"/>
    <w:rsid w:val="001D7702"/>
    <w:rsid w:val="001D7A07"/>
    <w:rsid w:val="001D7BE3"/>
    <w:rsid w:val="001D7D85"/>
    <w:rsid w:val="001D7DBD"/>
    <w:rsid w:val="001E01D6"/>
    <w:rsid w:val="001E0280"/>
    <w:rsid w:val="001E04BA"/>
    <w:rsid w:val="001E05AA"/>
    <w:rsid w:val="001E0778"/>
    <w:rsid w:val="001E0896"/>
    <w:rsid w:val="001E0A3D"/>
    <w:rsid w:val="001E0B26"/>
    <w:rsid w:val="001E1378"/>
    <w:rsid w:val="001E1566"/>
    <w:rsid w:val="001E160D"/>
    <w:rsid w:val="001E179B"/>
    <w:rsid w:val="001E1811"/>
    <w:rsid w:val="001E181D"/>
    <w:rsid w:val="001E1A36"/>
    <w:rsid w:val="001E1A96"/>
    <w:rsid w:val="001E1B2B"/>
    <w:rsid w:val="001E1BC7"/>
    <w:rsid w:val="001E1F8B"/>
    <w:rsid w:val="001E229C"/>
    <w:rsid w:val="001E265A"/>
    <w:rsid w:val="001E2806"/>
    <w:rsid w:val="001E2860"/>
    <w:rsid w:val="001E2A2A"/>
    <w:rsid w:val="001E2CFE"/>
    <w:rsid w:val="001E2D12"/>
    <w:rsid w:val="001E2E87"/>
    <w:rsid w:val="001E3078"/>
    <w:rsid w:val="001E310D"/>
    <w:rsid w:val="001E313C"/>
    <w:rsid w:val="001E31F7"/>
    <w:rsid w:val="001E3239"/>
    <w:rsid w:val="001E349C"/>
    <w:rsid w:val="001E34B5"/>
    <w:rsid w:val="001E357F"/>
    <w:rsid w:val="001E387F"/>
    <w:rsid w:val="001E3BFF"/>
    <w:rsid w:val="001E3C8A"/>
    <w:rsid w:val="001E4443"/>
    <w:rsid w:val="001E468A"/>
    <w:rsid w:val="001E4C46"/>
    <w:rsid w:val="001E4D00"/>
    <w:rsid w:val="001E4DFB"/>
    <w:rsid w:val="001E4E9A"/>
    <w:rsid w:val="001E4F90"/>
    <w:rsid w:val="001E5099"/>
    <w:rsid w:val="001E5339"/>
    <w:rsid w:val="001E54DD"/>
    <w:rsid w:val="001E56EA"/>
    <w:rsid w:val="001E5A05"/>
    <w:rsid w:val="001E5DC4"/>
    <w:rsid w:val="001E5F4F"/>
    <w:rsid w:val="001E6320"/>
    <w:rsid w:val="001E6328"/>
    <w:rsid w:val="001E63CA"/>
    <w:rsid w:val="001E646F"/>
    <w:rsid w:val="001E6494"/>
    <w:rsid w:val="001E6497"/>
    <w:rsid w:val="001E65B6"/>
    <w:rsid w:val="001E6A2E"/>
    <w:rsid w:val="001E6A82"/>
    <w:rsid w:val="001E6B71"/>
    <w:rsid w:val="001E6C46"/>
    <w:rsid w:val="001E6C5F"/>
    <w:rsid w:val="001E6D73"/>
    <w:rsid w:val="001E6F21"/>
    <w:rsid w:val="001E7062"/>
    <w:rsid w:val="001E71EF"/>
    <w:rsid w:val="001E71F4"/>
    <w:rsid w:val="001E7906"/>
    <w:rsid w:val="001E7A85"/>
    <w:rsid w:val="001E7B95"/>
    <w:rsid w:val="001E7CBD"/>
    <w:rsid w:val="001E7DA7"/>
    <w:rsid w:val="001F00C8"/>
    <w:rsid w:val="001F0203"/>
    <w:rsid w:val="001F0251"/>
    <w:rsid w:val="001F03B4"/>
    <w:rsid w:val="001F0473"/>
    <w:rsid w:val="001F0487"/>
    <w:rsid w:val="001F0803"/>
    <w:rsid w:val="001F09EE"/>
    <w:rsid w:val="001F0E03"/>
    <w:rsid w:val="001F0F60"/>
    <w:rsid w:val="001F139C"/>
    <w:rsid w:val="001F13B2"/>
    <w:rsid w:val="001F1733"/>
    <w:rsid w:val="001F1792"/>
    <w:rsid w:val="001F1AC1"/>
    <w:rsid w:val="001F1CB0"/>
    <w:rsid w:val="001F1D9B"/>
    <w:rsid w:val="001F1F2E"/>
    <w:rsid w:val="001F2004"/>
    <w:rsid w:val="001F219B"/>
    <w:rsid w:val="001F243F"/>
    <w:rsid w:val="001F247F"/>
    <w:rsid w:val="001F24F2"/>
    <w:rsid w:val="001F2586"/>
    <w:rsid w:val="001F25B5"/>
    <w:rsid w:val="001F28D9"/>
    <w:rsid w:val="001F2BF1"/>
    <w:rsid w:val="001F2BF2"/>
    <w:rsid w:val="001F2F9E"/>
    <w:rsid w:val="001F342D"/>
    <w:rsid w:val="001F3777"/>
    <w:rsid w:val="001F37B8"/>
    <w:rsid w:val="001F3816"/>
    <w:rsid w:val="001F3A5C"/>
    <w:rsid w:val="001F3AE1"/>
    <w:rsid w:val="001F3B4D"/>
    <w:rsid w:val="001F3E66"/>
    <w:rsid w:val="001F452F"/>
    <w:rsid w:val="001F469F"/>
    <w:rsid w:val="001F4A6F"/>
    <w:rsid w:val="001F4B22"/>
    <w:rsid w:val="001F4BF9"/>
    <w:rsid w:val="001F4ECD"/>
    <w:rsid w:val="001F4EE3"/>
    <w:rsid w:val="001F50EA"/>
    <w:rsid w:val="001F5509"/>
    <w:rsid w:val="001F572F"/>
    <w:rsid w:val="001F57BC"/>
    <w:rsid w:val="001F5802"/>
    <w:rsid w:val="001F591E"/>
    <w:rsid w:val="001F59C2"/>
    <w:rsid w:val="001F5B18"/>
    <w:rsid w:val="001F5C7B"/>
    <w:rsid w:val="001F5DA9"/>
    <w:rsid w:val="001F5E8C"/>
    <w:rsid w:val="001F611A"/>
    <w:rsid w:val="001F64DC"/>
    <w:rsid w:val="001F67DB"/>
    <w:rsid w:val="001F68BB"/>
    <w:rsid w:val="001F6B68"/>
    <w:rsid w:val="001F6B7C"/>
    <w:rsid w:val="001F6B94"/>
    <w:rsid w:val="001F6D02"/>
    <w:rsid w:val="001F7071"/>
    <w:rsid w:val="001F7256"/>
    <w:rsid w:val="001F73C0"/>
    <w:rsid w:val="001F73E6"/>
    <w:rsid w:val="001F7530"/>
    <w:rsid w:val="001F7625"/>
    <w:rsid w:val="001F766E"/>
    <w:rsid w:val="001F79E4"/>
    <w:rsid w:val="001F7A48"/>
    <w:rsid w:val="001F7AAC"/>
    <w:rsid w:val="001F7B64"/>
    <w:rsid w:val="001F7E4F"/>
    <w:rsid w:val="001F7FEF"/>
    <w:rsid w:val="0020001D"/>
    <w:rsid w:val="002000DA"/>
    <w:rsid w:val="0020019F"/>
    <w:rsid w:val="002001AB"/>
    <w:rsid w:val="0020029F"/>
    <w:rsid w:val="00200384"/>
    <w:rsid w:val="002004CE"/>
    <w:rsid w:val="002004F5"/>
    <w:rsid w:val="002005CE"/>
    <w:rsid w:val="002008CA"/>
    <w:rsid w:val="00200B62"/>
    <w:rsid w:val="00200BC2"/>
    <w:rsid w:val="00200C9F"/>
    <w:rsid w:val="00200EF5"/>
    <w:rsid w:val="002013E8"/>
    <w:rsid w:val="00201495"/>
    <w:rsid w:val="0020175E"/>
    <w:rsid w:val="00201A9E"/>
    <w:rsid w:val="00201B7B"/>
    <w:rsid w:val="00201BD1"/>
    <w:rsid w:val="00201FCF"/>
    <w:rsid w:val="00202195"/>
    <w:rsid w:val="00202357"/>
    <w:rsid w:val="00202473"/>
    <w:rsid w:val="0020247F"/>
    <w:rsid w:val="002024C5"/>
    <w:rsid w:val="002024CF"/>
    <w:rsid w:val="002028B4"/>
    <w:rsid w:val="00202992"/>
    <w:rsid w:val="00202ABB"/>
    <w:rsid w:val="00202BC3"/>
    <w:rsid w:val="00202FFE"/>
    <w:rsid w:val="00203020"/>
    <w:rsid w:val="002035F5"/>
    <w:rsid w:val="00203656"/>
    <w:rsid w:val="00203680"/>
    <w:rsid w:val="00203915"/>
    <w:rsid w:val="00203B20"/>
    <w:rsid w:val="00203BD3"/>
    <w:rsid w:val="00203BE0"/>
    <w:rsid w:val="00203EBD"/>
    <w:rsid w:val="0020401E"/>
    <w:rsid w:val="002040E6"/>
    <w:rsid w:val="00204108"/>
    <w:rsid w:val="002046EA"/>
    <w:rsid w:val="002048E9"/>
    <w:rsid w:val="002049BC"/>
    <w:rsid w:val="00204B87"/>
    <w:rsid w:val="002051B1"/>
    <w:rsid w:val="002052D2"/>
    <w:rsid w:val="002052F5"/>
    <w:rsid w:val="0020543C"/>
    <w:rsid w:val="00205442"/>
    <w:rsid w:val="00205647"/>
    <w:rsid w:val="00205AA4"/>
    <w:rsid w:val="00205AB8"/>
    <w:rsid w:val="00205BBC"/>
    <w:rsid w:val="00205C41"/>
    <w:rsid w:val="00205D71"/>
    <w:rsid w:val="00205F5D"/>
    <w:rsid w:val="002060CB"/>
    <w:rsid w:val="002060EA"/>
    <w:rsid w:val="00206545"/>
    <w:rsid w:val="00206669"/>
    <w:rsid w:val="002066AB"/>
    <w:rsid w:val="0020670B"/>
    <w:rsid w:val="00206743"/>
    <w:rsid w:val="00206761"/>
    <w:rsid w:val="002067FB"/>
    <w:rsid w:val="00206874"/>
    <w:rsid w:val="002069F2"/>
    <w:rsid w:val="00206A01"/>
    <w:rsid w:val="00206AB3"/>
    <w:rsid w:val="00206C20"/>
    <w:rsid w:val="00206C21"/>
    <w:rsid w:val="00206D85"/>
    <w:rsid w:val="00206F6A"/>
    <w:rsid w:val="0020701A"/>
    <w:rsid w:val="00207179"/>
    <w:rsid w:val="0020717A"/>
    <w:rsid w:val="00207733"/>
    <w:rsid w:val="002077D9"/>
    <w:rsid w:val="002078BB"/>
    <w:rsid w:val="00207EE4"/>
    <w:rsid w:val="00207F41"/>
    <w:rsid w:val="002100C0"/>
    <w:rsid w:val="002103E4"/>
    <w:rsid w:val="00210620"/>
    <w:rsid w:val="00210887"/>
    <w:rsid w:val="00210A31"/>
    <w:rsid w:val="00210A99"/>
    <w:rsid w:val="00210C68"/>
    <w:rsid w:val="00210DE0"/>
    <w:rsid w:val="0021132A"/>
    <w:rsid w:val="002113D6"/>
    <w:rsid w:val="002114D6"/>
    <w:rsid w:val="00211511"/>
    <w:rsid w:val="0021186D"/>
    <w:rsid w:val="002118FE"/>
    <w:rsid w:val="00211C3C"/>
    <w:rsid w:val="00212046"/>
    <w:rsid w:val="00212105"/>
    <w:rsid w:val="0021223F"/>
    <w:rsid w:val="00212285"/>
    <w:rsid w:val="00212811"/>
    <w:rsid w:val="0021286F"/>
    <w:rsid w:val="00212874"/>
    <w:rsid w:val="002129A5"/>
    <w:rsid w:val="00212C4D"/>
    <w:rsid w:val="00212FD6"/>
    <w:rsid w:val="00213454"/>
    <w:rsid w:val="00213551"/>
    <w:rsid w:val="002138B7"/>
    <w:rsid w:val="002139F9"/>
    <w:rsid w:val="00213AE1"/>
    <w:rsid w:val="00213B72"/>
    <w:rsid w:val="00213BB1"/>
    <w:rsid w:val="00213CE2"/>
    <w:rsid w:val="00213D2E"/>
    <w:rsid w:val="00213D62"/>
    <w:rsid w:val="00213FD2"/>
    <w:rsid w:val="0021433D"/>
    <w:rsid w:val="002143CC"/>
    <w:rsid w:val="002143E9"/>
    <w:rsid w:val="00214512"/>
    <w:rsid w:val="002146B2"/>
    <w:rsid w:val="002146EA"/>
    <w:rsid w:val="002146ED"/>
    <w:rsid w:val="00214711"/>
    <w:rsid w:val="002147A4"/>
    <w:rsid w:val="002148B9"/>
    <w:rsid w:val="00214C3B"/>
    <w:rsid w:val="00214C82"/>
    <w:rsid w:val="00214E41"/>
    <w:rsid w:val="00214EBE"/>
    <w:rsid w:val="00214EE3"/>
    <w:rsid w:val="00214FD6"/>
    <w:rsid w:val="00215173"/>
    <w:rsid w:val="002153A0"/>
    <w:rsid w:val="0021549D"/>
    <w:rsid w:val="002154FB"/>
    <w:rsid w:val="002156C3"/>
    <w:rsid w:val="00215796"/>
    <w:rsid w:val="00215958"/>
    <w:rsid w:val="0021599E"/>
    <w:rsid w:val="00215AA5"/>
    <w:rsid w:val="00215AB5"/>
    <w:rsid w:val="00215B22"/>
    <w:rsid w:val="00215CBE"/>
    <w:rsid w:val="00215E28"/>
    <w:rsid w:val="00215EA6"/>
    <w:rsid w:val="00215F4B"/>
    <w:rsid w:val="00215F66"/>
    <w:rsid w:val="00215F96"/>
    <w:rsid w:val="0021616C"/>
    <w:rsid w:val="0021625A"/>
    <w:rsid w:val="002165D9"/>
    <w:rsid w:val="002166D0"/>
    <w:rsid w:val="00216733"/>
    <w:rsid w:val="00216773"/>
    <w:rsid w:val="00216821"/>
    <w:rsid w:val="00216852"/>
    <w:rsid w:val="002168A1"/>
    <w:rsid w:val="002169A2"/>
    <w:rsid w:val="002169C4"/>
    <w:rsid w:val="00216B57"/>
    <w:rsid w:val="0021713D"/>
    <w:rsid w:val="00217140"/>
    <w:rsid w:val="00217435"/>
    <w:rsid w:val="00217674"/>
    <w:rsid w:val="0021786F"/>
    <w:rsid w:val="00217AF5"/>
    <w:rsid w:val="00217B45"/>
    <w:rsid w:val="00217BA6"/>
    <w:rsid w:val="00217C30"/>
    <w:rsid w:val="00217F2F"/>
    <w:rsid w:val="0022012E"/>
    <w:rsid w:val="00220175"/>
    <w:rsid w:val="0022042C"/>
    <w:rsid w:val="0022055A"/>
    <w:rsid w:val="002205A7"/>
    <w:rsid w:val="002205D3"/>
    <w:rsid w:val="00220831"/>
    <w:rsid w:val="002209D4"/>
    <w:rsid w:val="00220A04"/>
    <w:rsid w:val="00220FB0"/>
    <w:rsid w:val="00221083"/>
    <w:rsid w:val="00221286"/>
    <w:rsid w:val="00221391"/>
    <w:rsid w:val="002213A4"/>
    <w:rsid w:val="002214F5"/>
    <w:rsid w:val="00221610"/>
    <w:rsid w:val="0022161A"/>
    <w:rsid w:val="0022162E"/>
    <w:rsid w:val="0022187F"/>
    <w:rsid w:val="002218FE"/>
    <w:rsid w:val="00221999"/>
    <w:rsid w:val="00221E78"/>
    <w:rsid w:val="00221E94"/>
    <w:rsid w:val="00221F08"/>
    <w:rsid w:val="002222DF"/>
    <w:rsid w:val="0022234A"/>
    <w:rsid w:val="002224A3"/>
    <w:rsid w:val="0022282C"/>
    <w:rsid w:val="00222A7C"/>
    <w:rsid w:val="00222BBD"/>
    <w:rsid w:val="00222CBC"/>
    <w:rsid w:val="00222DEB"/>
    <w:rsid w:val="00222E52"/>
    <w:rsid w:val="00222E9E"/>
    <w:rsid w:val="00222F4B"/>
    <w:rsid w:val="00222F7F"/>
    <w:rsid w:val="002231DC"/>
    <w:rsid w:val="002232D8"/>
    <w:rsid w:val="0022334E"/>
    <w:rsid w:val="002235DC"/>
    <w:rsid w:val="002236EE"/>
    <w:rsid w:val="00223798"/>
    <w:rsid w:val="00223AD5"/>
    <w:rsid w:val="00223BB9"/>
    <w:rsid w:val="00223BBE"/>
    <w:rsid w:val="00223EA6"/>
    <w:rsid w:val="002240B2"/>
    <w:rsid w:val="002245D4"/>
    <w:rsid w:val="00224606"/>
    <w:rsid w:val="002246C6"/>
    <w:rsid w:val="0022494C"/>
    <w:rsid w:val="00224AB7"/>
    <w:rsid w:val="00224BB0"/>
    <w:rsid w:val="00224C88"/>
    <w:rsid w:val="00224D3F"/>
    <w:rsid w:val="00224D6D"/>
    <w:rsid w:val="00224F2C"/>
    <w:rsid w:val="002250C8"/>
    <w:rsid w:val="0022518D"/>
    <w:rsid w:val="002251A0"/>
    <w:rsid w:val="00225280"/>
    <w:rsid w:val="002252FB"/>
    <w:rsid w:val="0022547E"/>
    <w:rsid w:val="00225582"/>
    <w:rsid w:val="0022562C"/>
    <w:rsid w:val="00225661"/>
    <w:rsid w:val="0022597C"/>
    <w:rsid w:val="00225A69"/>
    <w:rsid w:val="00225AC1"/>
    <w:rsid w:val="00225D39"/>
    <w:rsid w:val="00226084"/>
    <w:rsid w:val="0022637B"/>
    <w:rsid w:val="00226430"/>
    <w:rsid w:val="00226A75"/>
    <w:rsid w:val="00226EAD"/>
    <w:rsid w:val="0022706C"/>
    <w:rsid w:val="002275A6"/>
    <w:rsid w:val="00227740"/>
    <w:rsid w:val="00227C84"/>
    <w:rsid w:val="00227E50"/>
    <w:rsid w:val="00227F7D"/>
    <w:rsid w:val="00230113"/>
    <w:rsid w:val="00230166"/>
    <w:rsid w:val="00230194"/>
    <w:rsid w:val="0023036A"/>
    <w:rsid w:val="002304D8"/>
    <w:rsid w:val="002305A7"/>
    <w:rsid w:val="002305E4"/>
    <w:rsid w:val="0023069C"/>
    <w:rsid w:val="00230B74"/>
    <w:rsid w:val="00230CC9"/>
    <w:rsid w:val="00230D31"/>
    <w:rsid w:val="00230E88"/>
    <w:rsid w:val="00231176"/>
    <w:rsid w:val="00231319"/>
    <w:rsid w:val="00231667"/>
    <w:rsid w:val="002316EA"/>
    <w:rsid w:val="00231706"/>
    <w:rsid w:val="0023174C"/>
    <w:rsid w:val="00231B5D"/>
    <w:rsid w:val="00231C59"/>
    <w:rsid w:val="00231F77"/>
    <w:rsid w:val="002320DE"/>
    <w:rsid w:val="00232235"/>
    <w:rsid w:val="002323E5"/>
    <w:rsid w:val="00232538"/>
    <w:rsid w:val="00232622"/>
    <w:rsid w:val="0023262E"/>
    <w:rsid w:val="002326EB"/>
    <w:rsid w:val="00232719"/>
    <w:rsid w:val="002327BC"/>
    <w:rsid w:val="00232A30"/>
    <w:rsid w:val="00232CC5"/>
    <w:rsid w:val="00232CC7"/>
    <w:rsid w:val="00232F29"/>
    <w:rsid w:val="002330C7"/>
    <w:rsid w:val="00233286"/>
    <w:rsid w:val="002332FC"/>
    <w:rsid w:val="00233331"/>
    <w:rsid w:val="002333F9"/>
    <w:rsid w:val="002339A9"/>
    <w:rsid w:val="00233C7E"/>
    <w:rsid w:val="00233E8E"/>
    <w:rsid w:val="00233FDF"/>
    <w:rsid w:val="00234352"/>
    <w:rsid w:val="002343C7"/>
    <w:rsid w:val="0023442C"/>
    <w:rsid w:val="00234476"/>
    <w:rsid w:val="0023459F"/>
    <w:rsid w:val="002348E1"/>
    <w:rsid w:val="00234994"/>
    <w:rsid w:val="00234AB9"/>
    <w:rsid w:val="00234B4C"/>
    <w:rsid w:val="00234CE5"/>
    <w:rsid w:val="00234E5E"/>
    <w:rsid w:val="00234F3F"/>
    <w:rsid w:val="0023502F"/>
    <w:rsid w:val="0023552A"/>
    <w:rsid w:val="002355C3"/>
    <w:rsid w:val="002358E9"/>
    <w:rsid w:val="0023594D"/>
    <w:rsid w:val="00235A17"/>
    <w:rsid w:val="00235A2C"/>
    <w:rsid w:val="00235E57"/>
    <w:rsid w:val="00235E73"/>
    <w:rsid w:val="00236165"/>
    <w:rsid w:val="00236185"/>
    <w:rsid w:val="00236215"/>
    <w:rsid w:val="00236336"/>
    <w:rsid w:val="002365FE"/>
    <w:rsid w:val="00236746"/>
    <w:rsid w:val="0023683F"/>
    <w:rsid w:val="002368C1"/>
    <w:rsid w:val="0023698B"/>
    <w:rsid w:val="00236CD0"/>
    <w:rsid w:val="00236DCD"/>
    <w:rsid w:val="00236DE2"/>
    <w:rsid w:val="00236F90"/>
    <w:rsid w:val="00237116"/>
    <w:rsid w:val="00237191"/>
    <w:rsid w:val="00237456"/>
    <w:rsid w:val="002379BC"/>
    <w:rsid w:val="00237C78"/>
    <w:rsid w:val="00237E2B"/>
    <w:rsid w:val="00240082"/>
    <w:rsid w:val="0024009B"/>
    <w:rsid w:val="002400CB"/>
    <w:rsid w:val="00240174"/>
    <w:rsid w:val="00240244"/>
    <w:rsid w:val="00240484"/>
    <w:rsid w:val="002404B5"/>
    <w:rsid w:val="0024056B"/>
    <w:rsid w:val="002405AE"/>
    <w:rsid w:val="0024065A"/>
    <w:rsid w:val="002406D9"/>
    <w:rsid w:val="002406EF"/>
    <w:rsid w:val="002407B0"/>
    <w:rsid w:val="00240A49"/>
    <w:rsid w:val="00240ADC"/>
    <w:rsid w:val="00240DB7"/>
    <w:rsid w:val="00240F05"/>
    <w:rsid w:val="002410F5"/>
    <w:rsid w:val="002413AF"/>
    <w:rsid w:val="00241409"/>
    <w:rsid w:val="0024149B"/>
    <w:rsid w:val="0024158B"/>
    <w:rsid w:val="002415BC"/>
    <w:rsid w:val="002415D6"/>
    <w:rsid w:val="00241783"/>
    <w:rsid w:val="00241A99"/>
    <w:rsid w:val="00241B44"/>
    <w:rsid w:val="00241C41"/>
    <w:rsid w:val="00241EBC"/>
    <w:rsid w:val="00241FF5"/>
    <w:rsid w:val="00242275"/>
    <w:rsid w:val="0024232E"/>
    <w:rsid w:val="0024264E"/>
    <w:rsid w:val="00242670"/>
    <w:rsid w:val="0024272E"/>
    <w:rsid w:val="00242C93"/>
    <w:rsid w:val="00242DE7"/>
    <w:rsid w:val="00242FDE"/>
    <w:rsid w:val="0024312E"/>
    <w:rsid w:val="00243254"/>
    <w:rsid w:val="002432F7"/>
    <w:rsid w:val="00243549"/>
    <w:rsid w:val="0024358A"/>
    <w:rsid w:val="00243742"/>
    <w:rsid w:val="002437F2"/>
    <w:rsid w:val="002439F2"/>
    <w:rsid w:val="00243C88"/>
    <w:rsid w:val="00243DDA"/>
    <w:rsid w:val="00243F26"/>
    <w:rsid w:val="00243FF8"/>
    <w:rsid w:val="00244347"/>
    <w:rsid w:val="00244773"/>
    <w:rsid w:val="0024480B"/>
    <w:rsid w:val="00244AED"/>
    <w:rsid w:val="00244AFC"/>
    <w:rsid w:val="00244B85"/>
    <w:rsid w:val="00244B9A"/>
    <w:rsid w:val="00244BA7"/>
    <w:rsid w:val="00244BFB"/>
    <w:rsid w:val="00244EF6"/>
    <w:rsid w:val="0024537C"/>
    <w:rsid w:val="0024555A"/>
    <w:rsid w:val="00245622"/>
    <w:rsid w:val="00245653"/>
    <w:rsid w:val="0024570A"/>
    <w:rsid w:val="00245825"/>
    <w:rsid w:val="002458B4"/>
    <w:rsid w:val="00245CA7"/>
    <w:rsid w:val="00245D0B"/>
    <w:rsid w:val="00245D27"/>
    <w:rsid w:val="00245E1B"/>
    <w:rsid w:val="00245E52"/>
    <w:rsid w:val="00245F3C"/>
    <w:rsid w:val="0024624B"/>
    <w:rsid w:val="00246282"/>
    <w:rsid w:val="00246543"/>
    <w:rsid w:val="00246708"/>
    <w:rsid w:val="0024670F"/>
    <w:rsid w:val="0024673F"/>
    <w:rsid w:val="0024682F"/>
    <w:rsid w:val="002468D4"/>
    <w:rsid w:val="0024696D"/>
    <w:rsid w:val="00246A1E"/>
    <w:rsid w:val="002470E2"/>
    <w:rsid w:val="002474C1"/>
    <w:rsid w:val="0024765E"/>
    <w:rsid w:val="00247896"/>
    <w:rsid w:val="00247A31"/>
    <w:rsid w:val="00247ABE"/>
    <w:rsid w:val="00247C59"/>
    <w:rsid w:val="00247D0B"/>
    <w:rsid w:val="00247D60"/>
    <w:rsid w:val="00247DB2"/>
    <w:rsid w:val="0025030E"/>
    <w:rsid w:val="00250496"/>
    <w:rsid w:val="002504EC"/>
    <w:rsid w:val="002507DF"/>
    <w:rsid w:val="00250F16"/>
    <w:rsid w:val="00250FC3"/>
    <w:rsid w:val="002511F3"/>
    <w:rsid w:val="002515C8"/>
    <w:rsid w:val="00251719"/>
    <w:rsid w:val="00251753"/>
    <w:rsid w:val="0025197A"/>
    <w:rsid w:val="00251C7A"/>
    <w:rsid w:val="00251DB1"/>
    <w:rsid w:val="00251E91"/>
    <w:rsid w:val="00251F4A"/>
    <w:rsid w:val="002521CF"/>
    <w:rsid w:val="0025233D"/>
    <w:rsid w:val="00252371"/>
    <w:rsid w:val="00252689"/>
    <w:rsid w:val="00252817"/>
    <w:rsid w:val="0025298A"/>
    <w:rsid w:val="00252AEB"/>
    <w:rsid w:val="00252CDA"/>
    <w:rsid w:val="00252DA5"/>
    <w:rsid w:val="00252F8F"/>
    <w:rsid w:val="0025322A"/>
    <w:rsid w:val="0025349C"/>
    <w:rsid w:val="002534A5"/>
    <w:rsid w:val="002534EC"/>
    <w:rsid w:val="00253898"/>
    <w:rsid w:val="00253914"/>
    <w:rsid w:val="00253BDD"/>
    <w:rsid w:val="00253D92"/>
    <w:rsid w:val="00253EAB"/>
    <w:rsid w:val="00254409"/>
    <w:rsid w:val="00254437"/>
    <w:rsid w:val="002544DD"/>
    <w:rsid w:val="00254622"/>
    <w:rsid w:val="0025472C"/>
    <w:rsid w:val="002547F5"/>
    <w:rsid w:val="00254951"/>
    <w:rsid w:val="00254989"/>
    <w:rsid w:val="002549DE"/>
    <w:rsid w:val="00254CB6"/>
    <w:rsid w:val="00254F4D"/>
    <w:rsid w:val="00255169"/>
    <w:rsid w:val="002551AC"/>
    <w:rsid w:val="00255371"/>
    <w:rsid w:val="002554F1"/>
    <w:rsid w:val="00255559"/>
    <w:rsid w:val="00255625"/>
    <w:rsid w:val="0025583E"/>
    <w:rsid w:val="0025585F"/>
    <w:rsid w:val="00255891"/>
    <w:rsid w:val="002559A2"/>
    <w:rsid w:val="00255A97"/>
    <w:rsid w:val="00255CE5"/>
    <w:rsid w:val="00255DE8"/>
    <w:rsid w:val="00255ED4"/>
    <w:rsid w:val="00256003"/>
    <w:rsid w:val="00256032"/>
    <w:rsid w:val="00256295"/>
    <w:rsid w:val="002563A5"/>
    <w:rsid w:val="002564E1"/>
    <w:rsid w:val="0025669B"/>
    <w:rsid w:val="002566BC"/>
    <w:rsid w:val="002566E6"/>
    <w:rsid w:val="00256821"/>
    <w:rsid w:val="002569A8"/>
    <w:rsid w:val="00256B4B"/>
    <w:rsid w:val="00256BEF"/>
    <w:rsid w:val="00256C8B"/>
    <w:rsid w:val="00256DB4"/>
    <w:rsid w:val="00256E9E"/>
    <w:rsid w:val="0025704D"/>
    <w:rsid w:val="0025706E"/>
    <w:rsid w:val="0025712D"/>
    <w:rsid w:val="00257639"/>
    <w:rsid w:val="0025769F"/>
    <w:rsid w:val="00257881"/>
    <w:rsid w:val="00257B91"/>
    <w:rsid w:val="00257DA4"/>
    <w:rsid w:val="00257DAF"/>
    <w:rsid w:val="00257DD9"/>
    <w:rsid w:val="00257EAA"/>
    <w:rsid w:val="00257FCB"/>
    <w:rsid w:val="00260040"/>
    <w:rsid w:val="0026010C"/>
    <w:rsid w:val="002602C4"/>
    <w:rsid w:val="0026098D"/>
    <w:rsid w:val="00260A1B"/>
    <w:rsid w:val="00260A72"/>
    <w:rsid w:val="00260E85"/>
    <w:rsid w:val="00260EED"/>
    <w:rsid w:val="00260F8D"/>
    <w:rsid w:val="002612D2"/>
    <w:rsid w:val="00261424"/>
    <w:rsid w:val="0026148D"/>
    <w:rsid w:val="00261499"/>
    <w:rsid w:val="00261722"/>
    <w:rsid w:val="00261780"/>
    <w:rsid w:val="00261DFE"/>
    <w:rsid w:val="00261E84"/>
    <w:rsid w:val="00261F52"/>
    <w:rsid w:val="00261FC6"/>
    <w:rsid w:val="002621F5"/>
    <w:rsid w:val="002628E7"/>
    <w:rsid w:val="00262AF1"/>
    <w:rsid w:val="00262BFA"/>
    <w:rsid w:val="00262F9B"/>
    <w:rsid w:val="002630FB"/>
    <w:rsid w:val="002632DB"/>
    <w:rsid w:val="00263701"/>
    <w:rsid w:val="0026373D"/>
    <w:rsid w:val="00263D86"/>
    <w:rsid w:val="00264349"/>
    <w:rsid w:val="00264384"/>
    <w:rsid w:val="00264592"/>
    <w:rsid w:val="002647D4"/>
    <w:rsid w:val="00264AAC"/>
    <w:rsid w:val="0026511C"/>
    <w:rsid w:val="00265306"/>
    <w:rsid w:val="00265406"/>
    <w:rsid w:val="00265682"/>
    <w:rsid w:val="00265866"/>
    <w:rsid w:val="002658F5"/>
    <w:rsid w:val="00265A51"/>
    <w:rsid w:val="00265ABE"/>
    <w:rsid w:val="00265C4E"/>
    <w:rsid w:val="00265DBB"/>
    <w:rsid w:val="00265EB6"/>
    <w:rsid w:val="00265F5B"/>
    <w:rsid w:val="00266042"/>
    <w:rsid w:val="00266223"/>
    <w:rsid w:val="002669B7"/>
    <w:rsid w:val="00266BDB"/>
    <w:rsid w:val="00266CCA"/>
    <w:rsid w:val="00266D9D"/>
    <w:rsid w:val="00266E97"/>
    <w:rsid w:val="00266F03"/>
    <w:rsid w:val="002670B2"/>
    <w:rsid w:val="0026717D"/>
    <w:rsid w:val="002676B0"/>
    <w:rsid w:val="0026774C"/>
    <w:rsid w:val="00267787"/>
    <w:rsid w:val="0026789E"/>
    <w:rsid w:val="002678CE"/>
    <w:rsid w:val="0026795B"/>
    <w:rsid w:val="00267CD6"/>
    <w:rsid w:val="00270229"/>
    <w:rsid w:val="002702E0"/>
    <w:rsid w:val="0027039A"/>
    <w:rsid w:val="00270551"/>
    <w:rsid w:val="00270B00"/>
    <w:rsid w:val="00270FAF"/>
    <w:rsid w:val="002711DA"/>
    <w:rsid w:val="002715B8"/>
    <w:rsid w:val="002715E4"/>
    <w:rsid w:val="002715ED"/>
    <w:rsid w:val="002716D6"/>
    <w:rsid w:val="002717F7"/>
    <w:rsid w:val="002718E0"/>
    <w:rsid w:val="00271A25"/>
    <w:rsid w:val="00271D46"/>
    <w:rsid w:val="00271F6B"/>
    <w:rsid w:val="002720BE"/>
    <w:rsid w:val="002720FB"/>
    <w:rsid w:val="002721AF"/>
    <w:rsid w:val="00272244"/>
    <w:rsid w:val="002724E1"/>
    <w:rsid w:val="00272634"/>
    <w:rsid w:val="00272646"/>
    <w:rsid w:val="00272706"/>
    <w:rsid w:val="0027287D"/>
    <w:rsid w:val="002728F8"/>
    <w:rsid w:val="00272AFE"/>
    <w:rsid w:val="00272E73"/>
    <w:rsid w:val="0027309B"/>
    <w:rsid w:val="0027309E"/>
    <w:rsid w:val="0027312F"/>
    <w:rsid w:val="0027326D"/>
    <w:rsid w:val="00273488"/>
    <w:rsid w:val="00273604"/>
    <w:rsid w:val="00273936"/>
    <w:rsid w:val="00273A14"/>
    <w:rsid w:val="00273C0D"/>
    <w:rsid w:val="00273CD6"/>
    <w:rsid w:val="00273DBC"/>
    <w:rsid w:val="002740A4"/>
    <w:rsid w:val="002741DE"/>
    <w:rsid w:val="00274634"/>
    <w:rsid w:val="0027489F"/>
    <w:rsid w:val="00274C89"/>
    <w:rsid w:val="00274D90"/>
    <w:rsid w:val="00274DCD"/>
    <w:rsid w:val="00274F6A"/>
    <w:rsid w:val="00274FDA"/>
    <w:rsid w:val="002751AE"/>
    <w:rsid w:val="002751C6"/>
    <w:rsid w:val="002754AD"/>
    <w:rsid w:val="00275595"/>
    <w:rsid w:val="00275645"/>
    <w:rsid w:val="0027570B"/>
    <w:rsid w:val="00275824"/>
    <w:rsid w:val="0027582B"/>
    <w:rsid w:val="0027585A"/>
    <w:rsid w:val="00275AD8"/>
    <w:rsid w:val="00275B5F"/>
    <w:rsid w:val="00275B6C"/>
    <w:rsid w:val="00275E9E"/>
    <w:rsid w:val="00275FBC"/>
    <w:rsid w:val="002761E8"/>
    <w:rsid w:val="0027622E"/>
    <w:rsid w:val="00276379"/>
    <w:rsid w:val="002763B9"/>
    <w:rsid w:val="0027644C"/>
    <w:rsid w:val="002768B4"/>
    <w:rsid w:val="002769E2"/>
    <w:rsid w:val="00276DCB"/>
    <w:rsid w:val="00276FDE"/>
    <w:rsid w:val="00277035"/>
    <w:rsid w:val="00277184"/>
    <w:rsid w:val="002772C9"/>
    <w:rsid w:val="0027769D"/>
    <w:rsid w:val="00277759"/>
    <w:rsid w:val="002777C6"/>
    <w:rsid w:val="00277995"/>
    <w:rsid w:val="00277A1E"/>
    <w:rsid w:val="00277B21"/>
    <w:rsid w:val="00277F5B"/>
    <w:rsid w:val="00280062"/>
    <w:rsid w:val="002800E6"/>
    <w:rsid w:val="0028031A"/>
    <w:rsid w:val="0028035F"/>
    <w:rsid w:val="00280589"/>
    <w:rsid w:val="0028073D"/>
    <w:rsid w:val="00280867"/>
    <w:rsid w:val="00280896"/>
    <w:rsid w:val="00280984"/>
    <w:rsid w:val="00280A50"/>
    <w:rsid w:val="00280F09"/>
    <w:rsid w:val="00281120"/>
    <w:rsid w:val="00281191"/>
    <w:rsid w:val="002813A3"/>
    <w:rsid w:val="00281548"/>
    <w:rsid w:val="00281910"/>
    <w:rsid w:val="00281C54"/>
    <w:rsid w:val="00281CB2"/>
    <w:rsid w:val="00281DC9"/>
    <w:rsid w:val="00281ED6"/>
    <w:rsid w:val="002820B2"/>
    <w:rsid w:val="00282159"/>
    <w:rsid w:val="002823A7"/>
    <w:rsid w:val="002824A4"/>
    <w:rsid w:val="002824D1"/>
    <w:rsid w:val="002824DF"/>
    <w:rsid w:val="002824FE"/>
    <w:rsid w:val="0028250C"/>
    <w:rsid w:val="00282784"/>
    <w:rsid w:val="002827C1"/>
    <w:rsid w:val="002827E0"/>
    <w:rsid w:val="00282A5C"/>
    <w:rsid w:val="00282D4B"/>
    <w:rsid w:val="00282E88"/>
    <w:rsid w:val="00282FA5"/>
    <w:rsid w:val="00283149"/>
    <w:rsid w:val="00283492"/>
    <w:rsid w:val="0028358E"/>
    <w:rsid w:val="00283637"/>
    <w:rsid w:val="002839D0"/>
    <w:rsid w:val="00283A43"/>
    <w:rsid w:val="00283BB3"/>
    <w:rsid w:val="00283E9D"/>
    <w:rsid w:val="002840C8"/>
    <w:rsid w:val="002841E3"/>
    <w:rsid w:val="002841EE"/>
    <w:rsid w:val="00284376"/>
    <w:rsid w:val="002843E9"/>
    <w:rsid w:val="002845C4"/>
    <w:rsid w:val="0028462E"/>
    <w:rsid w:val="00284633"/>
    <w:rsid w:val="00284CDB"/>
    <w:rsid w:val="00284E8C"/>
    <w:rsid w:val="00285386"/>
    <w:rsid w:val="00285413"/>
    <w:rsid w:val="00285492"/>
    <w:rsid w:val="00285968"/>
    <w:rsid w:val="002859B8"/>
    <w:rsid w:val="00285C1B"/>
    <w:rsid w:val="00285CD9"/>
    <w:rsid w:val="00285F12"/>
    <w:rsid w:val="00285FB9"/>
    <w:rsid w:val="00285FCC"/>
    <w:rsid w:val="00286260"/>
    <w:rsid w:val="00286312"/>
    <w:rsid w:val="0028670F"/>
    <w:rsid w:val="00286C52"/>
    <w:rsid w:val="00286CE8"/>
    <w:rsid w:val="00286D3F"/>
    <w:rsid w:val="00286D48"/>
    <w:rsid w:val="00287070"/>
    <w:rsid w:val="002871A0"/>
    <w:rsid w:val="002873AF"/>
    <w:rsid w:val="002875EA"/>
    <w:rsid w:val="002876B8"/>
    <w:rsid w:val="002876E9"/>
    <w:rsid w:val="002877C7"/>
    <w:rsid w:val="0028780D"/>
    <w:rsid w:val="00287BBC"/>
    <w:rsid w:val="00287D13"/>
    <w:rsid w:val="00287FE8"/>
    <w:rsid w:val="00290098"/>
    <w:rsid w:val="00290179"/>
    <w:rsid w:val="002903DD"/>
    <w:rsid w:val="0029044B"/>
    <w:rsid w:val="00290494"/>
    <w:rsid w:val="002907F0"/>
    <w:rsid w:val="00290955"/>
    <w:rsid w:val="00290AE3"/>
    <w:rsid w:val="00290B5B"/>
    <w:rsid w:val="00290D1F"/>
    <w:rsid w:val="00290D37"/>
    <w:rsid w:val="002910EB"/>
    <w:rsid w:val="00291140"/>
    <w:rsid w:val="002913F1"/>
    <w:rsid w:val="0029156C"/>
    <w:rsid w:val="00291572"/>
    <w:rsid w:val="002915AE"/>
    <w:rsid w:val="00291644"/>
    <w:rsid w:val="002917CA"/>
    <w:rsid w:val="00291829"/>
    <w:rsid w:val="002918FB"/>
    <w:rsid w:val="00291ABA"/>
    <w:rsid w:val="00291B01"/>
    <w:rsid w:val="00291CAE"/>
    <w:rsid w:val="00291E4E"/>
    <w:rsid w:val="00291F23"/>
    <w:rsid w:val="002921D7"/>
    <w:rsid w:val="0029225D"/>
    <w:rsid w:val="00292312"/>
    <w:rsid w:val="002924F7"/>
    <w:rsid w:val="002925CC"/>
    <w:rsid w:val="00292621"/>
    <w:rsid w:val="002928C9"/>
    <w:rsid w:val="00292B29"/>
    <w:rsid w:val="00292B31"/>
    <w:rsid w:val="00292D38"/>
    <w:rsid w:val="00292E57"/>
    <w:rsid w:val="00293335"/>
    <w:rsid w:val="00293578"/>
    <w:rsid w:val="00293789"/>
    <w:rsid w:val="00293929"/>
    <w:rsid w:val="00293CC0"/>
    <w:rsid w:val="00293EDC"/>
    <w:rsid w:val="00293EEB"/>
    <w:rsid w:val="002940B6"/>
    <w:rsid w:val="00294164"/>
    <w:rsid w:val="0029467A"/>
    <w:rsid w:val="0029499C"/>
    <w:rsid w:val="00294AD1"/>
    <w:rsid w:val="00294B14"/>
    <w:rsid w:val="00294B70"/>
    <w:rsid w:val="00294C14"/>
    <w:rsid w:val="00294E0B"/>
    <w:rsid w:val="00294F93"/>
    <w:rsid w:val="0029512A"/>
    <w:rsid w:val="00295164"/>
    <w:rsid w:val="00295322"/>
    <w:rsid w:val="00295551"/>
    <w:rsid w:val="002955E7"/>
    <w:rsid w:val="002958A0"/>
    <w:rsid w:val="00295A33"/>
    <w:rsid w:val="00295B2E"/>
    <w:rsid w:val="00295E7E"/>
    <w:rsid w:val="00295FFF"/>
    <w:rsid w:val="00296130"/>
    <w:rsid w:val="0029633B"/>
    <w:rsid w:val="00296464"/>
    <w:rsid w:val="00296498"/>
    <w:rsid w:val="00296592"/>
    <w:rsid w:val="002966B5"/>
    <w:rsid w:val="00296C86"/>
    <w:rsid w:val="002972E8"/>
    <w:rsid w:val="00297444"/>
    <w:rsid w:val="002979BF"/>
    <w:rsid w:val="00297B7E"/>
    <w:rsid w:val="00297BED"/>
    <w:rsid w:val="00297EA4"/>
    <w:rsid w:val="002A04E6"/>
    <w:rsid w:val="002A059E"/>
    <w:rsid w:val="002A06E6"/>
    <w:rsid w:val="002A07A9"/>
    <w:rsid w:val="002A0C93"/>
    <w:rsid w:val="002A0D7E"/>
    <w:rsid w:val="002A0DB5"/>
    <w:rsid w:val="002A0FA6"/>
    <w:rsid w:val="002A111D"/>
    <w:rsid w:val="002A116B"/>
    <w:rsid w:val="002A12BE"/>
    <w:rsid w:val="002A1472"/>
    <w:rsid w:val="002A15BE"/>
    <w:rsid w:val="002A186A"/>
    <w:rsid w:val="002A18A8"/>
    <w:rsid w:val="002A1A58"/>
    <w:rsid w:val="002A1B34"/>
    <w:rsid w:val="002A1C3E"/>
    <w:rsid w:val="002A1C76"/>
    <w:rsid w:val="002A1CCC"/>
    <w:rsid w:val="002A1FAD"/>
    <w:rsid w:val="002A219F"/>
    <w:rsid w:val="002A21C8"/>
    <w:rsid w:val="002A2222"/>
    <w:rsid w:val="002A25B4"/>
    <w:rsid w:val="002A29DA"/>
    <w:rsid w:val="002A2C44"/>
    <w:rsid w:val="002A2D82"/>
    <w:rsid w:val="002A2E1D"/>
    <w:rsid w:val="002A2E52"/>
    <w:rsid w:val="002A30C2"/>
    <w:rsid w:val="002A30D1"/>
    <w:rsid w:val="002A32CF"/>
    <w:rsid w:val="002A37DC"/>
    <w:rsid w:val="002A3BE8"/>
    <w:rsid w:val="002A3C37"/>
    <w:rsid w:val="002A3DD6"/>
    <w:rsid w:val="002A3DF2"/>
    <w:rsid w:val="002A403C"/>
    <w:rsid w:val="002A40F2"/>
    <w:rsid w:val="002A4177"/>
    <w:rsid w:val="002A478E"/>
    <w:rsid w:val="002A47B0"/>
    <w:rsid w:val="002A4956"/>
    <w:rsid w:val="002A498B"/>
    <w:rsid w:val="002A4C78"/>
    <w:rsid w:val="002A4CDF"/>
    <w:rsid w:val="002A4CE1"/>
    <w:rsid w:val="002A4FBF"/>
    <w:rsid w:val="002A5129"/>
    <w:rsid w:val="002A5139"/>
    <w:rsid w:val="002A51F3"/>
    <w:rsid w:val="002A52F2"/>
    <w:rsid w:val="002A5313"/>
    <w:rsid w:val="002A5351"/>
    <w:rsid w:val="002A54BB"/>
    <w:rsid w:val="002A58DF"/>
    <w:rsid w:val="002A59C8"/>
    <w:rsid w:val="002A5A68"/>
    <w:rsid w:val="002A5AF4"/>
    <w:rsid w:val="002A5C9B"/>
    <w:rsid w:val="002A5D6D"/>
    <w:rsid w:val="002A5E14"/>
    <w:rsid w:val="002A6246"/>
    <w:rsid w:val="002A6386"/>
    <w:rsid w:val="002A6501"/>
    <w:rsid w:val="002A65DC"/>
    <w:rsid w:val="002A68D0"/>
    <w:rsid w:val="002A6B05"/>
    <w:rsid w:val="002A6DCC"/>
    <w:rsid w:val="002A6EB8"/>
    <w:rsid w:val="002A6FAD"/>
    <w:rsid w:val="002A6FCE"/>
    <w:rsid w:val="002A702F"/>
    <w:rsid w:val="002A7060"/>
    <w:rsid w:val="002A7093"/>
    <w:rsid w:val="002A70D0"/>
    <w:rsid w:val="002A7140"/>
    <w:rsid w:val="002A75CD"/>
    <w:rsid w:val="002A7632"/>
    <w:rsid w:val="002A775C"/>
    <w:rsid w:val="002A7B03"/>
    <w:rsid w:val="002A7DF5"/>
    <w:rsid w:val="002A7ECB"/>
    <w:rsid w:val="002A7ED4"/>
    <w:rsid w:val="002B01AF"/>
    <w:rsid w:val="002B0560"/>
    <w:rsid w:val="002B0873"/>
    <w:rsid w:val="002B0B1C"/>
    <w:rsid w:val="002B0C58"/>
    <w:rsid w:val="002B0E62"/>
    <w:rsid w:val="002B113E"/>
    <w:rsid w:val="002B11A4"/>
    <w:rsid w:val="002B12CA"/>
    <w:rsid w:val="002B131C"/>
    <w:rsid w:val="002B1515"/>
    <w:rsid w:val="002B188F"/>
    <w:rsid w:val="002B189F"/>
    <w:rsid w:val="002B1924"/>
    <w:rsid w:val="002B1CB9"/>
    <w:rsid w:val="002B1E79"/>
    <w:rsid w:val="002B1E84"/>
    <w:rsid w:val="002B23DD"/>
    <w:rsid w:val="002B2641"/>
    <w:rsid w:val="002B28C3"/>
    <w:rsid w:val="002B2EE9"/>
    <w:rsid w:val="002B3064"/>
    <w:rsid w:val="002B30C1"/>
    <w:rsid w:val="002B3143"/>
    <w:rsid w:val="002B339C"/>
    <w:rsid w:val="002B3548"/>
    <w:rsid w:val="002B379B"/>
    <w:rsid w:val="002B3ABE"/>
    <w:rsid w:val="002B3BC4"/>
    <w:rsid w:val="002B3E21"/>
    <w:rsid w:val="002B3F5A"/>
    <w:rsid w:val="002B3F7F"/>
    <w:rsid w:val="002B40B0"/>
    <w:rsid w:val="002B42C9"/>
    <w:rsid w:val="002B433E"/>
    <w:rsid w:val="002B475D"/>
    <w:rsid w:val="002B4B3C"/>
    <w:rsid w:val="002B4B89"/>
    <w:rsid w:val="002B4D68"/>
    <w:rsid w:val="002B50DF"/>
    <w:rsid w:val="002B5109"/>
    <w:rsid w:val="002B55C8"/>
    <w:rsid w:val="002B5641"/>
    <w:rsid w:val="002B594D"/>
    <w:rsid w:val="002B5C2B"/>
    <w:rsid w:val="002B5CBD"/>
    <w:rsid w:val="002B5F23"/>
    <w:rsid w:val="002B6286"/>
    <w:rsid w:val="002B6455"/>
    <w:rsid w:val="002B645D"/>
    <w:rsid w:val="002B6657"/>
    <w:rsid w:val="002B666D"/>
    <w:rsid w:val="002B668E"/>
    <w:rsid w:val="002B68FD"/>
    <w:rsid w:val="002B695B"/>
    <w:rsid w:val="002B6B4B"/>
    <w:rsid w:val="002B6C14"/>
    <w:rsid w:val="002B6CA6"/>
    <w:rsid w:val="002B6DA5"/>
    <w:rsid w:val="002B6E67"/>
    <w:rsid w:val="002B6F1C"/>
    <w:rsid w:val="002B6F56"/>
    <w:rsid w:val="002B71F4"/>
    <w:rsid w:val="002B724D"/>
    <w:rsid w:val="002B757F"/>
    <w:rsid w:val="002B7594"/>
    <w:rsid w:val="002B7628"/>
    <w:rsid w:val="002B7774"/>
    <w:rsid w:val="002B77AC"/>
    <w:rsid w:val="002B7BBD"/>
    <w:rsid w:val="002B7D84"/>
    <w:rsid w:val="002B7FF2"/>
    <w:rsid w:val="002C0123"/>
    <w:rsid w:val="002C04CD"/>
    <w:rsid w:val="002C0629"/>
    <w:rsid w:val="002C0912"/>
    <w:rsid w:val="002C0B8B"/>
    <w:rsid w:val="002C0C51"/>
    <w:rsid w:val="002C0CAE"/>
    <w:rsid w:val="002C0E82"/>
    <w:rsid w:val="002C0E92"/>
    <w:rsid w:val="002C1152"/>
    <w:rsid w:val="002C11AC"/>
    <w:rsid w:val="002C123F"/>
    <w:rsid w:val="002C1403"/>
    <w:rsid w:val="002C15D8"/>
    <w:rsid w:val="002C1682"/>
    <w:rsid w:val="002C1935"/>
    <w:rsid w:val="002C1A51"/>
    <w:rsid w:val="002C1AA4"/>
    <w:rsid w:val="002C1ACF"/>
    <w:rsid w:val="002C1E37"/>
    <w:rsid w:val="002C1E94"/>
    <w:rsid w:val="002C1F62"/>
    <w:rsid w:val="002C1FDE"/>
    <w:rsid w:val="002C215F"/>
    <w:rsid w:val="002C21D4"/>
    <w:rsid w:val="002C2248"/>
    <w:rsid w:val="002C22B5"/>
    <w:rsid w:val="002C232C"/>
    <w:rsid w:val="002C24A3"/>
    <w:rsid w:val="002C28F4"/>
    <w:rsid w:val="002C29A2"/>
    <w:rsid w:val="002C2B02"/>
    <w:rsid w:val="002C2C5E"/>
    <w:rsid w:val="002C2E2B"/>
    <w:rsid w:val="002C2E3C"/>
    <w:rsid w:val="002C312E"/>
    <w:rsid w:val="002C324F"/>
    <w:rsid w:val="002C3301"/>
    <w:rsid w:val="002C3488"/>
    <w:rsid w:val="002C372B"/>
    <w:rsid w:val="002C3C88"/>
    <w:rsid w:val="002C3CC9"/>
    <w:rsid w:val="002C3DA7"/>
    <w:rsid w:val="002C3EF6"/>
    <w:rsid w:val="002C3F6F"/>
    <w:rsid w:val="002C443A"/>
    <w:rsid w:val="002C44D8"/>
    <w:rsid w:val="002C44E5"/>
    <w:rsid w:val="002C4814"/>
    <w:rsid w:val="002C4B8F"/>
    <w:rsid w:val="002C4D0D"/>
    <w:rsid w:val="002C4D54"/>
    <w:rsid w:val="002C4E31"/>
    <w:rsid w:val="002C4FBC"/>
    <w:rsid w:val="002C513B"/>
    <w:rsid w:val="002C51A3"/>
    <w:rsid w:val="002C51DA"/>
    <w:rsid w:val="002C533E"/>
    <w:rsid w:val="002C5448"/>
    <w:rsid w:val="002C550D"/>
    <w:rsid w:val="002C5533"/>
    <w:rsid w:val="002C5557"/>
    <w:rsid w:val="002C557F"/>
    <w:rsid w:val="002C55A2"/>
    <w:rsid w:val="002C5614"/>
    <w:rsid w:val="002C5633"/>
    <w:rsid w:val="002C56FF"/>
    <w:rsid w:val="002C5992"/>
    <w:rsid w:val="002C5F5B"/>
    <w:rsid w:val="002C5FA9"/>
    <w:rsid w:val="002C5FCE"/>
    <w:rsid w:val="002C617D"/>
    <w:rsid w:val="002C624B"/>
    <w:rsid w:val="002C625A"/>
    <w:rsid w:val="002C62DE"/>
    <w:rsid w:val="002C6490"/>
    <w:rsid w:val="002C64F3"/>
    <w:rsid w:val="002C65A2"/>
    <w:rsid w:val="002C663E"/>
    <w:rsid w:val="002C6834"/>
    <w:rsid w:val="002C6A0F"/>
    <w:rsid w:val="002C6A33"/>
    <w:rsid w:val="002C6A68"/>
    <w:rsid w:val="002C71B9"/>
    <w:rsid w:val="002C731E"/>
    <w:rsid w:val="002C73BC"/>
    <w:rsid w:val="002C74D9"/>
    <w:rsid w:val="002C7599"/>
    <w:rsid w:val="002C790C"/>
    <w:rsid w:val="002C794D"/>
    <w:rsid w:val="002C7BDB"/>
    <w:rsid w:val="002C7BE4"/>
    <w:rsid w:val="002C7CFB"/>
    <w:rsid w:val="002C7CFE"/>
    <w:rsid w:val="002C7F07"/>
    <w:rsid w:val="002D00D4"/>
    <w:rsid w:val="002D015A"/>
    <w:rsid w:val="002D02BE"/>
    <w:rsid w:val="002D0603"/>
    <w:rsid w:val="002D0AD9"/>
    <w:rsid w:val="002D0AFC"/>
    <w:rsid w:val="002D0BBA"/>
    <w:rsid w:val="002D0D27"/>
    <w:rsid w:val="002D0F68"/>
    <w:rsid w:val="002D117E"/>
    <w:rsid w:val="002D1394"/>
    <w:rsid w:val="002D17A9"/>
    <w:rsid w:val="002D19AF"/>
    <w:rsid w:val="002D1B82"/>
    <w:rsid w:val="002D1C68"/>
    <w:rsid w:val="002D1D33"/>
    <w:rsid w:val="002D1DF1"/>
    <w:rsid w:val="002D1E3B"/>
    <w:rsid w:val="002D1EE0"/>
    <w:rsid w:val="002D2131"/>
    <w:rsid w:val="002D227C"/>
    <w:rsid w:val="002D22F3"/>
    <w:rsid w:val="002D23E5"/>
    <w:rsid w:val="002D271A"/>
    <w:rsid w:val="002D27BE"/>
    <w:rsid w:val="002D2838"/>
    <w:rsid w:val="002D29C7"/>
    <w:rsid w:val="002D2BF5"/>
    <w:rsid w:val="002D2D69"/>
    <w:rsid w:val="002D2DBD"/>
    <w:rsid w:val="002D2F0F"/>
    <w:rsid w:val="002D31F8"/>
    <w:rsid w:val="002D380D"/>
    <w:rsid w:val="002D3B56"/>
    <w:rsid w:val="002D3B6D"/>
    <w:rsid w:val="002D3CDC"/>
    <w:rsid w:val="002D3FFC"/>
    <w:rsid w:val="002D4038"/>
    <w:rsid w:val="002D407A"/>
    <w:rsid w:val="002D42CC"/>
    <w:rsid w:val="002D42E7"/>
    <w:rsid w:val="002D44FE"/>
    <w:rsid w:val="002D461C"/>
    <w:rsid w:val="002D465F"/>
    <w:rsid w:val="002D46B9"/>
    <w:rsid w:val="002D4868"/>
    <w:rsid w:val="002D49D2"/>
    <w:rsid w:val="002D4D5A"/>
    <w:rsid w:val="002D4E7E"/>
    <w:rsid w:val="002D5144"/>
    <w:rsid w:val="002D51B3"/>
    <w:rsid w:val="002D53E4"/>
    <w:rsid w:val="002D54A6"/>
    <w:rsid w:val="002D5598"/>
    <w:rsid w:val="002D5669"/>
    <w:rsid w:val="002D56D4"/>
    <w:rsid w:val="002D57BE"/>
    <w:rsid w:val="002D58ED"/>
    <w:rsid w:val="002D5923"/>
    <w:rsid w:val="002D5BE7"/>
    <w:rsid w:val="002D5C35"/>
    <w:rsid w:val="002D5CC9"/>
    <w:rsid w:val="002D5CD0"/>
    <w:rsid w:val="002D5EC2"/>
    <w:rsid w:val="002D5F5C"/>
    <w:rsid w:val="002D611C"/>
    <w:rsid w:val="002D6153"/>
    <w:rsid w:val="002D636B"/>
    <w:rsid w:val="002D670E"/>
    <w:rsid w:val="002D67CC"/>
    <w:rsid w:val="002D6948"/>
    <w:rsid w:val="002D6BAD"/>
    <w:rsid w:val="002D6C51"/>
    <w:rsid w:val="002D6DCE"/>
    <w:rsid w:val="002D6E4D"/>
    <w:rsid w:val="002D6ED4"/>
    <w:rsid w:val="002D71B3"/>
    <w:rsid w:val="002D7434"/>
    <w:rsid w:val="002D7533"/>
    <w:rsid w:val="002D75C7"/>
    <w:rsid w:val="002D7A0C"/>
    <w:rsid w:val="002D7E42"/>
    <w:rsid w:val="002E00B8"/>
    <w:rsid w:val="002E00E0"/>
    <w:rsid w:val="002E01A2"/>
    <w:rsid w:val="002E03EA"/>
    <w:rsid w:val="002E0586"/>
    <w:rsid w:val="002E07CF"/>
    <w:rsid w:val="002E0973"/>
    <w:rsid w:val="002E098C"/>
    <w:rsid w:val="002E0C57"/>
    <w:rsid w:val="002E0CF3"/>
    <w:rsid w:val="002E0E2E"/>
    <w:rsid w:val="002E0EFD"/>
    <w:rsid w:val="002E166F"/>
    <w:rsid w:val="002E1867"/>
    <w:rsid w:val="002E1950"/>
    <w:rsid w:val="002E1C3E"/>
    <w:rsid w:val="002E1C41"/>
    <w:rsid w:val="002E1E06"/>
    <w:rsid w:val="002E1E19"/>
    <w:rsid w:val="002E2139"/>
    <w:rsid w:val="002E225A"/>
    <w:rsid w:val="002E27AC"/>
    <w:rsid w:val="002E2A18"/>
    <w:rsid w:val="002E2ABB"/>
    <w:rsid w:val="002E2E62"/>
    <w:rsid w:val="002E2F3F"/>
    <w:rsid w:val="002E309A"/>
    <w:rsid w:val="002E31BE"/>
    <w:rsid w:val="002E35D2"/>
    <w:rsid w:val="002E372E"/>
    <w:rsid w:val="002E37BF"/>
    <w:rsid w:val="002E384D"/>
    <w:rsid w:val="002E387D"/>
    <w:rsid w:val="002E3981"/>
    <w:rsid w:val="002E3984"/>
    <w:rsid w:val="002E3BA1"/>
    <w:rsid w:val="002E3D8F"/>
    <w:rsid w:val="002E3D9B"/>
    <w:rsid w:val="002E3E3A"/>
    <w:rsid w:val="002E4299"/>
    <w:rsid w:val="002E434C"/>
    <w:rsid w:val="002E44AF"/>
    <w:rsid w:val="002E44E6"/>
    <w:rsid w:val="002E45CE"/>
    <w:rsid w:val="002E46FF"/>
    <w:rsid w:val="002E472A"/>
    <w:rsid w:val="002E4878"/>
    <w:rsid w:val="002E4B4C"/>
    <w:rsid w:val="002E4B6C"/>
    <w:rsid w:val="002E4C00"/>
    <w:rsid w:val="002E4C47"/>
    <w:rsid w:val="002E4E2F"/>
    <w:rsid w:val="002E507D"/>
    <w:rsid w:val="002E5090"/>
    <w:rsid w:val="002E5164"/>
    <w:rsid w:val="002E51E1"/>
    <w:rsid w:val="002E533F"/>
    <w:rsid w:val="002E5399"/>
    <w:rsid w:val="002E59F5"/>
    <w:rsid w:val="002E5A05"/>
    <w:rsid w:val="002E5A44"/>
    <w:rsid w:val="002E656D"/>
    <w:rsid w:val="002E6ABD"/>
    <w:rsid w:val="002E6D0C"/>
    <w:rsid w:val="002E7022"/>
    <w:rsid w:val="002E707D"/>
    <w:rsid w:val="002E718C"/>
    <w:rsid w:val="002E7287"/>
    <w:rsid w:val="002E72A8"/>
    <w:rsid w:val="002E72E7"/>
    <w:rsid w:val="002E7365"/>
    <w:rsid w:val="002E74F8"/>
    <w:rsid w:val="002E76EC"/>
    <w:rsid w:val="002E77DB"/>
    <w:rsid w:val="002E7A26"/>
    <w:rsid w:val="002E7C1F"/>
    <w:rsid w:val="002F007F"/>
    <w:rsid w:val="002F00EE"/>
    <w:rsid w:val="002F01B2"/>
    <w:rsid w:val="002F0641"/>
    <w:rsid w:val="002F160C"/>
    <w:rsid w:val="002F1686"/>
    <w:rsid w:val="002F179C"/>
    <w:rsid w:val="002F179F"/>
    <w:rsid w:val="002F1A89"/>
    <w:rsid w:val="002F1AD3"/>
    <w:rsid w:val="002F1BC1"/>
    <w:rsid w:val="002F1C0A"/>
    <w:rsid w:val="002F1C9C"/>
    <w:rsid w:val="002F1E5B"/>
    <w:rsid w:val="002F1EF6"/>
    <w:rsid w:val="002F22A2"/>
    <w:rsid w:val="002F26D3"/>
    <w:rsid w:val="002F2733"/>
    <w:rsid w:val="002F291F"/>
    <w:rsid w:val="002F2AD9"/>
    <w:rsid w:val="002F2D75"/>
    <w:rsid w:val="002F2DC4"/>
    <w:rsid w:val="002F2DDF"/>
    <w:rsid w:val="002F2F05"/>
    <w:rsid w:val="002F2FEA"/>
    <w:rsid w:val="002F3261"/>
    <w:rsid w:val="002F32A4"/>
    <w:rsid w:val="002F33AF"/>
    <w:rsid w:val="002F33C6"/>
    <w:rsid w:val="002F3BAB"/>
    <w:rsid w:val="002F3BE9"/>
    <w:rsid w:val="002F410C"/>
    <w:rsid w:val="002F4180"/>
    <w:rsid w:val="002F41A5"/>
    <w:rsid w:val="002F41AE"/>
    <w:rsid w:val="002F4290"/>
    <w:rsid w:val="002F497B"/>
    <w:rsid w:val="002F4AA9"/>
    <w:rsid w:val="002F4DAE"/>
    <w:rsid w:val="002F4DF5"/>
    <w:rsid w:val="002F4F29"/>
    <w:rsid w:val="002F51C1"/>
    <w:rsid w:val="002F521C"/>
    <w:rsid w:val="002F5944"/>
    <w:rsid w:val="002F59FF"/>
    <w:rsid w:val="002F5A7F"/>
    <w:rsid w:val="002F5AFF"/>
    <w:rsid w:val="002F5BB3"/>
    <w:rsid w:val="002F5E2C"/>
    <w:rsid w:val="002F605F"/>
    <w:rsid w:val="002F63B6"/>
    <w:rsid w:val="002F6747"/>
    <w:rsid w:val="002F67E9"/>
    <w:rsid w:val="002F6A05"/>
    <w:rsid w:val="002F6CAF"/>
    <w:rsid w:val="002F6DCA"/>
    <w:rsid w:val="002F6EA8"/>
    <w:rsid w:val="002F6EDE"/>
    <w:rsid w:val="002F6FB7"/>
    <w:rsid w:val="002F705F"/>
    <w:rsid w:val="002F707A"/>
    <w:rsid w:val="002F7254"/>
    <w:rsid w:val="002F7414"/>
    <w:rsid w:val="002F766F"/>
    <w:rsid w:val="002F77E4"/>
    <w:rsid w:val="002F7B62"/>
    <w:rsid w:val="002F7E2F"/>
    <w:rsid w:val="002F7F41"/>
    <w:rsid w:val="002F7F67"/>
    <w:rsid w:val="002F7FE3"/>
    <w:rsid w:val="003000C9"/>
    <w:rsid w:val="0030029A"/>
    <w:rsid w:val="0030040D"/>
    <w:rsid w:val="003004B8"/>
    <w:rsid w:val="003004C1"/>
    <w:rsid w:val="0030053B"/>
    <w:rsid w:val="00300601"/>
    <w:rsid w:val="0030060D"/>
    <w:rsid w:val="00300743"/>
    <w:rsid w:val="003007B0"/>
    <w:rsid w:val="003007E9"/>
    <w:rsid w:val="00300A12"/>
    <w:rsid w:val="00300B53"/>
    <w:rsid w:val="00300BF8"/>
    <w:rsid w:val="00300C4C"/>
    <w:rsid w:val="00300C50"/>
    <w:rsid w:val="00300ED8"/>
    <w:rsid w:val="00300EDE"/>
    <w:rsid w:val="00301021"/>
    <w:rsid w:val="00301796"/>
    <w:rsid w:val="0030191E"/>
    <w:rsid w:val="00301A01"/>
    <w:rsid w:val="00301B48"/>
    <w:rsid w:val="00301C86"/>
    <w:rsid w:val="00301D86"/>
    <w:rsid w:val="00301ED1"/>
    <w:rsid w:val="003020B2"/>
    <w:rsid w:val="003024AC"/>
    <w:rsid w:val="00302694"/>
    <w:rsid w:val="0030293B"/>
    <w:rsid w:val="00302B4E"/>
    <w:rsid w:val="00302B8C"/>
    <w:rsid w:val="00302BCE"/>
    <w:rsid w:val="00302C63"/>
    <w:rsid w:val="00302DDD"/>
    <w:rsid w:val="0030305C"/>
    <w:rsid w:val="00303138"/>
    <w:rsid w:val="00303407"/>
    <w:rsid w:val="00303566"/>
    <w:rsid w:val="003035F7"/>
    <w:rsid w:val="003036DE"/>
    <w:rsid w:val="00303768"/>
    <w:rsid w:val="00303790"/>
    <w:rsid w:val="003037B2"/>
    <w:rsid w:val="00303B67"/>
    <w:rsid w:val="00304285"/>
    <w:rsid w:val="0030454E"/>
    <w:rsid w:val="00304717"/>
    <w:rsid w:val="00304DE0"/>
    <w:rsid w:val="00304DF3"/>
    <w:rsid w:val="00304E86"/>
    <w:rsid w:val="003053DD"/>
    <w:rsid w:val="003056CB"/>
    <w:rsid w:val="00305723"/>
    <w:rsid w:val="00305798"/>
    <w:rsid w:val="003057B6"/>
    <w:rsid w:val="0030582B"/>
    <w:rsid w:val="0030583D"/>
    <w:rsid w:val="00305975"/>
    <w:rsid w:val="00305AA7"/>
    <w:rsid w:val="00305AAD"/>
    <w:rsid w:val="00305B4C"/>
    <w:rsid w:val="00305B6B"/>
    <w:rsid w:val="00305D21"/>
    <w:rsid w:val="00305DAE"/>
    <w:rsid w:val="00305DFD"/>
    <w:rsid w:val="0030602D"/>
    <w:rsid w:val="003063FA"/>
    <w:rsid w:val="003066D0"/>
    <w:rsid w:val="00306885"/>
    <w:rsid w:val="0030699A"/>
    <w:rsid w:val="00306A0D"/>
    <w:rsid w:val="00306A30"/>
    <w:rsid w:val="00306BE7"/>
    <w:rsid w:val="00306C9F"/>
    <w:rsid w:val="00306CEE"/>
    <w:rsid w:val="00306D23"/>
    <w:rsid w:val="00306F5A"/>
    <w:rsid w:val="0030702A"/>
    <w:rsid w:val="00307067"/>
    <w:rsid w:val="00307069"/>
    <w:rsid w:val="00307079"/>
    <w:rsid w:val="003070EB"/>
    <w:rsid w:val="00307255"/>
    <w:rsid w:val="00307473"/>
    <w:rsid w:val="00307649"/>
    <w:rsid w:val="00307709"/>
    <w:rsid w:val="00307815"/>
    <w:rsid w:val="00307B9F"/>
    <w:rsid w:val="00307BCF"/>
    <w:rsid w:val="00307BEF"/>
    <w:rsid w:val="00307F0C"/>
    <w:rsid w:val="00307F65"/>
    <w:rsid w:val="00310470"/>
    <w:rsid w:val="003105E7"/>
    <w:rsid w:val="003106D1"/>
    <w:rsid w:val="003107DF"/>
    <w:rsid w:val="00310964"/>
    <w:rsid w:val="003109C9"/>
    <w:rsid w:val="00310A93"/>
    <w:rsid w:val="00310B00"/>
    <w:rsid w:val="00310B92"/>
    <w:rsid w:val="00310C1B"/>
    <w:rsid w:val="00310C37"/>
    <w:rsid w:val="00310D52"/>
    <w:rsid w:val="00310F0F"/>
    <w:rsid w:val="00310F8E"/>
    <w:rsid w:val="0031129E"/>
    <w:rsid w:val="003112ED"/>
    <w:rsid w:val="00311571"/>
    <w:rsid w:val="00311602"/>
    <w:rsid w:val="0031167A"/>
    <w:rsid w:val="0031176C"/>
    <w:rsid w:val="003117E8"/>
    <w:rsid w:val="003119BF"/>
    <w:rsid w:val="003119FF"/>
    <w:rsid w:val="00311B34"/>
    <w:rsid w:val="00311C66"/>
    <w:rsid w:val="00311D14"/>
    <w:rsid w:val="00312040"/>
    <w:rsid w:val="00312045"/>
    <w:rsid w:val="003122DE"/>
    <w:rsid w:val="003122E3"/>
    <w:rsid w:val="003123E0"/>
    <w:rsid w:val="00312669"/>
    <w:rsid w:val="00312686"/>
    <w:rsid w:val="00312724"/>
    <w:rsid w:val="00312801"/>
    <w:rsid w:val="003128F6"/>
    <w:rsid w:val="00312991"/>
    <w:rsid w:val="00312E61"/>
    <w:rsid w:val="00313161"/>
    <w:rsid w:val="003132EA"/>
    <w:rsid w:val="0031381C"/>
    <w:rsid w:val="00313968"/>
    <w:rsid w:val="00313B53"/>
    <w:rsid w:val="00313C33"/>
    <w:rsid w:val="00313C66"/>
    <w:rsid w:val="00313D9B"/>
    <w:rsid w:val="00313DB1"/>
    <w:rsid w:val="00314037"/>
    <w:rsid w:val="003141A3"/>
    <w:rsid w:val="00314213"/>
    <w:rsid w:val="003144FF"/>
    <w:rsid w:val="0031450E"/>
    <w:rsid w:val="003146BF"/>
    <w:rsid w:val="003146C2"/>
    <w:rsid w:val="00314805"/>
    <w:rsid w:val="00314937"/>
    <w:rsid w:val="00314BAA"/>
    <w:rsid w:val="00314D12"/>
    <w:rsid w:val="00314F40"/>
    <w:rsid w:val="00314F6F"/>
    <w:rsid w:val="003151D0"/>
    <w:rsid w:val="00315295"/>
    <w:rsid w:val="00315427"/>
    <w:rsid w:val="00315871"/>
    <w:rsid w:val="00315D3D"/>
    <w:rsid w:val="00315DA6"/>
    <w:rsid w:val="00315EDB"/>
    <w:rsid w:val="003161B9"/>
    <w:rsid w:val="0031621F"/>
    <w:rsid w:val="003162F2"/>
    <w:rsid w:val="00316309"/>
    <w:rsid w:val="003165F8"/>
    <w:rsid w:val="00316610"/>
    <w:rsid w:val="0031665E"/>
    <w:rsid w:val="003167A7"/>
    <w:rsid w:val="003167BB"/>
    <w:rsid w:val="00316C4E"/>
    <w:rsid w:val="00317017"/>
    <w:rsid w:val="00317476"/>
    <w:rsid w:val="003175EE"/>
    <w:rsid w:val="003176E1"/>
    <w:rsid w:val="003177D4"/>
    <w:rsid w:val="00317808"/>
    <w:rsid w:val="00317950"/>
    <w:rsid w:val="00317B96"/>
    <w:rsid w:val="00320281"/>
    <w:rsid w:val="003202D3"/>
    <w:rsid w:val="0032048A"/>
    <w:rsid w:val="0032057F"/>
    <w:rsid w:val="00320957"/>
    <w:rsid w:val="003209C2"/>
    <w:rsid w:val="00320AC4"/>
    <w:rsid w:val="00320BF8"/>
    <w:rsid w:val="00320C4E"/>
    <w:rsid w:val="00321131"/>
    <w:rsid w:val="00321505"/>
    <w:rsid w:val="003216F2"/>
    <w:rsid w:val="003217A9"/>
    <w:rsid w:val="00321B77"/>
    <w:rsid w:val="00321B78"/>
    <w:rsid w:val="00321BA4"/>
    <w:rsid w:val="00321DBB"/>
    <w:rsid w:val="00322124"/>
    <w:rsid w:val="00322133"/>
    <w:rsid w:val="003221FA"/>
    <w:rsid w:val="0032225F"/>
    <w:rsid w:val="003223F9"/>
    <w:rsid w:val="003225BE"/>
    <w:rsid w:val="003229F9"/>
    <w:rsid w:val="00322BF8"/>
    <w:rsid w:val="00322C8C"/>
    <w:rsid w:val="00322E25"/>
    <w:rsid w:val="00322F0E"/>
    <w:rsid w:val="00322F42"/>
    <w:rsid w:val="003230B4"/>
    <w:rsid w:val="0032310F"/>
    <w:rsid w:val="003234E0"/>
    <w:rsid w:val="00323559"/>
    <w:rsid w:val="0032360B"/>
    <w:rsid w:val="003238A5"/>
    <w:rsid w:val="00323A86"/>
    <w:rsid w:val="00323DAE"/>
    <w:rsid w:val="00323E8C"/>
    <w:rsid w:val="00323EEA"/>
    <w:rsid w:val="00323FA7"/>
    <w:rsid w:val="00323FB1"/>
    <w:rsid w:val="0032433F"/>
    <w:rsid w:val="00324513"/>
    <w:rsid w:val="003248D5"/>
    <w:rsid w:val="0032497F"/>
    <w:rsid w:val="003249C8"/>
    <w:rsid w:val="00324DA8"/>
    <w:rsid w:val="00325418"/>
    <w:rsid w:val="0032565D"/>
    <w:rsid w:val="0032575D"/>
    <w:rsid w:val="0032578C"/>
    <w:rsid w:val="0032580D"/>
    <w:rsid w:val="0032591D"/>
    <w:rsid w:val="003259AB"/>
    <w:rsid w:val="00325A7D"/>
    <w:rsid w:val="00325BAE"/>
    <w:rsid w:val="00325BB1"/>
    <w:rsid w:val="00325F30"/>
    <w:rsid w:val="00325F84"/>
    <w:rsid w:val="00325FE5"/>
    <w:rsid w:val="003261E3"/>
    <w:rsid w:val="00326458"/>
    <w:rsid w:val="00326AAB"/>
    <w:rsid w:val="00326AAD"/>
    <w:rsid w:val="00326BA6"/>
    <w:rsid w:val="00326E8B"/>
    <w:rsid w:val="00326F6E"/>
    <w:rsid w:val="003274A1"/>
    <w:rsid w:val="0032756E"/>
    <w:rsid w:val="00327717"/>
    <w:rsid w:val="00327D3E"/>
    <w:rsid w:val="00327E9E"/>
    <w:rsid w:val="00330005"/>
    <w:rsid w:val="00330467"/>
    <w:rsid w:val="0033048A"/>
    <w:rsid w:val="003308FC"/>
    <w:rsid w:val="00330BF6"/>
    <w:rsid w:val="00330CF0"/>
    <w:rsid w:val="00330D97"/>
    <w:rsid w:val="00331435"/>
    <w:rsid w:val="003314FE"/>
    <w:rsid w:val="003317F4"/>
    <w:rsid w:val="003318B5"/>
    <w:rsid w:val="00331C57"/>
    <w:rsid w:val="00331E44"/>
    <w:rsid w:val="003323EE"/>
    <w:rsid w:val="003324C7"/>
    <w:rsid w:val="003324C8"/>
    <w:rsid w:val="003325B2"/>
    <w:rsid w:val="00332866"/>
    <w:rsid w:val="003328F3"/>
    <w:rsid w:val="00332AC7"/>
    <w:rsid w:val="00332B54"/>
    <w:rsid w:val="00332C80"/>
    <w:rsid w:val="00332DE7"/>
    <w:rsid w:val="00332E6D"/>
    <w:rsid w:val="00333111"/>
    <w:rsid w:val="00333160"/>
    <w:rsid w:val="0033317E"/>
    <w:rsid w:val="003331C1"/>
    <w:rsid w:val="00333581"/>
    <w:rsid w:val="00333871"/>
    <w:rsid w:val="00333B52"/>
    <w:rsid w:val="00333BBD"/>
    <w:rsid w:val="00333CF1"/>
    <w:rsid w:val="003341F9"/>
    <w:rsid w:val="00334248"/>
    <w:rsid w:val="003342E5"/>
    <w:rsid w:val="00334316"/>
    <w:rsid w:val="00334A0E"/>
    <w:rsid w:val="00334B0A"/>
    <w:rsid w:val="00334BCD"/>
    <w:rsid w:val="00334C48"/>
    <w:rsid w:val="00334E40"/>
    <w:rsid w:val="00334F27"/>
    <w:rsid w:val="00334F4F"/>
    <w:rsid w:val="00334F96"/>
    <w:rsid w:val="00335024"/>
    <w:rsid w:val="003352C0"/>
    <w:rsid w:val="00335342"/>
    <w:rsid w:val="003353B6"/>
    <w:rsid w:val="003354AE"/>
    <w:rsid w:val="003354B9"/>
    <w:rsid w:val="00335732"/>
    <w:rsid w:val="00335AD4"/>
    <w:rsid w:val="00335DB3"/>
    <w:rsid w:val="00335F9A"/>
    <w:rsid w:val="00336105"/>
    <w:rsid w:val="003361C6"/>
    <w:rsid w:val="00336300"/>
    <w:rsid w:val="00336414"/>
    <w:rsid w:val="003365A7"/>
    <w:rsid w:val="00336812"/>
    <w:rsid w:val="0033689C"/>
    <w:rsid w:val="003369E3"/>
    <w:rsid w:val="00336DCF"/>
    <w:rsid w:val="00336ECB"/>
    <w:rsid w:val="00336FA3"/>
    <w:rsid w:val="00337098"/>
    <w:rsid w:val="003370C1"/>
    <w:rsid w:val="0033710B"/>
    <w:rsid w:val="003372AA"/>
    <w:rsid w:val="00337335"/>
    <w:rsid w:val="003373C8"/>
    <w:rsid w:val="003373CA"/>
    <w:rsid w:val="00337475"/>
    <w:rsid w:val="0033779B"/>
    <w:rsid w:val="0033789F"/>
    <w:rsid w:val="00337947"/>
    <w:rsid w:val="003379F4"/>
    <w:rsid w:val="00337DB8"/>
    <w:rsid w:val="00337F44"/>
    <w:rsid w:val="00340349"/>
    <w:rsid w:val="003405C7"/>
    <w:rsid w:val="003406E1"/>
    <w:rsid w:val="003407BF"/>
    <w:rsid w:val="003408CD"/>
    <w:rsid w:val="003408E7"/>
    <w:rsid w:val="00340A67"/>
    <w:rsid w:val="00340B9B"/>
    <w:rsid w:val="00340D31"/>
    <w:rsid w:val="00340D51"/>
    <w:rsid w:val="00340F21"/>
    <w:rsid w:val="00340F68"/>
    <w:rsid w:val="00340FBD"/>
    <w:rsid w:val="003411AD"/>
    <w:rsid w:val="00341370"/>
    <w:rsid w:val="0034138A"/>
    <w:rsid w:val="0034147F"/>
    <w:rsid w:val="00341519"/>
    <w:rsid w:val="003415FD"/>
    <w:rsid w:val="0034169C"/>
    <w:rsid w:val="00341801"/>
    <w:rsid w:val="00341841"/>
    <w:rsid w:val="0034185B"/>
    <w:rsid w:val="00341905"/>
    <w:rsid w:val="0034198A"/>
    <w:rsid w:val="00341BFD"/>
    <w:rsid w:val="00341C17"/>
    <w:rsid w:val="00341C36"/>
    <w:rsid w:val="00341F1B"/>
    <w:rsid w:val="00342202"/>
    <w:rsid w:val="00342431"/>
    <w:rsid w:val="00342438"/>
    <w:rsid w:val="0034251B"/>
    <w:rsid w:val="00342547"/>
    <w:rsid w:val="003428B4"/>
    <w:rsid w:val="00342911"/>
    <w:rsid w:val="0034294A"/>
    <w:rsid w:val="00342DE2"/>
    <w:rsid w:val="00342FD5"/>
    <w:rsid w:val="00343237"/>
    <w:rsid w:val="003434F7"/>
    <w:rsid w:val="00343501"/>
    <w:rsid w:val="0034354B"/>
    <w:rsid w:val="0034369F"/>
    <w:rsid w:val="00343A01"/>
    <w:rsid w:val="00343C9B"/>
    <w:rsid w:val="00343CD1"/>
    <w:rsid w:val="00343CF4"/>
    <w:rsid w:val="00343E55"/>
    <w:rsid w:val="00343EA2"/>
    <w:rsid w:val="00343F23"/>
    <w:rsid w:val="003441E9"/>
    <w:rsid w:val="0034449F"/>
    <w:rsid w:val="00344A8D"/>
    <w:rsid w:val="00344D95"/>
    <w:rsid w:val="003453CD"/>
    <w:rsid w:val="003454B5"/>
    <w:rsid w:val="00345806"/>
    <w:rsid w:val="00345885"/>
    <w:rsid w:val="0034592A"/>
    <w:rsid w:val="00345948"/>
    <w:rsid w:val="003459E8"/>
    <w:rsid w:val="00345AFE"/>
    <w:rsid w:val="00345BB8"/>
    <w:rsid w:val="00345D58"/>
    <w:rsid w:val="003462B1"/>
    <w:rsid w:val="00346396"/>
    <w:rsid w:val="003463A0"/>
    <w:rsid w:val="0034646B"/>
    <w:rsid w:val="00346642"/>
    <w:rsid w:val="0034664E"/>
    <w:rsid w:val="003466B5"/>
    <w:rsid w:val="00346807"/>
    <w:rsid w:val="003469DF"/>
    <w:rsid w:val="00346A1D"/>
    <w:rsid w:val="00346A85"/>
    <w:rsid w:val="00346C54"/>
    <w:rsid w:val="00346C64"/>
    <w:rsid w:val="00346DAA"/>
    <w:rsid w:val="00346DF8"/>
    <w:rsid w:val="00347076"/>
    <w:rsid w:val="00347674"/>
    <w:rsid w:val="00347722"/>
    <w:rsid w:val="003478E1"/>
    <w:rsid w:val="00347A81"/>
    <w:rsid w:val="00347E0D"/>
    <w:rsid w:val="00347E42"/>
    <w:rsid w:val="00347F20"/>
    <w:rsid w:val="00350179"/>
    <w:rsid w:val="00350194"/>
    <w:rsid w:val="00350401"/>
    <w:rsid w:val="00350500"/>
    <w:rsid w:val="0035057D"/>
    <w:rsid w:val="00350611"/>
    <w:rsid w:val="0035068B"/>
    <w:rsid w:val="00350765"/>
    <w:rsid w:val="00350948"/>
    <w:rsid w:val="00350D6E"/>
    <w:rsid w:val="003511A9"/>
    <w:rsid w:val="0035122A"/>
    <w:rsid w:val="003515C5"/>
    <w:rsid w:val="00351727"/>
    <w:rsid w:val="00351860"/>
    <w:rsid w:val="003519B5"/>
    <w:rsid w:val="003519F8"/>
    <w:rsid w:val="00351A9B"/>
    <w:rsid w:val="00351C4C"/>
    <w:rsid w:val="00351C7D"/>
    <w:rsid w:val="00352337"/>
    <w:rsid w:val="0035235D"/>
    <w:rsid w:val="00352A8A"/>
    <w:rsid w:val="00352BE7"/>
    <w:rsid w:val="00352C17"/>
    <w:rsid w:val="00352D84"/>
    <w:rsid w:val="00352E03"/>
    <w:rsid w:val="00352ECB"/>
    <w:rsid w:val="00352F18"/>
    <w:rsid w:val="003532A2"/>
    <w:rsid w:val="003532F0"/>
    <w:rsid w:val="003533B2"/>
    <w:rsid w:val="0035346A"/>
    <w:rsid w:val="003536EB"/>
    <w:rsid w:val="00353907"/>
    <w:rsid w:val="0035398C"/>
    <w:rsid w:val="00353FB0"/>
    <w:rsid w:val="00353FB6"/>
    <w:rsid w:val="0035443A"/>
    <w:rsid w:val="00355010"/>
    <w:rsid w:val="0035501F"/>
    <w:rsid w:val="00355034"/>
    <w:rsid w:val="00355228"/>
    <w:rsid w:val="00355307"/>
    <w:rsid w:val="003555FD"/>
    <w:rsid w:val="003559DC"/>
    <w:rsid w:val="003559F1"/>
    <w:rsid w:val="00355B45"/>
    <w:rsid w:val="00355B52"/>
    <w:rsid w:val="00355C32"/>
    <w:rsid w:val="003563DA"/>
    <w:rsid w:val="0035647D"/>
    <w:rsid w:val="003568DE"/>
    <w:rsid w:val="0035691F"/>
    <w:rsid w:val="00356AFF"/>
    <w:rsid w:val="00356B26"/>
    <w:rsid w:val="00356DF5"/>
    <w:rsid w:val="00356F41"/>
    <w:rsid w:val="003571A2"/>
    <w:rsid w:val="003572A2"/>
    <w:rsid w:val="003572B3"/>
    <w:rsid w:val="00357474"/>
    <w:rsid w:val="00357497"/>
    <w:rsid w:val="003575AE"/>
    <w:rsid w:val="003577A6"/>
    <w:rsid w:val="00357BDC"/>
    <w:rsid w:val="00357F9B"/>
    <w:rsid w:val="003600B0"/>
    <w:rsid w:val="003603D4"/>
    <w:rsid w:val="003604ED"/>
    <w:rsid w:val="00360539"/>
    <w:rsid w:val="00360642"/>
    <w:rsid w:val="003606D0"/>
    <w:rsid w:val="00360827"/>
    <w:rsid w:val="003608E3"/>
    <w:rsid w:val="003609F1"/>
    <w:rsid w:val="00360AFE"/>
    <w:rsid w:val="00360B61"/>
    <w:rsid w:val="00360C52"/>
    <w:rsid w:val="00360D75"/>
    <w:rsid w:val="00360F31"/>
    <w:rsid w:val="00360F8E"/>
    <w:rsid w:val="00360FCA"/>
    <w:rsid w:val="0036116F"/>
    <w:rsid w:val="003613A4"/>
    <w:rsid w:val="00361766"/>
    <w:rsid w:val="003617E8"/>
    <w:rsid w:val="00361814"/>
    <w:rsid w:val="003618C8"/>
    <w:rsid w:val="003619A9"/>
    <w:rsid w:val="00361BD3"/>
    <w:rsid w:val="00361EA0"/>
    <w:rsid w:val="00361EDF"/>
    <w:rsid w:val="00361FBF"/>
    <w:rsid w:val="00362063"/>
    <w:rsid w:val="0036211E"/>
    <w:rsid w:val="003621B9"/>
    <w:rsid w:val="0036221D"/>
    <w:rsid w:val="0036230E"/>
    <w:rsid w:val="003623DC"/>
    <w:rsid w:val="00362441"/>
    <w:rsid w:val="00362748"/>
    <w:rsid w:val="0036275F"/>
    <w:rsid w:val="003628B0"/>
    <w:rsid w:val="00362933"/>
    <w:rsid w:val="00362ED5"/>
    <w:rsid w:val="00362FA1"/>
    <w:rsid w:val="003630A1"/>
    <w:rsid w:val="003631D1"/>
    <w:rsid w:val="00363693"/>
    <w:rsid w:val="003636B5"/>
    <w:rsid w:val="003636E5"/>
    <w:rsid w:val="0036387F"/>
    <w:rsid w:val="003638B7"/>
    <w:rsid w:val="003639DA"/>
    <w:rsid w:val="003640A3"/>
    <w:rsid w:val="00364374"/>
    <w:rsid w:val="003643FD"/>
    <w:rsid w:val="00364533"/>
    <w:rsid w:val="00364773"/>
    <w:rsid w:val="00364823"/>
    <w:rsid w:val="00364867"/>
    <w:rsid w:val="00364B16"/>
    <w:rsid w:val="00364E06"/>
    <w:rsid w:val="00364E58"/>
    <w:rsid w:val="00364ED8"/>
    <w:rsid w:val="00364FCD"/>
    <w:rsid w:val="00365160"/>
    <w:rsid w:val="00365284"/>
    <w:rsid w:val="00365306"/>
    <w:rsid w:val="0036542B"/>
    <w:rsid w:val="00365A43"/>
    <w:rsid w:val="00365D84"/>
    <w:rsid w:val="00365D9B"/>
    <w:rsid w:val="00366011"/>
    <w:rsid w:val="00366136"/>
    <w:rsid w:val="00366162"/>
    <w:rsid w:val="0036640D"/>
    <w:rsid w:val="003664C8"/>
    <w:rsid w:val="0036660E"/>
    <w:rsid w:val="0036662B"/>
    <w:rsid w:val="0036684A"/>
    <w:rsid w:val="003668F6"/>
    <w:rsid w:val="00366AF4"/>
    <w:rsid w:val="00366B26"/>
    <w:rsid w:val="00366B6F"/>
    <w:rsid w:val="00366C1C"/>
    <w:rsid w:val="00366C96"/>
    <w:rsid w:val="00366D46"/>
    <w:rsid w:val="00366DF8"/>
    <w:rsid w:val="00367013"/>
    <w:rsid w:val="00367357"/>
    <w:rsid w:val="003674B5"/>
    <w:rsid w:val="0036771C"/>
    <w:rsid w:val="00370196"/>
    <w:rsid w:val="0037021C"/>
    <w:rsid w:val="0037087D"/>
    <w:rsid w:val="0037089C"/>
    <w:rsid w:val="003708E8"/>
    <w:rsid w:val="00370A20"/>
    <w:rsid w:val="00370AC2"/>
    <w:rsid w:val="00371212"/>
    <w:rsid w:val="0037136F"/>
    <w:rsid w:val="0037156D"/>
    <w:rsid w:val="003716E5"/>
    <w:rsid w:val="00371785"/>
    <w:rsid w:val="00371858"/>
    <w:rsid w:val="00371B25"/>
    <w:rsid w:val="00371CFA"/>
    <w:rsid w:val="00371FA3"/>
    <w:rsid w:val="00372022"/>
    <w:rsid w:val="003724F2"/>
    <w:rsid w:val="00372C11"/>
    <w:rsid w:val="00372D41"/>
    <w:rsid w:val="00372F13"/>
    <w:rsid w:val="0037354E"/>
    <w:rsid w:val="003738D8"/>
    <w:rsid w:val="003738DF"/>
    <w:rsid w:val="00373916"/>
    <w:rsid w:val="00373927"/>
    <w:rsid w:val="00373977"/>
    <w:rsid w:val="00373A3C"/>
    <w:rsid w:val="00373B53"/>
    <w:rsid w:val="00373C56"/>
    <w:rsid w:val="00374093"/>
    <w:rsid w:val="003740F6"/>
    <w:rsid w:val="0037437F"/>
    <w:rsid w:val="003744B7"/>
    <w:rsid w:val="00374538"/>
    <w:rsid w:val="00374569"/>
    <w:rsid w:val="00374765"/>
    <w:rsid w:val="0037479A"/>
    <w:rsid w:val="00374843"/>
    <w:rsid w:val="00374E8F"/>
    <w:rsid w:val="003751DC"/>
    <w:rsid w:val="00375448"/>
    <w:rsid w:val="003755D8"/>
    <w:rsid w:val="003755F2"/>
    <w:rsid w:val="0037574F"/>
    <w:rsid w:val="00375762"/>
    <w:rsid w:val="003758FA"/>
    <w:rsid w:val="00375990"/>
    <w:rsid w:val="00375A43"/>
    <w:rsid w:val="00375ADC"/>
    <w:rsid w:val="0037602B"/>
    <w:rsid w:val="0037604E"/>
    <w:rsid w:val="0037614C"/>
    <w:rsid w:val="003761A4"/>
    <w:rsid w:val="00376281"/>
    <w:rsid w:val="00376429"/>
    <w:rsid w:val="0037661E"/>
    <w:rsid w:val="0037664A"/>
    <w:rsid w:val="00376826"/>
    <w:rsid w:val="00376929"/>
    <w:rsid w:val="00376930"/>
    <w:rsid w:val="00376A79"/>
    <w:rsid w:val="00376ADB"/>
    <w:rsid w:val="00376BB2"/>
    <w:rsid w:val="00376CF4"/>
    <w:rsid w:val="00376D28"/>
    <w:rsid w:val="00376D7F"/>
    <w:rsid w:val="00376EDC"/>
    <w:rsid w:val="003770A8"/>
    <w:rsid w:val="00377136"/>
    <w:rsid w:val="003772A2"/>
    <w:rsid w:val="003776DD"/>
    <w:rsid w:val="003776E3"/>
    <w:rsid w:val="00377747"/>
    <w:rsid w:val="0037776D"/>
    <w:rsid w:val="00377A67"/>
    <w:rsid w:val="00377B4B"/>
    <w:rsid w:val="00377B9F"/>
    <w:rsid w:val="00377DFF"/>
    <w:rsid w:val="00377E29"/>
    <w:rsid w:val="00377E9E"/>
    <w:rsid w:val="003807EC"/>
    <w:rsid w:val="0038082A"/>
    <w:rsid w:val="003809BF"/>
    <w:rsid w:val="00380A97"/>
    <w:rsid w:val="00380B62"/>
    <w:rsid w:val="003810FC"/>
    <w:rsid w:val="003813D5"/>
    <w:rsid w:val="003815A0"/>
    <w:rsid w:val="003815B5"/>
    <w:rsid w:val="003816DD"/>
    <w:rsid w:val="003817A1"/>
    <w:rsid w:val="003817C4"/>
    <w:rsid w:val="00381816"/>
    <w:rsid w:val="003819C8"/>
    <w:rsid w:val="00381AC8"/>
    <w:rsid w:val="00381B87"/>
    <w:rsid w:val="00381F26"/>
    <w:rsid w:val="003820AC"/>
    <w:rsid w:val="00382117"/>
    <w:rsid w:val="003821DB"/>
    <w:rsid w:val="00382470"/>
    <w:rsid w:val="0038251C"/>
    <w:rsid w:val="00382598"/>
    <w:rsid w:val="003826C6"/>
    <w:rsid w:val="00382935"/>
    <w:rsid w:val="00382C07"/>
    <w:rsid w:val="00382CE6"/>
    <w:rsid w:val="00382F7A"/>
    <w:rsid w:val="0038304E"/>
    <w:rsid w:val="0038315A"/>
    <w:rsid w:val="00383429"/>
    <w:rsid w:val="0038370F"/>
    <w:rsid w:val="00383722"/>
    <w:rsid w:val="0038374A"/>
    <w:rsid w:val="00383866"/>
    <w:rsid w:val="00383903"/>
    <w:rsid w:val="003839AA"/>
    <w:rsid w:val="003841CB"/>
    <w:rsid w:val="00384265"/>
    <w:rsid w:val="0038427F"/>
    <w:rsid w:val="003842B5"/>
    <w:rsid w:val="00384474"/>
    <w:rsid w:val="00384521"/>
    <w:rsid w:val="003846E8"/>
    <w:rsid w:val="003848C7"/>
    <w:rsid w:val="0038520F"/>
    <w:rsid w:val="003852EC"/>
    <w:rsid w:val="00385362"/>
    <w:rsid w:val="0038568E"/>
    <w:rsid w:val="003857FC"/>
    <w:rsid w:val="00385B23"/>
    <w:rsid w:val="00385B88"/>
    <w:rsid w:val="00385C74"/>
    <w:rsid w:val="00386001"/>
    <w:rsid w:val="00386031"/>
    <w:rsid w:val="00386087"/>
    <w:rsid w:val="003861E3"/>
    <w:rsid w:val="003864F8"/>
    <w:rsid w:val="003865E2"/>
    <w:rsid w:val="003866D8"/>
    <w:rsid w:val="00386710"/>
    <w:rsid w:val="00386BD8"/>
    <w:rsid w:val="00386BDE"/>
    <w:rsid w:val="00386C52"/>
    <w:rsid w:val="0038719C"/>
    <w:rsid w:val="003871E2"/>
    <w:rsid w:val="003872A1"/>
    <w:rsid w:val="003872FC"/>
    <w:rsid w:val="003873D8"/>
    <w:rsid w:val="003875D2"/>
    <w:rsid w:val="003875E9"/>
    <w:rsid w:val="00387687"/>
    <w:rsid w:val="00387790"/>
    <w:rsid w:val="003877C9"/>
    <w:rsid w:val="00387806"/>
    <w:rsid w:val="00387AAA"/>
    <w:rsid w:val="00387EAD"/>
    <w:rsid w:val="003900B2"/>
    <w:rsid w:val="003900B9"/>
    <w:rsid w:val="0039030F"/>
    <w:rsid w:val="00390CE3"/>
    <w:rsid w:val="00390D3C"/>
    <w:rsid w:val="00390D56"/>
    <w:rsid w:val="00391141"/>
    <w:rsid w:val="003911B7"/>
    <w:rsid w:val="003912F8"/>
    <w:rsid w:val="0039144F"/>
    <w:rsid w:val="003916AB"/>
    <w:rsid w:val="003919C5"/>
    <w:rsid w:val="00391B9C"/>
    <w:rsid w:val="00391BCE"/>
    <w:rsid w:val="00391BF3"/>
    <w:rsid w:val="00391C5D"/>
    <w:rsid w:val="00391CE3"/>
    <w:rsid w:val="00391DF4"/>
    <w:rsid w:val="00391E7C"/>
    <w:rsid w:val="00391F9C"/>
    <w:rsid w:val="00391FB2"/>
    <w:rsid w:val="0039201A"/>
    <w:rsid w:val="0039221D"/>
    <w:rsid w:val="003925D3"/>
    <w:rsid w:val="00392963"/>
    <w:rsid w:val="00392CAD"/>
    <w:rsid w:val="00392D3D"/>
    <w:rsid w:val="003933C0"/>
    <w:rsid w:val="0039382D"/>
    <w:rsid w:val="0039384A"/>
    <w:rsid w:val="003939C6"/>
    <w:rsid w:val="00393A39"/>
    <w:rsid w:val="00393AA4"/>
    <w:rsid w:val="00393CE3"/>
    <w:rsid w:val="00393FEA"/>
    <w:rsid w:val="003940F1"/>
    <w:rsid w:val="003942D3"/>
    <w:rsid w:val="0039437B"/>
    <w:rsid w:val="003943CC"/>
    <w:rsid w:val="0039467E"/>
    <w:rsid w:val="00394C13"/>
    <w:rsid w:val="00394D80"/>
    <w:rsid w:val="00394DEE"/>
    <w:rsid w:val="00394E3F"/>
    <w:rsid w:val="00394E73"/>
    <w:rsid w:val="00394F49"/>
    <w:rsid w:val="003950C9"/>
    <w:rsid w:val="0039535A"/>
    <w:rsid w:val="00395365"/>
    <w:rsid w:val="00395388"/>
    <w:rsid w:val="00395866"/>
    <w:rsid w:val="003958CB"/>
    <w:rsid w:val="00395B7B"/>
    <w:rsid w:val="00395BC2"/>
    <w:rsid w:val="00395BF0"/>
    <w:rsid w:val="00395F20"/>
    <w:rsid w:val="00396356"/>
    <w:rsid w:val="003964AF"/>
    <w:rsid w:val="00396581"/>
    <w:rsid w:val="00396584"/>
    <w:rsid w:val="003968CF"/>
    <w:rsid w:val="00396A71"/>
    <w:rsid w:val="00396B4F"/>
    <w:rsid w:val="00396D7C"/>
    <w:rsid w:val="00397333"/>
    <w:rsid w:val="00397371"/>
    <w:rsid w:val="0039749C"/>
    <w:rsid w:val="00397541"/>
    <w:rsid w:val="00397BD1"/>
    <w:rsid w:val="00397DD8"/>
    <w:rsid w:val="00397EF3"/>
    <w:rsid w:val="003A04B7"/>
    <w:rsid w:val="003A091E"/>
    <w:rsid w:val="003A0B01"/>
    <w:rsid w:val="003A0C17"/>
    <w:rsid w:val="003A0DA0"/>
    <w:rsid w:val="003A1429"/>
    <w:rsid w:val="003A149D"/>
    <w:rsid w:val="003A14AB"/>
    <w:rsid w:val="003A14E6"/>
    <w:rsid w:val="003A1577"/>
    <w:rsid w:val="003A1647"/>
    <w:rsid w:val="003A1714"/>
    <w:rsid w:val="003A188D"/>
    <w:rsid w:val="003A1CBA"/>
    <w:rsid w:val="003A1CF5"/>
    <w:rsid w:val="003A2099"/>
    <w:rsid w:val="003A20FE"/>
    <w:rsid w:val="003A2821"/>
    <w:rsid w:val="003A28AA"/>
    <w:rsid w:val="003A2937"/>
    <w:rsid w:val="003A2A86"/>
    <w:rsid w:val="003A2B80"/>
    <w:rsid w:val="003A2BEC"/>
    <w:rsid w:val="003A2DE3"/>
    <w:rsid w:val="003A2DEA"/>
    <w:rsid w:val="003A351B"/>
    <w:rsid w:val="003A38EA"/>
    <w:rsid w:val="003A393D"/>
    <w:rsid w:val="003A3BDA"/>
    <w:rsid w:val="003A3C9A"/>
    <w:rsid w:val="003A3E0A"/>
    <w:rsid w:val="003A4255"/>
    <w:rsid w:val="003A4261"/>
    <w:rsid w:val="003A46F2"/>
    <w:rsid w:val="003A4711"/>
    <w:rsid w:val="003A4833"/>
    <w:rsid w:val="003A4979"/>
    <w:rsid w:val="003A4A85"/>
    <w:rsid w:val="003A4A9C"/>
    <w:rsid w:val="003A4DEE"/>
    <w:rsid w:val="003A4F92"/>
    <w:rsid w:val="003A4FF1"/>
    <w:rsid w:val="003A50BE"/>
    <w:rsid w:val="003A51D2"/>
    <w:rsid w:val="003A52C0"/>
    <w:rsid w:val="003A53F3"/>
    <w:rsid w:val="003A5447"/>
    <w:rsid w:val="003A54C0"/>
    <w:rsid w:val="003A5793"/>
    <w:rsid w:val="003A5977"/>
    <w:rsid w:val="003A5A4A"/>
    <w:rsid w:val="003A5E3D"/>
    <w:rsid w:val="003A6012"/>
    <w:rsid w:val="003A6057"/>
    <w:rsid w:val="003A61A7"/>
    <w:rsid w:val="003A641F"/>
    <w:rsid w:val="003A6594"/>
    <w:rsid w:val="003A66DB"/>
    <w:rsid w:val="003A6906"/>
    <w:rsid w:val="003A6931"/>
    <w:rsid w:val="003A6991"/>
    <w:rsid w:val="003A6C01"/>
    <w:rsid w:val="003A6C41"/>
    <w:rsid w:val="003A6CB5"/>
    <w:rsid w:val="003A6CBC"/>
    <w:rsid w:val="003A6D5F"/>
    <w:rsid w:val="003A70B3"/>
    <w:rsid w:val="003A70B7"/>
    <w:rsid w:val="003A7188"/>
    <w:rsid w:val="003A7190"/>
    <w:rsid w:val="003A71A3"/>
    <w:rsid w:val="003A74C6"/>
    <w:rsid w:val="003A77B3"/>
    <w:rsid w:val="003A7931"/>
    <w:rsid w:val="003A7958"/>
    <w:rsid w:val="003A79F1"/>
    <w:rsid w:val="003A7FC9"/>
    <w:rsid w:val="003B000E"/>
    <w:rsid w:val="003B01A9"/>
    <w:rsid w:val="003B029F"/>
    <w:rsid w:val="003B058A"/>
    <w:rsid w:val="003B0607"/>
    <w:rsid w:val="003B06D3"/>
    <w:rsid w:val="003B076A"/>
    <w:rsid w:val="003B0A47"/>
    <w:rsid w:val="003B0D30"/>
    <w:rsid w:val="003B0DAF"/>
    <w:rsid w:val="003B0E76"/>
    <w:rsid w:val="003B0E78"/>
    <w:rsid w:val="003B0FCF"/>
    <w:rsid w:val="003B120E"/>
    <w:rsid w:val="003B135A"/>
    <w:rsid w:val="003B14E7"/>
    <w:rsid w:val="003B150F"/>
    <w:rsid w:val="003B165C"/>
    <w:rsid w:val="003B1713"/>
    <w:rsid w:val="003B17E9"/>
    <w:rsid w:val="003B1823"/>
    <w:rsid w:val="003B183A"/>
    <w:rsid w:val="003B187F"/>
    <w:rsid w:val="003B20B5"/>
    <w:rsid w:val="003B26C8"/>
    <w:rsid w:val="003B27D2"/>
    <w:rsid w:val="003B2BCB"/>
    <w:rsid w:val="003B2C83"/>
    <w:rsid w:val="003B2F8B"/>
    <w:rsid w:val="003B2FF4"/>
    <w:rsid w:val="003B30CB"/>
    <w:rsid w:val="003B30F3"/>
    <w:rsid w:val="003B32DF"/>
    <w:rsid w:val="003B35AF"/>
    <w:rsid w:val="003B39BB"/>
    <w:rsid w:val="003B3E7F"/>
    <w:rsid w:val="003B3ED9"/>
    <w:rsid w:val="003B40FB"/>
    <w:rsid w:val="003B411A"/>
    <w:rsid w:val="003B4188"/>
    <w:rsid w:val="003B420E"/>
    <w:rsid w:val="003B435F"/>
    <w:rsid w:val="003B4454"/>
    <w:rsid w:val="003B45BA"/>
    <w:rsid w:val="003B4648"/>
    <w:rsid w:val="003B46E7"/>
    <w:rsid w:val="003B4750"/>
    <w:rsid w:val="003B48CE"/>
    <w:rsid w:val="003B49FB"/>
    <w:rsid w:val="003B4A65"/>
    <w:rsid w:val="003B4ABF"/>
    <w:rsid w:val="003B4CF3"/>
    <w:rsid w:val="003B4E5E"/>
    <w:rsid w:val="003B4EE7"/>
    <w:rsid w:val="003B4FCB"/>
    <w:rsid w:val="003B53D2"/>
    <w:rsid w:val="003B54E7"/>
    <w:rsid w:val="003B5943"/>
    <w:rsid w:val="003B5B5F"/>
    <w:rsid w:val="003B5E82"/>
    <w:rsid w:val="003B5EA7"/>
    <w:rsid w:val="003B654A"/>
    <w:rsid w:val="003B660D"/>
    <w:rsid w:val="003B66B8"/>
    <w:rsid w:val="003B6782"/>
    <w:rsid w:val="003B682F"/>
    <w:rsid w:val="003B69FB"/>
    <w:rsid w:val="003B6BD8"/>
    <w:rsid w:val="003B6F8A"/>
    <w:rsid w:val="003B71C8"/>
    <w:rsid w:val="003B723E"/>
    <w:rsid w:val="003B72F9"/>
    <w:rsid w:val="003B7361"/>
    <w:rsid w:val="003B7366"/>
    <w:rsid w:val="003B7421"/>
    <w:rsid w:val="003B7460"/>
    <w:rsid w:val="003B75CD"/>
    <w:rsid w:val="003B7791"/>
    <w:rsid w:val="003B780E"/>
    <w:rsid w:val="003B7A80"/>
    <w:rsid w:val="003B7ACE"/>
    <w:rsid w:val="003B7CF9"/>
    <w:rsid w:val="003B7D78"/>
    <w:rsid w:val="003B7FE2"/>
    <w:rsid w:val="003C0284"/>
    <w:rsid w:val="003C0438"/>
    <w:rsid w:val="003C05FF"/>
    <w:rsid w:val="003C060A"/>
    <w:rsid w:val="003C09E0"/>
    <w:rsid w:val="003C0A42"/>
    <w:rsid w:val="003C0A5E"/>
    <w:rsid w:val="003C0ACB"/>
    <w:rsid w:val="003C0B04"/>
    <w:rsid w:val="003C0C44"/>
    <w:rsid w:val="003C0CA9"/>
    <w:rsid w:val="003C0D39"/>
    <w:rsid w:val="003C0EBD"/>
    <w:rsid w:val="003C0F92"/>
    <w:rsid w:val="003C102D"/>
    <w:rsid w:val="003C1093"/>
    <w:rsid w:val="003C14D3"/>
    <w:rsid w:val="003C15CD"/>
    <w:rsid w:val="003C1732"/>
    <w:rsid w:val="003C1C5E"/>
    <w:rsid w:val="003C1D8B"/>
    <w:rsid w:val="003C1F7F"/>
    <w:rsid w:val="003C2040"/>
    <w:rsid w:val="003C25A9"/>
    <w:rsid w:val="003C26D2"/>
    <w:rsid w:val="003C2718"/>
    <w:rsid w:val="003C2BF2"/>
    <w:rsid w:val="003C2DEA"/>
    <w:rsid w:val="003C2DFF"/>
    <w:rsid w:val="003C2E01"/>
    <w:rsid w:val="003C2E93"/>
    <w:rsid w:val="003C3325"/>
    <w:rsid w:val="003C3467"/>
    <w:rsid w:val="003C356D"/>
    <w:rsid w:val="003C35F0"/>
    <w:rsid w:val="003C3D15"/>
    <w:rsid w:val="003C3F4D"/>
    <w:rsid w:val="003C41A2"/>
    <w:rsid w:val="003C41E1"/>
    <w:rsid w:val="003C4298"/>
    <w:rsid w:val="003C46BA"/>
    <w:rsid w:val="003C473C"/>
    <w:rsid w:val="003C4AB1"/>
    <w:rsid w:val="003C4BC4"/>
    <w:rsid w:val="003C4BFD"/>
    <w:rsid w:val="003C4DFB"/>
    <w:rsid w:val="003C4F43"/>
    <w:rsid w:val="003C4F91"/>
    <w:rsid w:val="003C4FB7"/>
    <w:rsid w:val="003C5067"/>
    <w:rsid w:val="003C5250"/>
    <w:rsid w:val="003C57E6"/>
    <w:rsid w:val="003C599C"/>
    <w:rsid w:val="003C5AA6"/>
    <w:rsid w:val="003C5ACC"/>
    <w:rsid w:val="003C5AFB"/>
    <w:rsid w:val="003C5BDC"/>
    <w:rsid w:val="003C5BE4"/>
    <w:rsid w:val="003C5BF8"/>
    <w:rsid w:val="003C5F1D"/>
    <w:rsid w:val="003C6406"/>
    <w:rsid w:val="003C6450"/>
    <w:rsid w:val="003C6615"/>
    <w:rsid w:val="003C6E1D"/>
    <w:rsid w:val="003C7207"/>
    <w:rsid w:val="003C727B"/>
    <w:rsid w:val="003C728C"/>
    <w:rsid w:val="003C72C0"/>
    <w:rsid w:val="003C72EA"/>
    <w:rsid w:val="003C7350"/>
    <w:rsid w:val="003C7621"/>
    <w:rsid w:val="003C762F"/>
    <w:rsid w:val="003C77B1"/>
    <w:rsid w:val="003C77FA"/>
    <w:rsid w:val="003C78F4"/>
    <w:rsid w:val="003C78F8"/>
    <w:rsid w:val="003C7C9B"/>
    <w:rsid w:val="003C7CDF"/>
    <w:rsid w:val="003C7E70"/>
    <w:rsid w:val="003C7EAE"/>
    <w:rsid w:val="003C7FBB"/>
    <w:rsid w:val="003C7FC1"/>
    <w:rsid w:val="003D0248"/>
    <w:rsid w:val="003D02EF"/>
    <w:rsid w:val="003D0333"/>
    <w:rsid w:val="003D0465"/>
    <w:rsid w:val="003D056B"/>
    <w:rsid w:val="003D058E"/>
    <w:rsid w:val="003D0913"/>
    <w:rsid w:val="003D0AF5"/>
    <w:rsid w:val="003D0AFB"/>
    <w:rsid w:val="003D0D29"/>
    <w:rsid w:val="003D0E43"/>
    <w:rsid w:val="003D100F"/>
    <w:rsid w:val="003D181E"/>
    <w:rsid w:val="003D1857"/>
    <w:rsid w:val="003D1987"/>
    <w:rsid w:val="003D1C0A"/>
    <w:rsid w:val="003D1C58"/>
    <w:rsid w:val="003D1D3B"/>
    <w:rsid w:val="003D1D5A"/>
    <w:rsid w:val="003D1ECF"/>
    <w:rsid w:val="003D220D"/>
    <w:rsid w:val="003D224D"/>
    <w:rsid w:val="003D27D6"/>
    <w:rsid w:val="003D28F4"/>
    <w:rsid w:val="003D2B99"/>
    <w:rsid w:val="003D2E6C"/>
    <w:rsid w:val="003D3045"/>
    <w:rsid w:val="003D3120"/>
    <w:rsid w:val="003D3350"/>
    <w:rsid w:val="003D380D"/>
    <w:rsid w:val="003D391C"/>
    <w:rsid w:val="003D3A79"/>
    <w:rsid w:val="003D3BC3"/>
    <w:rsid w:val="003D3C23"/>
    <w:rsid w:val="003D3CDE"/>
    <w:rsid w:val="003D3D67"/>
    <w:rsid w:val="003D3E93"/>
    <w:rsid w:val="003D402D"/>
    <w:rsid w:val="003D40A4"/>
    <w:rsid w:val="003D411C"/>
    <w:rsid w:val="003D4194"/>
    <w:rsid w:val="003D4321"/>
    <w:rsid w:val="003D4360"/>
    <w:rsid w:val="003D43BE"/>
    <w:rsid w:val="003D44BE"/>
    <w:rsid w:val="003D45B2"/>
    <w:rsid w:val="003D47D6"/>
    <w:rsid w:val="003D4BA2"/>
    <w:rsid w:val="003D4E47"/>
    <w:rsid w:val="003D4F66"/>
    <w:rsid w:val="003D520D"/>
    <w:rsid w:val="003D527C"/>
    <w:rsid w:val="003D52E0"/>
    <w:rsid w:val="003D53E8"/>
    <w:rsid w:val="003D56CE"/>
    <w:rsid w:val="003D5CC5"/>
    <w:rsid w:val="003D5D34"/>
    <w:rsid w:val="003D5DF4"/>
    <w:rsid w:val="003D5EE7"/>
    <w:rsid w:val="003D5F82"/>
    <w:rsid w:val="003D60B9"/>
    <w:rsid w:val="003D617A"/>
    <w:rsid w:val="003D6377"/>
    <w:rsid w:val="003D64A0"/>
    <w:rsid w:val="003D65D1"/>
    <w:rsid w:val="003D6AB3"/>
    <w:rsid w:val="003D6B12"/>
    <w:rsid w:val="003D6B66"/>
    <w:rsid w:val="003D6C04"/>
    <w:rsid w:val="003D6C3A"/>
    <w:rsid w:val="003D6F5B"/>
    <w:rsid w:val="003D6FF1"/>
    <w:rsid w:val="003D6FF4"/>
    <w:rsid w:val="003D7020"/>
    <w:rsid w:val="003D7036"/>
    <w:rsid w:val="003D720D"/>
    <w:rsid w:val="003D72C7"/>
    <w:rsid w:val="003D7579"/>
    <w:rsid w:val="003D7714"/>
    <w:rsid w:val="003D7875"/>
    <w:rsid w:val="003D7891"/>
    <w:rsid w:val="003D7930"/>
    <w:rsid w:val="003D7A0C"/>
    <w:rsid w:val="003D7B07"/>
    <w:rsid w:val="003E0260"/>
    <w:rsid w:val="003E0318"/>
    <w:rsid w:val="003E0333"/>
    <w:rsid w:val="003E0CA9"/>
    <w:rsid w:val="003E0D0B"/>
    <w:rsid w:val="003E0D53"/>
    <w:rsid w:val="003E0D95"/>
    <w:rsid w:val="003E1024"/>
    <w:rsid w:val="003E13B2"/>
    <w:rsid w:val="003E146F"/>
    <w:rsid w:val="003E150F"/>
    <w:rsid w:val="003E1647"/>
    <w:rsid w:val="003E184D"/>
    <w:rsid w:val="003E185B"/>
    <w:rsid w:val="003E1897"/>
    <w:rsid w:val="003E18E1"/>
    <w:rsid w:val="003E18F6"/>
    <w:rsid w:val="003E19CA"/>
    <w:rsid w:val="003E1AA3"/>
    <w:rsid w:val="003E1BA7"/>
    <w:rsid w:val="003E1D4C"/>
    <w:rsid w:val="003E1E44"/>
    <w:rsid w:val="003E1E4D"/>
    <w:rsid w:val="003E1F30"/>
    <w:rsid w:val="003E1F6F"/>
    <w:rsid w:val="003E2053"/>
    <w:rsid w:val="003E229C"/>
    <w:rsid w:val="003E2307"/>
    <w:rsid w:val="003E243F"/>
    <w:rsid w:val="003E2559"/>
    <w:rsid w:val="003E2594"/>
    <w:rsid w:val="003E2602"/>
    <w:rsid w:val="003E2792"/>
    <w:rsid w:val="003E2976"/>
    <w:rsid w:val="003E2B23"/>
    <w:rsid w:val="003E2C00"/>
    <w:rsid w:val="003E2C88"/>
    <w:rsid w:val="003E2F2E"/>
    <w:rsid w:val="003E2FB0"/>
    <w:rsid w:val="003E311B"/>
    <w:rsid w:val="003E31DF"/>
    <w:rsid w:val="003E3202"/>
    <w:rsid w:val="003E34FF"/>
    <w:rsid w:val="003E362A"/>
    <w:rsid w:val="003E369D"/>
    <w:rsid w:val="003E3E23"/>
    <w:rsid w:val="003E4398"/>
    <w:rsid w:val="003E444D"/>
    <w:rsid w:val="003E4664"/>
    <w:rsid w:val="003E480C"/>
    <w:rsid w:val="003E4901"/>
    <w:rsid w:val="003E4BB5"/>
    <w:rsid w:val="003E4C6D"/>
    <w:rsid w:val="003E4D92"/>
    <w:rsid w:val="003E4DFE"/>
    <w:rsid w:val="003E4FBF"/>
    <w:rsid w:val="003E504F"/>
    <w:rsid w:val="003E52B2"/>
    <w:rsid w:val="003E5591"/>
    <w:rsid w:val="003E564D"/>
    <w:rsid w:val="003E56B8"/>
    <w:rsid w:val="003E56C0"/>
    <w:rsid w:val="003E5ABB"/>
    <w:rsid w:val="003E5B38"/>
    <w:rsid w:val="003E5E90"/>
    <w:rsid w:val="003E60CE"/>
    <w:rsid w:val="003E60D1"/>
    <w:rsid w:val="003E64E4"/>
    <w:rsid w:val="003E6690"/>
    <w:rsid w:val="003E66B9"/>
    <w:rsid w:val="003E6865"/>
    <w:rsid w:val="003E6886"/>
    <w:rsid w:val="003E6901"/>
    <w:rsid w:val="003E6926"/>
    <w:rsid w:val="003E6BAC"/>
    <w:rsid w:val="003E6E9F"/>
    <w:rsid w:val="003E706F"/>
    <w:rsid w:val="003E71CA"/>
    <w:rsid w:val="003E7237"/>
    <w:rsid w:val="003E73E9"/>
    <w:rsid w:val="003E76FC"/>
    <w:rsid w:val="003E7750"/>
    <w:rsid w:val="003E7B41"/>
    <w:rsid w:val="003E7C40"/>
    <w:rsid w:val="003E7E13"/>
    <w:rsid w:val="003E7E7A"/>
    <w:rsid w:val="003F003F"/>
    <w:rsid w:val="003F00F3"/>
    <w:rsid w:val="003F0178"/>
    <w:rsid w:val="003F01E1"/>
    <w:rsid w:val="003F036A"/>
    <w:rsid w:val="003F03AC"/>
    <w:rsid w:val="003F08EF"/>
    <w:rsid w:val="003F0A5C"/>
    <w:rsid w:val="003F1304"/>
    <w:rsid w:val="003F131F"/>
    <w:rsid w:val="003F1524"/>
    <w:rsid w:val="003F15B9"/>
    <w:rsid w:val="003F164B"/>
    <w:rsid w:val="003F18AD"/>
    <w:rsid w:val="003F1EB6"/>
    <w:rsid w:val="003F2029"/>
    <w:rsid w:val="003F2179"/>
    <w:rsid w:val="003F2492"/>
    <w:rsid w:val="003F24D3"/>
    <w:rsid w:val="003F25CE"/>
    <w:rsid w:val="003F25EA"/>
    <w:rsid w:val="003F26A8"/>
    <w:rsid w:val="003F28A6"/>
    <w:rsid w:val="003F2976"/>
    <w:rsid w:val="003F2A8A"/>
    <w:rsid w:val="003F2B8D"/>
    <w:rsid w:val="003F2FC8"/>
    <w:rsid w:val="003F3104"/>
    <w:rsid w:val="003F3181"/>
    <w:rsid w:val="003F31E8"/>
    <w:rsid w:val="003F336A"/>
    <w:rsid w:val="003F3588"/>
    <w:rsid w:val="003F3687"/>
    <w:rsid w:val="003F36DB"/>
    <w:rsid w:val="003F3723"/>
    <w:rsid w:val="003F3849"/>
    <w:rsid w:val="003F385E"/>
    <w:rsid w:val="003F3A2B"/>
    <w:rsid w:val="003F3E02"/>
    <w:rsid w:val="003F4144"/>
    <w:rsid w:val="003F42E9"/>
    <w:rsid w:val="003F4327"/>
    <w:rsid w:val="003F45AE"/>
    <w:rsid w:val="003F45E7"/>
    <w:rsid w:val="003F4626"/>
    <w:rsid w:val="003F476E"/>
    <w:rsid w:val="003F48D2"/>
    <w:rsid w:val="003F49A8"/>
    <w:rsid w:val="003F49B1"/>
    <w:rsid w:val="003F4BA4"/>
    <w:rsid w:val="003F4CF9"/>
    <w:rsid w:val="003F4D85"/>
    <w:rsid w:val="003F5070"/>
    <w:rsid w:val="003F52F0"/>
    <w:rsid w:val="003F5D9A"/>
    <w:rsid w:val="003F5DFB"/>
    <w:rsid w:val="003F5EF0"/>
    <w:rsid w:val="003F6252"/>
    <w:rsid w:val="003F6301"/>
    <w:rsid w:val="003F6321"/>
    <w:rsid w:val="003F678E"/>
    <w:rsid w:val="003F6906"/>
    <w:rsid w:val="003F69F7"/>
    <w:rsid w:val="003F6CED"/>
    <w:rsid w:val="003F7032"/>
    <w:rsid w:val="003F70A3"/>
    <w:rsid w:val="003F721B"/>
    <w:rsid w:val="003F7358"/>
    <w:rsid w:val="003F7C2A"/>
    <w:rsid w:val="0040004D"/>
    <w:rsid w:val="00400148"/>
    <w:rsid w:val="004003D1"/>
    <w:rsid w:val="004004A5"/>
    <w:rsid w:val="00400573"/>
    <w:rsid w:val="0040061A"/>
    <w:rsid w:val="00400733"/>
    <w:rsid w:val="004009F0"/>
    <w:rsid w:val="00400B0F"/>
    <w:rsid w:val="00400B37"/>
    <w:rsid w:val="00400D7B"/>
    <w:rsid w:val="004017E1"/>
    <w:rsid w:val="0040192A"/>
    <w:rsid w:val="00401AB3"/>
    <w:rsid w:val="00401B57"/>
    <w:rsid w:val="00401EEE"/>
    <w:rsid w:val="00401F92"/>
    <w:rsid w:val="004020B7"/>
    <w:rsid w:val="004026D8"/>
    <w:rsid w:val="0040292B"/>
    <w:rsid w:val="00402A12"/>
    <w:rsid w:val="00402D4F"/>
    <w:rsid w:val="00402DC0"/>
    <w:rsid w:val="00402DCD"/>
    <w:rsid w:val="00402E88"/>
    <w:rsid w:val="0040309A"/>
    <w:rsid w:val="004030C9"/>
    <w:rsid w:val="004031E1"/>
    <w:rsid w:val="0040329F"/>
    <w:rsid w:val="0040345B"/>
    <w:rsid w:val="00403530"/>
    <w:rsid w:val="004035B2"/>
    <w:rsid w:val="0040385E"/>
    <w:rsid w:val="004038DD"/>
    <w:rsid w:val="00403C43"/>
    <w:rsid w:val="00403C7F"/>
    <w:rsid w:val="00403D7C"/>
    <w:rsid w:val="00403EB5"/>
    <w:rsid w:val="00403F59"/>
    <w:rsid w:val="00403F86"/>
    <w:rsid w:val="0040409F"/>
    <w:rsid w:val="0040413F"/>
    <w:rsid w:val="00404331"/>
    <w:rsid w:val="004045D9"/>
    <w:rsid w:val="004046E0"/>
    <w:rsid w:val="0040477C"/>
    <w:rsid w:val="00404A5D"/>
    <w:rsid w:val="00404E02"/>
    <w:rsid w:val="00404FF5"/>
    <w:rsid w:val="00405083"/>
    <w:rsid w:val="004050C6"/>
    <w:rsid w:val="00405242"/>
    <w:rsid w:val="00405491"/>
    <w:rsid w:val="00405791"/>
    <w:rsid w:val="004058D4"/>
    <w:rsid w:val="00405D1E"/>
    <w:rsid w:val="00405EB6"/>
    <w:rsid w:val="0040608D"/>
    <w:rsid w:val="00406158"/>
    <w:rsid w:val="004061E1"/>
    <w:rsid w:val="004061F2"/>
    <w:rsid w:val="00406271"/>
    <w:rsid w:val="0040627E"/>
    <w:rsid w:val="0040632F"/>
    <w:rsid w:val="004063B0"/>
    <w:rsid w:val="00406A82"/>
    <w:rsid w:val="00406CB6"/>
    <w:rsid w:val="00406D15"/>
    <w:rsid w:val="00406E2E"/>
    <w:rsid w:val="0040704F"/>
    <w:rsid w:val="004070F5"/>
    <w:rsid w:val="00407521"/>
    <w:rsid w:val="004077DE"/>
    <w:rsid w:val="004079AB"/>
    <w:rsid w:val="00407A42"/>
    <w:rsid w:val="00407AFE"/>
    <w:rsid w:val="00407B35"/>
    <w:rsid w:val="00407CED"/>
    <w:rsid w:val="00407EFE"/>
    <w:rsid w:val="00407FB6"/>
    <w:rsid w:val="00410222"/>
    <w:rsid w:val="004102DD"/>
    <w:rsid w:val="0041031F"/>
    <w:rsid w:val="004106A5"/>
    <w:rsid w:val="00410758"/>
    <w:rsid w:val="00410815"/>
    <w:rsid w:val="00410899"/>
    <w:rsid w:val="00410A4E"/>
    <w:rsid w:val="00410AD1"/>
    <w:rsid w:val="00410D7A"/>
    <w:rsid w:val="0041108F"/>
    <w:rsid w:val="004110A2"/>
    <w:rsid w:val="00411466"/>
    <w:rsid w:val="00411527"/>
    <w:rsid w:val="0041177F"/>
    <w:rsid w:val="00411965"/>
    <w:rsid w:val="0041198F"/>
    <w:rsid w:val="00411E58"/>
    <w:rsid w:val="00411E6F"/>
    <w:rsid w:val="00412071"/>
    <w:rsid w:val="00412255"/>
    <w:rsid w:val="00412386"/>
    <w:rsid w:val="004124C8"/>
    <w:rsid w:val="004125E7"/>
    <w:rsid w:val="0041270F"/>
    <w:rsid w:val="00412744"/>
    <w:rsid w:val="00412770"/>
    <w:rsid w:val="004129A2"/>
    <w:rsid w:val="004129B1"/>
    <w:rsid w:val="00412A1A"/>
    <w:rsid w:val="00412A82"/>
    <w:rsid w:val="00412A84"/>
    <w:rsid w:val="00412C1B"/>
    <w:rsid w:val="00412D8F"/>
    <w:rsid w:val="00412DCE"/>
    <w:rsid w:val="00412F51"/>
    <w:rsid w:val="00412FE0"/>
    <w:rsid w:val="00413157"/>
    <w:rsid w:val="0041323B"/>
    <w:rsid w:val="004132E3"/>
    <w:rsid w:val="00413411"/>
    <w:rsid w:val="004134BB"/>
    <w:rsid w:val="00413936"/>
    <w:rsid w:val="00413968"/>
    <w:rsid w:val="00413CFF"/>
    <w:rsid w:val="00413D29"/>
    <w:rsid w:val="00413E1E"/>
    <w:rsid w:val="00414074"/>
    <w:rsid w:val="00414330"/>
    <w:rsid w:val="004143E2"/>
    <w:rsid w:val="00414472"/>
    <w:rsid w:val="004144D9"/>
    <w:rsid w:val="00414752"/>
    <w:rsid w:val="00414A21"/>
    <w:rsid w:val="00414AB4"/>
    <w:rsid w:val="00414C4D"/>
    <w:rsid w:val="00414D0C"/>
    <w:rsid w:val="00414F01"/>
    <w:rsid w:val="004150EA"/>
    <w:rsid w:val="0041517E"/>
    <w:rsid w:val="0041524B"/>
    <w:rsid w:val="0041535C"/>
    <w:rsid w:val="00415473"/>
    <w:rsid w:val="004157E6"/>
    <w:rsid w:val="00415862"/>
    <w:rsid w:val="00415B24"/>
    <w:rsid w:val="00416050"/>
    <w:rsid w:val="00416079"/>
    <w:rsid w:val="00416120"/>
    <w:rsid w:val="00416201"/>
    <w:rsid w:val="00416294"/>
    <w:rsid w:val="004162C8"/>
    <w:rsid w:val="0041650F"/>
    <w:rsid w:val="00416644"/>
    <w:rsid w:val="004168F2"/>
    <w:rsid w:val="004169AB"/>
    <w:rsid w:val="00416B77"/>
    <w:rsid w:val="00416BA5"/>
    <w:rsid w:val="00416C32"/>
    <w:rsid w:val="00416CA2"/>
    <w:rsid w:val="0041701D"/>
    <w:rsid w:val="00417426"/>
    <w:rsid w:val="00417469"/>
    <w:rsid w:val="00417568"/>
    <w:rsid w:val="004177E6"/>
    <w:rsid w:val="00417E6E"/>
    <w:rsid w:val="00417EF0"/>
    <w:rsid w:val="0042046F"/>
    <w:rsid w:val="00420482"/>
    <w:rsid w:val="00420495"/>
    <w:rsid w:val="00420512"/>
    <w:rsid w:val="0042072D"/>
    <w:rsid w:val="00420762"/>
    <w:rsid w:val="00420A90"/>
    <w:rsid w:val="00420BBA"/>
    <w:rsid w:val="00420BEB"/>
    <w:rsid w:val="00420F83"/>
    <w:rsid w:val="0042125F"/>
    <w:rsid w:val="00421341"/>
    <w:rsid w:val="00421538"/>
    <w:rsid w:val="0042153C"/>
    <w:rsid w:val="0042160E"/>
    <w:rsid w:val="004216E6"/>
    <w:rsid w:val="00421749"/>
    <w:rsid w:val="00421A82"/>
    <w:rsid w:val="00421E49"/>
    <w:rsid w:val="0042232E"/>
    <w:rsid w:val="00422525"/>
    <w:rsid w:val="0042261E"/>
    <w:rsid w:val="004227EE"/>
    <w:rsid w:val="00422A2F"/>
    <w:rsid w:val="00422DC8"/>
    <w:rsid w:val="00422EA4"/>
    <w:rsid w:val="00423186"/>
    <w:rsid w:val="00423265"/>
    <w:rsid w:val="0042343D"/>
    <w:rsid w:val="004236A9"/>
    <w:rsid w:val="00423803"/>
    <w:rsid w:val="0042381F"/>
    <w:rsid w:val="00423B8C"/>
    <w:rsid w:val="00423C04"/>
    <w:rsid w:val="00423C69"/>
    <w:rsid w:val="00423DC5"/>
    <w:rsid w:val="00423F00"/>
    <w:rsid w:val="00423F8B"/>
    <w:rsid w:val="0042407F"/>
    <w:rsid w:val="004240AD"/>
    <w:rsid w:val="00424254"/>
    <w:rsid w:val="004244C8"/>
    <w:rsid w:val="004245DC"/>
    <w:rsid w:val="00424BFA"/>
    <w:rsid w:val="00424D86"/>
    <w:rsid w:val="00424E32"/>
    <w:rsid w:val="00424E7E"/>
    <w:rsid w:val="00424F4A"/>
    <w:rsid w:val="0042505C"/>
    <w:rsid w:val="004250E4"/>
    <w:rsid w:val="004252A8"/>
    <w:rsid w:val="004252FE"/>
    <w:rsid w:val="004255CF"/>
    <w:rsid w:val="0042568E"/>
    <w:rsid w:val="0042592B"/>
    <w:rsid w:val="00425A88"/>
    <w:rsid w:val="00425AC9"/>
    <w:rsid w:val="00425CC5"/>
    <w:rsid w:val="00425CEB"/>
    <w:rsid w:val="00425D20"/>
    <w:rsid w:val="00425E16"/>
    <w:rsid w:val="004261AE"/>
    <w:rsid w:val="004264B4"/>
    <w:rsid w:val="00426676"/>
    <w:rsid w:val="00426B65"/>
    <w:rsid w:val="00426B71"/>
    <w:rsid w:val="00426F3B"/>
    <w:rsid w:val="00427076"/>
    <w:rsid w:val="004270A0"/>
    <w:rsid w:val="0042775C"/>
    <w:rsid w:val="00427CE8"/>
    <w:rsid w:val="00427F7F"/>
    <w:rsid w:val="00427FA5"/>
    <w:rsid w:val="0043006B"/>
    <w:rsid w:val="004301FD"/>
    <w:rsid w:val="00430298"/>
    <w:rsid w:val="00430388"/>
    <w:rsid w:val="004305A8"/>
    <w:rsid w:val="00430617"/>
    <w:rsid w:val="0043069F"/>
    <w:rsid w:val="00430871"/>
    <w:rsid w:val="00430B7A"/>
    <w:rsid w:val="00430F0E"/>
    <w:rsid w:val="004311ED"/>
    <w:rsid w:val="004312D9"/>
    <w:rsid w:val="0043143A"/>
    <w:rsid w:val="00431608"/>
    <w:rsid w:val="00431630"/>
    <w:rsid w:val="004317E7"/>
    <w:rsid w:val="004318E4"/>
    <w:rsid w:val="004319B3"/>
    <w:rsid w:val="00431C78"/>
    <w:rsid w:val="00431C7C"/>
    <w:rsid w:val="00431CFA"/>
    <w:rsid w:val="00431D30"/>
    <w:rsid w:val="004321F9"/>
    <w:rsid w:val="0043232F"/>
    <w:rsid w:val="00432363"/>
    <w:rsid w:val="004324FD"/>
    <w:rsid w:val="00432513"/>
    <w:rsid w:val="004326AF"/>
    <w:rsid w:val="004327C7"/>
    <w:rsid w:val="00432908"/>
    <w:rsid w:val="00432941"/>
    <w:rsid w:val="00432CA6"/>
    <w:rsid w:val="00432EFA"/>
    <w:rsid w:val="00433154"/>
    <w:rsid w:val="004332F5"/>
    <w:rsid w:val="00433449"/>
    <w:rsid w:val="00433AE7"/>
    <w:rsid w:val="00433EE1"/>
    <w:rsid w:val="00433FE5"/>
    <w:rsid w:val="0043455C"/>
    <w:rsid w:val="004347C2"/>
    <w:rsid w:val="00434A11"/>
    <w:rsid w:val="00434A76"/>
    <w:rsid w:val="00434B38"/>
    <w:rsid w:val="00435003"/>
    <w:rsid w:val="0043524D"/>
    <w:rsid w:val="00435401"/>
    <w:rsid w:val="00435734"/>
    <w:rsid w:val="00435766"/>
    <w:rsid w:val="00435883"/>
    <w:rsid w:val="00435A02"/>
    <w:rsid w:val="00435B08"/>
    <w:rsid w:val="00435B1A"/>
    <w:rsid w:val="00435C05"/>
    <w:rsid w:val="00436141"/>
    <w:rsid w:val="0043617C"/>
    <w:rsid w:val="004361E2"/>
    <w:rsid w:val="00436202"/>
    <w:rsid w:val="004363A4"/>
    <w:rsid w:val="004367C2"/>
    <w:rsid w:val="00436953"/>
    <w:rsid w:val="00436DDB"/>
    <w:rsid w:val="00436E5B"/>
    <w:rsid w:val="00436E8C"/>
    <w:rsid w:val="00436EC1"/>
    <w:rsid w:val="00436ED2"/>
    <w:rsid w:val="00436FC1"/>
    <w:rsid w:val="0043708B"/>
    <w:rsid w:val="0043710D"/>
    <w:rsid w:val="0043735F"/>
    <w:rsid w:val="00437448"/>
    <w:rsid w:val="0043771C"/>
    <w:rsid w:val="004377D8"/>
    <w:rsid w:val="004377E4"/>
    <w:rsid w:val="004378A1"/>
    <w:rsid w:val="00437AE2"/>
    <w:rsid w:val="00437B3B"/>
    <w:rsid w:val="00440134"/>
    <w:rsid w:val="0044024C"/>
    <w:rsid w:val="00440343"/>
    <w:rsid w:val="004408D2"/>
    <w:rsid w:val="00440A7D"/>
    <w:rsid w:val="00440AF4"/>
    <w:rsid w:val="00440C12"/>
    <w:rsid w:val="00440E17"/>
    <w:rsid w:val="00440E38"/>
    <w:rsid w:val="00440F5F"/>
    <w:rsid w:val="004410A1"/>
    <w:rsid w:val="004411B7"/>
    <w:rsid w:val="0044124A"/>
    <w:rsid w:val="00441266"/>
    <w:rsid w:val="004412DB"/>
    <w:rsid w:val="004415FB"/>
    <w:rsid w:val="00441677"/>
    <w:rsid w:val="00441744"/>
    <w:rsid w:val="0044189E"/>
    <w:rsid w:val="00441A59"/>
    <w:rsid w:val="00441B72"/>
    <w:rsid w:val="00441BA2"/>
    <w:rsid w:val="00441DAB"/>
    <w:rsid w:val="00441F85"/>
    <w:rsid w:val="00442107"/>
    <w:rsid w:val="00442150"/>
    <w:rsid w:val="004421B5"/>
    <w:rsid w:val="004422B5"/>
    <w:rsid w:val="004426D4"/>
    <w:rsid w:val="00442BA4"/>
    <w:rsid w:val="00442C4B"/>
    <w:rsid w:val="00442CA4"/>
    <w:rsid w:val="00442EBE"/>
    <w:rsid w:val="00443145"/>
    <w:rsid w:val="004431D1"/>
    <w:rsid w:val="0044377C"/>
    <w:rsid w:val="00443A16"/>
    <w:rsid w:val="00443A48"/>
    <w:rsid w:val="00443B09"/>
    <w:rsid w:val="00443D67"/>
    <w:rsid w:val="00443DD2"/>
    <w:rsid w:val="00443DE3"/>
    <w:rsid w:val="0044401D"/>
    <w:rsid w:val="00444050"/>
    <w:rsid w:val="00444308"/>
    <w:rsid w:val="004445BE"/>
    <w:rsid w:val="004446E6"/>
    <w:rsid w:val="004446F4"/>
    <w:rsid w:val="0044482D"/>
    <w:rsid w:val="00444918"/>
    <w:rsid w:val="00444C71"/>
    <w:rsid w:val="00444C78"/>
    <w:rsid w:val="00444C7F"/>
    <w:rsid w:val="00444DB7"/>
    <w:rsid w:val="00444E97"/>
    <w:rsid w:val="0044513D"/>
    <w:rsid w:val="00445259"/>
    <w:rsid w:val="00445494"/>
    <w:rsid w:val="004454AF"/>
    <w:rsid w:val="00445911"/>
    <w:rsid w:val="00445B31"/>
    <w:rsid w:val="00445F66"/>
    <w:rsid w:val="00446253"/>
    <w:rsid w:val="0044638A"/>
    <w:rsid w:val="0044646F"/>
    <w:rsid w:val="00446843"/>
    <w:rsid w:val="00446CBF"/>
    <w:rsid w:val="0044715B"/>
    <w:rsid w:val="004472B6"/>
    <w:rsid w:val="00447329"/>
    <w:rsid w:val="0044759A"/>
    <w:rsid w:val="00447651"/>
    <w:rsid w:val="004476A8"/>
    <w:rsid w:val="00447970"/>
    <w:rsid w:val="004479AE"/>
    <w:rsid w:val="00447B58"/>
    <w:rsid w:val="00447C50"/>
    <w:rsid w:val="00447C9C"/>
    <w:rsid w:val="00450084"/>
    <w:rsid w:val="00450115"/>
    <w:rsid w:val="0045021E"/>
    <w:rsid w:val="004504F9"/>
    <w:rsid w:val="004507CD"/>
    <w:rsid w:val="00450972"/>
    <w:rsid w:val="00450AF3"/>
    <w:rsid w:val="00450C90"/>
    <w:rsid w:val="00450F8E"/>
    <w:rsid w:val="00451439"/>
    <w:rsid w:val="0045189C"/>
    <w:rsid w:val="00451C70"/>
    <w:rsid w:val="00451D28"/>
    <w:rsid w:val="00451FB6"/>
    <w:rsid w:val="00451FF8"/>
    <w:rsid w:val="0045206B"/>
    <w:rsid w:val="004520B2"/>
    <w:rsid w:val="0045223D"/>
    <w:rsid w:val="00452622"/>
    <w:rsid w:val="0045275A"/>
    <w:rsid w:val="0045292A"/>
    <w:rsid w:val="00452B8E"/>
    <w:rsid w:val="00452D84"/>
    <w:rsid w:val="00452F4B"/>
    <w:rsid w:val="00452F7B"/>
    <w:rsid w:val="00452FD6"/>
    <w:rsid w:val="00453265"/>
    <w:rsid w:val="00453318"/>
    <w:rsid w:val="004535C1"/>
    <w:rsid w:val="004536A3"/>
    <w:rsid w:val="004536C0"/>
    <w:rsid w:val="00453729"/>
    <w:rsid w:val="004537E9"/>
    <w:rsid w:val="00453836"/>
    <w:rsid w:val="00453929"/>
    <w:rsid w:val="00453A1C"/>
    <w:rsid w:val="00453B35"/>
    <w:rsid w:val="00453E58"/>
    <w:rsid w:val="00453F0F"/>
    <w:rsid w:val="00453F67"/>
    <w:rsid w:val="0045400C"/>
    <w:rsid w:val="0045400E"/>
    <w:rsid w:val="0045412C"/>
    <w:rsid w:val="0045446A"/>
    <w:rsid w:val="00454501"/>
    <w:rsid w:val="00454941"/>
    <w:rsid w:val="004549CB"/>
    <w:rsid w:val="004549CF"/>
    <w:rsid w:val="004549EA"/>
    <w:rsid w:val="004549F6"/>
    <w:rsid w:val="00454B72"/>
    <w:rsid w:val="00454BF0"/>
    <w:rsid w:val="00454C49"/>
    <w:rsid w:val="00455037"/>
    <w:rsid w:val="004552CB"/>
    <w:rsid w:val="0045570B"/>
    <w:rsid w:val="00455773"/>
    <w:rsid w:val="00455985"/>
    <w:rsid w:val="00455CDC"/>
    <w:rsid w:val="00455D28"/>
    <w:rsid w:val="00455D80"/>
    <w:rsid w:val="00455F93"/>
    <w:rsid w:val="0045601F"/>
    <w:rsid w:val="004561DE"/>
    <w:rsid w:val="00456338"/>
    <w:rsid w:val="0045636C"/>
    <w:rsid w:val="00456517"/>
    <w:rsid w:val="0045674B"/>
    <w:rsid w:val="0045679D"/>
    <w:rsid w:val="00456E0A"/>
    <w:rsid w:val="00457057"/>
    <w:rsid w:val="0045713D"/>
    <w:rsid w:val="00457231"/>
    <w:rsid w:val="004572CA"/>
    <w:rsid w:val="0045759A"/>
    <w:rsid w:val="004576DB"/>
    <w:rsid w:val="004578A3"/>
    <w:rsid w:val="00457AEC"/>
    <w:rsid w:val="00457B92"/>
    <w:rsid w:val="00457C38"/>
    <w:rsid w:val="00457D27"/>
    <w:rsid w:val="00460251"/>
    <w:rsid w:val="004605DD"/>
    <w:rsid w:val="00460D58"/>
    <w:rsid w:val="00460E2D"/>
    <w:rsid w:val="00461006"/>
    <w:rsid w:val="00461121"/>
    <w:rsid w:val="00461278"/>
    <w:rsid w:val="00461562"/>
    <w:rsid w:val="0046180A"/>
    <w:rsid w:val="0046195C"/>
    <w:rsid w:val="00461963"/>
    <w:rsid w:val="00461B15"/>
    <w:rsid w:val="00461BA9"/>
    <w:rsid w:val="00462203"/>
    <w:rsid w:val="00462223"/>
    <w:rsid w:val="0046226D"/>
    <w:rsid w:val="004622D8"/>
    <w:rsid w:val="004623A7"/>
    <w:rsid w:val="004623C3"/>
    <w:rsid w:val="004623EF"/>
    <w:rsid w:val="004624DE"/>
    <w:rsid w:val="0046262F"/>
    <w:rsid w:val="0046275E"/>
    <w:rsid w:val="004627B1"/>
    <w:rsid w:val="00462AED"/>
    <w:rsid w:val="00462D4A"/>
    <w:rsid w:val="00462E27"/>
    <w:rsid w:val="00462FED"/>
    <w:rsid w:val="0046334C"/>
    <w:rsid w:val="0046346E"/>
    <w:rsid w:val="00463AF6"/>
    <w:rsid w:val="00463B2F"/>
    <w:rsid w:val="00463B45"/>
    <w:rsid w:val="00463E33"/>
    <w:rsid w:val="00463EF0"/>
    <w:rsid w:val="00463EFF"/>
    <w:rsid w:val="00464074"/>
    <w:rsid w:val="0046407D"/>
    <w:rsid w:val="00464259"/>
    <w:rsid w:val="0046430A"/>
    <w:rsid w:val="004643BF"/>
    <w:rsid w:val="0046445B"/>
    <w:rsid w:val="00464484"/>
    <w:rsid w:val="00464599"/>
    <w:rsid w:val="004646FF"/>
    <w:rsid w:val="0046474F"/>
    <w:rsid w:val="004647A8"/>
    <w:rsid w:val="004648C0"/>
    <w:rsid w:val="00464915"/>
    <w:rsid w:val="00464AB2"/>
    <w:rsid w:val="00464D2F"/>
    <w:rsid w:val="00464D3C"/>
    <w:rsid w:val="00464D66"/>
    <w:rsid w:val="004650DF"/>
    <w:rsid w:val="00465117"/>
    <w:rsid w:val="0046516E"/>
    <w:rsid w:val="004654F2"/>
    <w:rsid w:val="0046557C"/>
    <w:rsid w:val="0046575C"/>
    <w:rsid w:val="00465A20"/>
    <w:rsid w:val="00465BEE"/>
    <w:rsid w:val="00465E32"/>
    <w:rsid w:val="00465FD5"/>
    <w:rsid w:val="0046668A"/>
    <w:rsid w:val="0046693D"/>
    <w:rsid w:val="00466C51"/>
    <w:rsid w:val="00466D12"/>
    <w:rsid w:val="00466D61"/>
    <w:rsid w:val="00466D75"/>
    <w:rsid w:val="00466EB5"/>
    <w:rsid w:val="00466F48"/>
    <w:rsid w:val="00467011"/>
    <w:rsid w:val="004670F7"/>
    <w:rsid w:val="004676B2"/>
    <w:rsid w:val="004676C6"/>
    <w:rsid w:val="004678D1"/>
    <w:rsid w:val="00467BB7"/>
    <w:rsid w:val="004703E0"/>
    <w:rsid w:val="00470655"/>
    <w:rsid w:val="004706A8"/>
    <w:rsid w:val="00470A7C"/>
    <w:rsid w:val="00470B5C"/>
    <w:rsid w:val="00470C06"/>
    <w:rsid w:val="00470CE2"/>
    <w:rsid w:val="00470D82"/>
    <w:rsid w:val="00470FDE"/>
    <w:rsid w:val="004711CC"/>
    <w:rsid w:val="00471443"/>
    <w:rsid w:val="004717CA"/>
    <w:rsid w:val="00471BD5"/>
    <w:rsid w:val="00471F38"/>
    <w:rsid w:val="00471F60"/>
    <w:rsid w:val="00472AE1"/>
    <w:rsid w:val="00472D3F"/>
    <w:rsid w:val="00472DA5"/>
    <w:rsid w:val="00472E3A"/>
    <w:rsid w:val="00472F0A"/>
    <w:rsid w:val="004730BE"/>
    <w:rsid w:val="004731A1"/>
    <w:rsid w:val="004733A0"/>
    <w:rsid w:val="004733E2"/>
    <w:rsid w:val="00473407"/>
    <w:rsid w:val="00473497"/>
    <w:rsid w:val="00473524"/>
    <w:rsid w:val="00473583"/>
    <w:rsid w:val="00473886"/>
    <w:rsid w:val="00473940"/>
    <w:rsid w:val="00473E0A"/>
    <w:rsid w:val="00473FCA"/>
    <w:rsid w:val="00474091"/>
    <w:rsid w:val="004740E2"/>
    <w:rsid w:val="0047437A"/>
    <w:rsid w:val="004745E7"/>
    <w:rsid w:val="004747DF"/>
    <w:rsid w:val="004749B0"/>
    <w:rsid w:val="004749C5"/>
    <w:rsid w:val="00474A24"/>
    <w:rsid w:val="00474AF3"/>
    <w:rsid w:val="00474DB5"/>
    <w:rsid w:val="00474DF4"/>
    <w:rsid w:val="004750A6"/>
    <w:rsid w:val="00475502"/>
    <w:rsid w:val="00475A3F"/>
    <w:rsid w:val="00475C56"/>
    <w:rsid w:val="00475DCF"/>
    <w:rsid w:val="00475E59"/>
    <w:rsid w:val="00475E64"/>
    <w:rsid w:val="004762E0"/>
    <w:rsid w:val="0047653F"/>
    <w:rsid w:val="004766D6"/>
    <w:rsid w:val="0047685A"/>
    <w:rsid w:val="00476B25"/>
    <w:rsid w:val="00476DDA"/>
    <w:rsid w:val="00476E76"/>
    <w:rsid w:val="00476E80"/>
    <w:rsid w:val="00476F03"/>
    <w:rsid w:val="004770F3"/>
    <w:rsid w:val="0047727C"/>
    <w:rsid w:val="0047737C"/>
    <w:rsid w:val="004773D0"/>
    <w:rsid w:val="0047759E"/>
    <w:rsid w:val="004777B3"/>
    <w:rsid w:val="004778A0"/>
    <w:rsid w:val="00477AC3"/>
    <w:rsid w:val="00477ADF"/>
    <w:rsid w:val="00477C58"/>
    <w:rsid w:val="00477D61"/>
    <w:rsid w:val="00477EE9"/>
    <w:rsid w:val="004800DB"/>
    <w:rsid w:val="0048020D"/>
    <w:rsid w:val="00480397"/>
    <w:rsid w:val="0048039B"/>
    <w:rsid w:val="004807D1"/>
    <w:rsid w:val="004809E4"/>
    <w:rsid w:val="00480AF6"/>
    <w:rsid w:val="00480F07"/>
    <w:rsid w:val="004810DE"/>
    <w:rsid w:val="00481138"/>
    <w:rsid w:val="00481410"/>
    <w:rsid w:val="0048168A"/>
    <w:rsid w:val="00481740"/>
    <w:rsid w:val="004817A3"/>
    <w:rsid w:val="00481849"/>
    <w:rsid w:val="00481B15"/>
    <w:rsid w:val="00481F6B"/>
    <w:rsid w:val="0048200B"/>
    <w:rsid w:val="004820F6"/>
    <w:rsid w:val="00482110"/>
    <w:rsid w:val="00482174"/>
    <w:rsid w:val="004821AA"/>
    <w:rsid w:val="004823F7"/>
    <w:rsid w:val="004824E2"/>
    <w:rsid w:val="004825FD"/>
    <w:rsid w:val="004829D8"/>
    <w:rsid w:val="00482BE5"/>
    <w:rsid w:val="00482C5F"/>
    <w:rsid w:val="00482D4B"/>
    <w:rsid w:val="00482E43"/>
    <w:rsid w:val="0048325E"/>
    <w:rsid w:val="0048340D"/>
    <w:rsid w:val="0048356F"/>
    <w:rsid w:val="004835DB"/>
    <w:rsid w:val="0048367C"/>
    <w:rsid w:val="0048376E"/>
    <w:rsid w:val="00483956"/>
    <w:rsid w:val="00483A32"/>
    <w:rsid w:val="00483A7D"/>
    <w:rsid w:val="00483A99"/>
    <w:rsid w:val="00483CCD"/>
    <w:rsid w:val="00483D93"/>
    <w:rsid w:val="00483EC3"/>
    <w:rsid w:val="004840E5"/>
    <w:rsid w:val="004841F9"/>
    <w:rsid w:val="004842AC"/>
    <w:rsid w:val="004842BB"/>
    <w:rsid w:val="004844C7"/>
    <w:rsid w:val="00484700"/>
    <w:rsid w:val="00484737"/>
    <w:rsid w:val="00484866"/>
    <w:rsid w:val="004849B4"/>
    <w:rsid w:val="00484E4F"/>
    <w:rsid w:val="004851AE"/>
    <w:rsid w:val="004851FC"/>
    <w:rsid w:val="0048521A"/>
    <w:rsid w:val="0048525D"/>
    <w:rsid w:val="004852E9"/>
    <w:rsid w:val="0048538C"/>
    <w:rsid w:val="004853AB"/>
    <w:rsid w:val="004853D6"/>
    <w:rsid w:val="00485764"/>
    <w:rsid w:val="0048587D"/>
    <w:rsid w:val="00485A3B"/>
    <w:rsid w:val="00485BFA"/>
    <w:rsid w:val="00485F28"/>
    <w:rsid w:val="00485F46"/>
    <w:rsid w:val="00486011"/>
    <w:rsid w:val="004864AF"/>
    <w:rsid w:val="004867AB"/>
    <w:rsid w:val="00486CAF"/>
    <w:rsid w:val="00486D99"/>
    <w:rsid w:val="00486EDF"/>
    <w:rsid w:val="00486F7C"/>
    <w:rsid w:val="00486FCF"/>
    <w:rsid w:val="004870B7"/>
    <w:rsid w:val="004873B4"/>
    <w:rsid w:val="004873C4"/>
    <w:rsid w:val="004873C7"/>
    <w:rsid w:val="00487607"/>
    <w:rsid w:val="0048765E"/>
    <w:rsid w:val="00487662"/>
    <w:rsid w:val="00487883"/>
    <w:rsid w:val="00487A30"/>
    <w:rsid w:val="00487BAD"/>
    <w:rsid w:val="00487D0A"/>
    <w:rsid w:val="00487E56"/>
    <w:rsid w:val="00487FFD"/>
    <w:rsid w:val="004902DB"/>
    <w:rsid w:val="00490413"/>
    <w:rsid w:val="0049043F"/>
    <w:rsid w:val="0049070C"/>
    <w:rsid w:val="0049097E"/>
    <w:rsid w:val="00490AE7"/>
    <w:rsid w:val="00490D2B"/>
    <w:rsid w:val="00490D2F"/>
    <w:rsid w:val="00490DBC"/>
    <w:rsid w:val="00490E1C"/>
    <w:rsid w:val="00491181"/>
    <w:rsid w:val="004912E5"/>
    <w:rsid w:val="004916EC"/>
    <w:rsid w:val="004917A5"/>
    <w:rsid w:val="004917B5"/>
    <w:rsid w:val="00491EED"/>
    <w:rsid w:val="00492070"/>
    <w:rsid w:val="00492428"/>
    <w:rsid w:val="00492590"/>
    <w:rsid w:val="0049269C"/>
    <w:rsid w:val="00492870"/>
    <w:rsid w:val="00492A89"/>
    <w:rsid w:val="00492AB3"/>
    <w:rsid w:val="00492BFC"/>
    <w:rsid w:val="00492C69"/>
    <w:rsid w:val="00492D30"/>
    <w:rsid w:val="00492F55"/>
    <w:rsid w:val="00492F7D"/>
    <w:rsid w:val="0049308F"/>
    <w:rsid w:val="004930F9"/>
    <w:rsid w:val="00493125"/>
    <w:rsid w:val="00493714"/>
    <w:rsid w:val="004937BE"/>
    <w:rsid w:val="004937ED"/>
    <w:rsid w:val="00493B25"/>
    <w:rsid w:val="00493DF9"/>
    <w:rsid w:val="00493E94"/>
    <w:rsid w:val="0049405B"/>
    <w:rsid w:val="004945B0"/>
    <w:rsid w:val="0049462D"/>
    <w:rsid w:val="00494802"/>
    <w:rsid w:val="00494E47"/>
    <w:rsid w:val="00494F78"/>
    <w:rsid w:val="00495046"/>
    <w:rsid w:val="0049560C"/>
    <w:rsid w:val="0049597D"/>
    <w:rsid w:val="00495AD1"/>
    <w:rsid w:val="00495B79"/>
    <w:rsid w:val="00495C2C"/>
    <w:rsid w:val="00495F07"/>
    <w:rsid w:val="00495F29"/>
    <w:rsid w:val="00495F5C"/>
    <w:rsid w:val="00496165"/>
    <w:rsid w:val="00496278"/>
    <w:rsid w:val="004962F3"/>
    <w:rsid w:val="00496515"/>
    <w:rsid w:val="0049657B"/>
    <w:rsid w:val="004966C0"/>
    <w:rsid w:val="004968D9"/>
    <w:rsid w:val="00496952"/>
    <w:rsid w:val="0049696B"/>
    <w:rsid w:val="00496AFF"/>
    <w:rsid w:val="00496B8C"/>
    <w:rsid w:val="00496BFC"/>
    <w:rsid w:val="00496DF7"/>
    <w:rsid w:val="00496E3E"/>
    <w:rsid w:val="00496FAA"/>
    <w:rsid w:val="00496FCE"/>
    <w:rsid w:val="0049734E"/>
    <w:rsid w:val="00497623"/>
    <w:rsid w:val="00497861"/>
    <w:rsid w:val="00497B35"/>
    <w:rsid w:val="00497D7A"/>
    <w:rsid w:val="00497E0B"/>
    <w:rsid w:val="00497F4F"/>
    <w:rsid w:val="00497F68"/>
    <w:rsid w:val="004A015E"/>
    <w:rsid w:val="004A021F"/>
    <w:rsid w:val="004A02CF"/>
    <w:rsid w:val="004A0342"/>
    <w:rsid w:val="004A046F"/>
    <w:rsid w:val="004A05D2"/>
    <w:rsid w:val="004A0644"/>
    <w:rsid w:val="004A0662"/>
    <w:rsid w:val="004A0666"/>
    <w:rsid w:val="004A06B2"/>
    <w:rsid w:val="004A07A7"/>
    <w:rsid w:val="004A0AE3"/>
    <w:rsid w:val="004A0C29"/>
    <w:rsid w:val="004A0C83"/>
    <w:rsid w:val="004A0E4C"/>
    <w:rsid w:val="004A0E7D"/>
    <w:rsid w:val="004A0E9C"/>
    <w:rsid w:val="004A0EE7"/>
    <w:rsid w:val="004A13ED"/>
    <w:rsid w:val="004A152A"/>
    <w:rsid w:val="004A17B1"/>
    <w:rsid w:val="004A18A8"/>
    <w:rsid w:val="004A18FD"/>
    <w:rsid w:val="004A19A5"/>
    <w:rsid w:val="004A1CCD"/>
    <w:rsid w:val="004A1ED2"/>
    <w:rsid w:val="004A21E1"/>
    <w:rsid w:val="004A24D8"/>
    <w:rsid w:val="004A29D7"/>
    <w:rsid w:val="004A2A74"/>
    <w:rsid w:val="004A2AA2"/>
    <w:rsid w:val="004A2BD8"/>
    <w:rsid w:val="004A2FAA"/>
    <w:rsid w:val="004A3011"/>
    <w:rsid w:val="004A30DA"/>
    <w:rsid w:val="004A30F5"/>
    <w:rsid w:val="004A30F9"/>
    <w:rsid w:val="004A320F"/>
    <w:rsid w:val="004A328E"/>
    <w:rsid w:val="004A334B"/>
    <w:rsid w:val="004A33F9"/>
    <w:rsid w:val="004A34A7"/>
    <w:rsid w:val="004A35C0"/>
    <w:rsid w:val="004A35C2"/>
    <w:rsid w:val="004A35EB"/>
    <w:rsid w:val="004A3866"/>
    <w:rsid w:val="004A393D"/>
    <w:rsid w:val="004A3C0B"/>
    <w:rsid w:val="004A3C2B"/>
    <w:rsid w:val="004A3CE2"/>
    <w:rsid w:val="004A40C0"/>
    <w:rsid w:val="004A4222"/>
    <w:rsid w:val="004A452E"/>
    <w:rsid w:val="004A4538"/>
    <w:rsid w:val="004A4794"/>
    <w:rsid w:val="004A481C"/>
    <w:rsid w:val="004A4B44"/>
    <w:rsid w:val="004A4CCB"/>
    <w:rsid w:val="004A4D7C"/>
    <w:rsid w:val="004A50EA"/>
    <w:rsid w:val="004A5319"/>
    <w:rsid w:val="004A5338"/>
    <w:rsid w:val="004A5388"/>
    <w:rsid w:val="004A5399"/>
    <w:rsid w:val="004A54AE"/>
    <w:rsid w:val="004A56DE"/>
    <w:rsid w:val="004A595B"/>
    <w:rsid w:val="004A598C"/>
    <w:rsid w:val="004A5B4F"/>
    <w:rsid w:val="004A5BD0"/>
    <w:rsid w:val="004A5C91"/>
    <w:rsid w:val="004A5D3E"/>
    <w:rsid w:val="004A5DBD"/>
    <w:rsid w:val="004A5F2A"/>
    <w:rsid w:val="004A62E7"/>
    <w:rsid w:val="004A6D39"/>
    <w:rsid w:val="004A6DCE"/>
    <w:rsid w:val="004A6EC8"/>
    <w:rsid w:val="004A7251"/>
    <w:rsid w:val="004A73B4"/>
    <w:rsid w:val="004A73BD"/>
    <w:rsid w:val="004A7596"/>
    <w:rsid w:val="004A77B6"/>
    <w:rsid w:val="004A78A2"/>
    <w:rsid w:val="004A7919"/>
    <w:rsid w:val="004A7936"/>
    <w:rsid w:val="004A794F"/>
    <w:rsid w:val="004A7972"/>
    <w:rsid w:val="004A79E6"/>
    <w:rsid w:val="004A7CA4"/>
    <w:rsid w:val="004A7FBD"/>
    <w:rsid w:val="004B053E"/>
    <w:rsid w:val="004B074A"/>
    <w:rsid w:val="004B08E5"/>
    <w:rsid w:val="004B0CB9"/>
    <w:rsid w:val="004B0D2C"/>
    <w:rsid w:val="004B0E85"/>
    <w:rsid w:val="004B0EAF"/>
    <w:rsid w:val="004B0F90"/>
    <w:rsid w:val="004B101A"/>
    <w:rsid w:val="004B11E1"/>
    <w:rsid w:val="004B1246"/>
    <w:rsid w:val="004B170D"/>
    <w:rsid w:val="004B17CF"/>
    <w:rsid w:val="004B1A9D"/>
    <w:rsid w:val="004B1E5D"/>
    <w:rsid w:val="004B2298"/>
    <w:rsid w:val="004B2377"/>
    <w:rsid w:val="004B23C9"/>
    <w:rsid w:val="004B2499"/>
    <w:rsid w:val="004B2662"/>
    <w:rsid w:val="004B2689"/>
    <w:rsid w:val="004B2695"/>
    <w:rsid w:val="004B2904"/>
    <w:rsid w:val="004B2BBF"/>
    <w:rsid w:val="004B2D0C"/>
    <w:rsid w:val="004B2EC4"/>
    <w:rsid w:val="004B305F"/>
    <w:rsid w:val="004B310E"/>
    <w:rsid w:val="004B31B6"/>
    <w:rsid w:val="004B320D"/>
    <w:rsid w:val="004B3361"/>
    <w:rsid w:val="004B366F"/>
    <w:rsid w:val="004B38CF"/>
    <w:rsid w:val="004B39ED"/>
    <w:rsid w:val="004B3A44"/>
    <w:rsid w:val="004B3B48"/>
    <w:rsid w:val="004B3BDD"/>
    <w:rsid w:val="004B3CE7"/>
    <w:rsid w:val="004B3F1D"/>
    <w:rsid w:val="004B4660"/>
    <w:rsid w:val="004B488A"/>
    <w:rsid w:val="004B49BD"/>
    <w:rsid w:val="004B4A34"/>
    <w:rsid w:val="004B4FD1"/>
    <w:rsid w:val="004B517D"/>
    <w:rsid w:val="004B52C2"/>
    <w:rsid w:val="004B54C8"/>
    <w:rsid w:val="004B5502"/>
    <w:rsid w:val="004B5777"/>
    <w:rsid w:val="004B583E"/>
    <w:rsid w:val="004B5952"/>
    <w:rsid w:val="004B5992"/>
    <w:rsid w:val="004B5A82"/>
    <w:rsid w:val="004B5BD6"/>
    <w:rsid w:val="004B5CBA"/>
    <w:rsid w:val="004B5DBA"/>
    <w:rsid w:val="004B6412"/>
    <w:rsid w:val="004B6469"/>
    <w:rsid w:val="004B6655"/>
    <w:rsid w:val="004B6745"/>
    <w:rsid w:val="004B696A"/>
    <w:rsid w:val="004B6AB0"/>
    <w:rsid w:val="004B6B4A"/>
    <w:rsid w:val="004B6BD4"/>
    <w:rsid w:val="004B6C25"/>
    <w:rsid w:val="004B6E75"/>
    <w:rsid w:val="004B71FF"/>
    <w:rsid w:val="004B744A"/>
    <w:rsid w:val="004B746A"/>
    <w:rsid w:val="004B76D6"/>
    <w:rsid w:val="004B784B"/>
    <w:rsid w:val="004B788C"/>
    <w:rsid w:val="004B7B66"/>
    <w:rsid w:val="004B7BA9"/>
    <w:rsid w:val="004B7BB8"/>
    <w:rsid w:val="004B7CB8"/>
    <w:rsid w:val="004B7D08"/>
    <w:rsid w:val="004B7D63"/>
    <w:rsid w:val="004B7F46"/>
    <w:rsid w:val="004B7F6A"/>
    <w:rsid w:val="004B9F8A"/>
    <w:rsid w:val="004C0217"/>
    <w:rsid w:val="004C02BA"/>
    <w:rsid w:val="004C02EF"/>
    <w:rsid w:val="004C054F"/>
    <w:rsid w:val="004C06DF"/>
    <w:rsid w:val="004C0BC2"/>
    <w:rsid w:val="004C0F84"/>
    <w:rsid w:val="004C1157"/>
    <w:rsid w:val="004C144D"/>
    <w:rsid w:val="004C154A"/>
    <w:rsid w:val="004C1819"/>
    <w:rsid w:val="004C187F"/>
    <w:rsid w:val="004C198C"/>
    <w:rsid w:val="004C1D27"/>
    <w:rsid w:val="004C1D9C"/>
    <w:rsid w:val="004C2085"/>
    <w:rsid w:val="004C20F5"/>
    <w:rsid w:val="004C2455"/>
    <w:rsid w:val="004C2472"/>
    <w:rsid w:val="004C2657"/>
    <w:rsid w:val="004C26CC"/>
    <w:rsid w:val="004C27DA"/>
    <w:rsid w:val="004C2820"/>
    <w:rsid w:val="004C2B26"/>
    <w:rsid w:val="004C2C8C"/>
    <w:rsid w:val="004C3000"/>
    <w:rsid w:val="004C3679"/>
    <w:rsid w:val="004C36F2"/>
    <w:rsid w:val="004C3BF8"/>
    <w:rsid w:val="004C3C2B"/>
    <w:rsid w:val="004C3D3F"/>
    <w:rsid w:val="004C3D45"/>
    <w:rsid w:val="004C3E0C"/>
    <w:rsid w:val="004C3E46"/>
    <w:rsid w:val="004C3E99"/>
    <w:rsid w:val="004C4078"/>
    <w:rsid w:val="004C4173"/>
    <w:rsid w:val="004C417F"/>
    <w:rsid w:val="004C4234"/>
    <w:rsid w:val="004C431E"/>
    <w:rsid w:val="004C4713"/>
    <w:rsid w:val="004C481E"/>
    <w:rsid w:val="004C4A6C"/>
    <w:rsid w:val="004C4B52"/>
    <w:rsid w:val="004C4F1C"/>
    <w:rsid w:val="004C5015"/>
    <w:rsid w:val="004C5041"/>
    <w:rsid w:val="004C505B"/>
    <w:rsid w:val="004C513C"/>
    <w:rsid w:val="004C55F8"/>
    <w:rsid w:val="004C58E3"/>
    <w:rsid w:val="004C5BDA"/>
    <w:rsid w:val="004C5BF2"/>
    <w:rsid w:val="004C5CD1"/>
    <w:rsid w:val="004C61B0"/>
    <w:rsid w:val="004C6274"/>
    <w:rsid w:val="004C669A"/>
    <w:rsid w:val="004C6A14"/>
    <w:rsid w:val="004C6D7E"/>
    <w:rsid w:val="004C6FCE"/>
    <w:rsid w:val="004C724A"/>
    <w:rsid w:val="004C7275"/>
    <w:rsid w:val="004C73C1"/>
    <w:rsid w:val="004C73C6"/>
    <w:rsid w:val="004C73F8"/>
    <w:rsid w:val="004C777B"/>
    <w:rsid w:val="004C77BA"/>
    <w:rsid w:val="004C792F"/>
    <w:rsid w:val="004C793F"/>
    <w:rsid w:val="004C79E0"/>
    <w:rsid w:val="004C7A21"/>
    <w:rsid w:val="004C7C01"/>
    <w:rsid w:val="004C7C8F"/>
    <w:rsid w:val="004C7D0F"/>
    <w:rsid w:val="004C7DCA"/>
    <w:rsid w:val="004D0088"/>
    <w:rsid w:val="004D017C"/>
    <w:rsid w:val="004D0427"/>
    <w:rsid w:val="004D0581"/>
    <w:rsid w:val="004D05E2"/>
    <w:rsid w:val="004D0681"/>
    <w:rsid w:val="004D07DA"/>
    <w:rsid w:val="004D0AA2"/>
    <w:rsid w:val="004D0BAF"/>
    <w:rsid w:val="004D0BC6"/>
    <w:rsid w:val="004D1390"/>
    <w:rsid w:val="004D155A"/>
    <w:rsid w:val="004D16C7"/>
    <w:rsid w:val="004D1885"/>
    <w:rsid w:val="004D18FF"/>
    <w:rsid w:val="004D1A8D"/>
    <w:rsid w:val="004D1AF4"/>
    <w:rsid w:val="004D1C04"/>
    <w:rsid w:val="004D1CA2"/>
    <w:rsid w:val="004D1EB8"/>
    <w:rsid w:val="004D1F40"/>
    <w:rsid w:val="004D2281"/>
    <w:rsid w:val="004D252C"/>
    <w:rsid w:val="004D2606"/>
    <w:rsid w:val="004D2A51"/>
    <w:rsid w:val="004D2E93"/>
    <w:rsid w:val="004D303A"/>
    <w:rsid w:val="004D3076"/>
    <w:rsid w:val="004D339E"/>
    <w:rsid w:val="004D34B6"/>
    <w:rsid w:val="004D3734"/>
    <w:rsid w:val="004D38E5"/>
    <w:rsid w:val="004D4066"/>
    <w:rsid w:val="004D41EC"/>
    <w:rsid w:val="004D456A"/>
    <w:rsid w:val="004D4645"/>
    <w:rsid w:val="004D4702"/>
    <w:rsid w:val="004D4829"/>
    <w:rsid w:val="004D49E1"/>
    <w:rsid w:val="004D50B0"/>
    <w:rsid w:val="004D527A"/>
    <w:rsid w:val="004D529F"/>
    <w:rsid w:val="004D54CF"/>
    <w:rsid w:val="004D555D"/>
    <w:rsid w:val="004D5782"/>
    <w:rsid w:val="004D579C"/>
    <w:rsid w:val="004D595D"/>
    <w:rsid w:val="004D5A91"/>
    <w:rsid w:val="004D5D5F"/>
    <w:rsid w:val="004D5E9A"/>
    <w:rsid w:val="004D6298"/>
    <w:rsid w:val="004D63D4"/>
    <w:rsid w:val="004D63EC"/>
    <w:rsid w:val="004D65B1"/>
    <w:rsid w:val="004D66A4"/>
    <w:rsid w:val="004D67B6"/>
    <w:rsid w:val="004D6CA7"/>
    <w:rsid w:val="004D6FB3"/>
    <w:rsid w:val="004D7005"/>
    <w:rsid w:val="004D7145"/>
    <w:rsid w:val="004D71FB"/>
    <w:rsid w:val="004D7447"/>
    <w:rsid w:val="004D74AD"/>
    <w:rsid w:val="004D754D"/>
    <w:rsid w:val="004D79F0"/>
    <w:rsid w:val="004D7A67"/>
    <w:rsid w:val="004D7BF9"/>
    <w:rsid w:val="004D7D21"/>
    <w:rsid w:val="004D7E96"/>
    <w:rsid w:val="004E010D"/>
    <w:rsid w:val="004E01C1"/>
    <w:rsid w:val="004E0795"/>
    <w:rsid w:val="004E0992"/>
    <w:rsid w:val="004E0A5F"/>
    <w:rsid w:val="004E0CA4"/>
    <w:rsid w:val="004E0D3D"/>
    <w:rsid w:val="004E0D6D"/>
    <w:rsid w:val="004E0E32"/>
    <w:rsid w:val="004E0ED5"/>
    <w:rsid w:val="004E0FA8"/>
    <w:rsid w:val="004E1070"/>
    <w:rsid w:val="004E10E9"/>
    <w:rsid w:val="004E11FE"/>
    <w:rsid w:val="004E123E"/>
    <w:rsid w:val="004E135B"/>
    <w:rsid w:val="004E1469"/>
    <w:rsid w:val="004E159E"/>
    <w:rsid w:val="004E15B8"/>
    <w:rsid w:val="004E166E"/>
    <w:rsid w:val="004E16B6"/>
    <w:rsid w:val="004E17C6"/>
    <w:rsid w:val="004E1853"/>
    <w:rsid w:val="004E1C12"/>
    <w:rsid w:val="004E1C48"/>
    <w:rsid w:val="004E1E65"/>
    <w:rsid w:val="004E21C5"/>
    <w:rsid w:val="004E2268"/>
    <w:rsid w:val="004E2330"/>
    <w:rsid w:val="004E2595"/>
    <w:rsid w:val="004E26F1"/>
    <w:rsid w:val="004E2762"/>
    <w:rsid w:val="004E278F"/>
    <w:rsid w:val="004E2919"/>
    <w:rsid w:val="004E2CE3"/>
    <w:rsid w:val="004E2D4C"/>
    <w:rsid w:val="004E2F82"/>
    <w:rsid w:val="004E3699"/>
    <w:rsid w:val="004E3812"/>
    <w:rsid w:val="004E4022"/>
    <w:rsid w:val="004E4333"/>
    <w:rsid w:val="004E44E8"/>
    <w:rsid w:val="004E460C"/>
    <w:rsid w:val="004E47A5"/>
    <w:rsid w:val="004E4803"/>
    <w:rsid w:val="004E4BC5"/>
    <w:rsid w:val="004E4BF7"/>
    <w:rsid w:val="004E4DAB"/>
    <w:rsid w:val="004E4DCB"/>
    <w:rsid w:val="004E4E56"/>
    <w:rsid w:val="004E4F2B"/>
    <w:rsid w:val="004E4FF9"/>
    <w:rsid w:val="004E52AC"/>
    <w:rsid w:val="004E576E"/>
    <w:rsid w:val="004E578A"/>
    <w:rsid w:val="004E58C2"/>
    <w:rsid w:val="004E5A7B"/>
    <w:rsid w:val="004E5EB0"/>
    <w:rsid w:val="004E5EE4"/>
    <w:rsid w:val="004E6055"/>
    <w:rsid w:val="004E6369"/>
    <w:rsid w:val="004E643F"/>
    <w:rsid w:val="004E6598"/>
    <w:rsid w:val="004E68A5"/>
    <w:rsid w:val="004E6AB5"/>
    <w:rsid w:val="004E6C98"/>
    <w:rsid w:val="004E6CEE"/>
    <w:rsid w:val="004E6DE9"/>
    <w:rsid w:val="004E6F85"/>
    <w:rsid w:val="004E7008"/>
    <w:rsid w:val="004E707A"/>
    <w:rsid w:val="004E7355"/>
    <w:rsid w:val="004E74FA"/>
    <w:rsid w:val="004E75E7"/>
    <w:rsid w:val="004E772A"/>
    <w:rsid w:val="004E78E2"/>
    <w:rsid w:val="004E7C6F"/>
    <w:rsid w:val="004E7CFF"/>
    <w:rsid w:val="004E7EF6"/>
    <w:rsid w:val="004E7F54"/>
    <w:rsid w:val="004F02BF"/>
    <w:rsid w:val="004F02ED"/>
    <w:rsid w:val="004F0593"/>
    <w:rsid w:val="004F05D5"/>
    <w:rsid w:val="004F0DBA"/>
    <w:rsid w:val="004F0E65"/>
    <w:rsid w:val="004F0ED5"/>
    <w:rsid w:val="004F1007"/>
    <w:rsid w:val="004F1013"/>
    <w:rsid w:val="004F10CE"/>
    <w:rsid w:val="004F1478"/>
    <w:rsid w:val="004F16FC"/>
    <w:rsid w:val="004F171B"/>
    <w:rsid w:val="004F180F"/>
    <w:rsid w:val="004F1996"/>
    <w:rsid w:val="004F1B05"/>
    <w:rsid w:val="004F1B15"/>
    <w:rsid w:val="004F1BAC"/>
    <w:rsid w:val="004F2320"/>
    <w:rsid w:val="004F2AC3"/>
    <w:rsid w:val="004F2BAD"/>
    <w:rsid w:val="004F2C81"/>
    <w:rsid w:val="004F2CE7"/>
    <w:rsid w:val="004F2EC0"/>
    <w:rsid w:val="004F3103"/>
    <w:rsid w:val="004F3178"/>
    <w:rsid w:val="004F31C5"/>
    <w:rsid w:val="004F3259"/>
    <w:rsid w:val="004F32A5"/>
    <w:rsid w:val="004F3334"/>
    <w:rsid w:val="004F33DC"/>
    <w:rsid w:val="004F34A0"/>
    <w:rsid w:val="004F3BB7"/>
    <w:rsid w:val="004F3BE0"/>
    <w:rsid w:val="004F3C12"/>
    <w:rsid w:val="004F3C6B"/>
    <w:rsid w:val="004F3D9B"/>
    <w:rsid w:val="004F3D9F"/>
    <w:rsid w:val="004F40FC"/>
    <w:rsid w:val="004F42C8"/>
    <w:rsid w:val="004F4302"/>
    <w:rsid w:val="004F45F4"/>
    <w:rsid w:val="004F471A"/>
    <w:rsid w:val="004F472E"/>
    <w:rsid w:val="004F4D5F"/>
    <w:rsid w:val="004F4E37"/>
    <w:rsid w:val="004F4F6F"/>
    <w:rsid w:val="004F4F83"/>
    <w:rsid w:val="004F511E"/>
    <w:rsid w:val="004F517A"/>
    <w:rsid w:val="004F5293"/>
    <w:rsid w:val="004F5381"/>
    <w:rsid w:val="004F53EB"/>
    <w:rsid w:val="004F566E"/>
    <w:rsid w:val="004F56ED"/>
    <w:rsid w:val="004F5800"/>
    <w:rsid w:val="004F5927"/>
    <w:rsid w:val="004F5A39"/>
    <w:rsid w:val="004F5A69"/>
    <w:rsid w:val="004F5A84"/>
    <w:rsid w:val="004F5B62"/>
    <w:rsid w:val="004F5BC6"/>
    <w:rsid w:val="004F5E6B"/>
    <w:rsid w:val="004F5F4E"/>
    <w:rsid w:val="004F61E6"/>
    <w:rsid w:val="004F6696"/>
    <w:rsid w:val="004F68FA"/>
    <w:rsid w:val="004F6972"/>
    <w:rsid w:val="004F6B05"/>
    <w:rsid w:val="004F6C8F"/>
    <w:rsid w:val="004F6D94"/>
    <w:rsid w:val="004F6F9D"/>
    <w:rsid w:val="004F70C6"/>
    <w:rsid w:val="004F73AD"/>
    <w:rsid w:val="004F75D6"/>
    <w:rsid w:val="004F78CD"/>
    <w:rsid w:val="004F7C28"/>
    <w:rsid w:val="004F7FFB"/>
    <w:rsid w:val="0050006F"/>
    <w:rsid w:val="00500200"/>
    <w:rsid w:val="005003AC"/>
    <w:rsid w:val="00500502"/>
    <w:rsid w:val="00500673"/>
    <w:rsid w:val="005006BD"/>
    <w:rsid w:val="0050086F"/>
    <w:rsid w:val="0050094A"/>
    <w:rsid w:val="00500CE8"/>
    <w:rsid w:val="00500D65"/>
    <w:rsid w:val="00500EF4"/>
    <w:rsid w:val="005011AF"/>
    <w:rsid w:val="00501527"/>
    <w:rsid w:val="00501552"/>
    <w:rsid w:val="0050172C"/>
    <w:rsid w:val="005017EF"/>
    <w:rsid w:val="005017F0"/>
    <w:rsid w:val="00501910"/>
    <w:rsid w:val="00501933"/>
    <w:rsid w:val="00501D74"/>
    <w:rsid w:val="005020F7"/>
    <w:rsid w:val="0050220A"/>
    <w:rsid w:val="0050228A"/>
    <w:rsid w:val="00502622"/>
    <w:rsid w:val="00502632"/>
    <w:rsid w:val="00502BEC"/>
    <w:rsid w:val="00502C73"/>
    <w:rsid w:val="00502C7E"/>
    <w:rsid w:val="00502ED3"/>
    <w:rsid w:val="00502EE2"/>
    <w:rsid w:val="00502F11"/>
    <w:rsid w:val="00502F2C"/>
    <w:rsid w:val="0050312A"/>
    <w:rsid w:val="00503141"/>
    <w:rsid w:val="005032E6"/>
    <w:rsid w:val="005032F2"/>
    <w:rsid w:val="0050355D"/>
    <w:rsid w:val="0050369C"/>
    <w:rsid w:val="00503738"/>
    <w:rsid w:val="005037C9"/>
    <w:rsid w:val="0050389E"/>
    <w:rsid w:val="00503975"/>
    <w:rsid w:val="00503C38"/>
    <w:rsid w:val="00503C79"/>
    <w:rsid w:val="00503E24"/>
    <w:rsid w:val="00503E50"/>
    <w:rsid w:val="00503EA8"/>
    <w:rsid w:val="00503EF8"/>
    <w:rsid w:val="00504280"/>
    <w:rsid w:val="005042D8"/>
    <w:rsid w:val="00504369"/>
    <w:rsid w:val="005045A4"/>
    <w:rsid w:val="0050476E"/>
    <w:rsid w:val="005048E2"/>
    <w:rsid w:val="00504956"/>
    <w:rsid w:val="00504A7E"/>
    <w:rsid w:val="00504AB3"/>
    <w:rsid w:val="00504B65"/>
    <w:rsid w:val="00504B84"/>
    <w:rsid w:val="00504EBD"/>
    <w:rsid w:val="00504F39"/>
    <w:rsid w:val="0050512B"/>
    <w:rsid w:val="00505376"/>
    <w:rsid w:val="0050542C"/>
    <w:rsid w:val="0050546F"/>
    <w:rsid w:val="00505879"/>
    <w:rsid w:val="00505CF0"/>
    <w:rsid w:val="00505EC2"/>
    <w:rsid w:val="00505F46"/>
    <w:rsid w:val="00506115"/>
    <w:rsid w:val="005063CB"/>
    <w:rsid w:val="0050651F"/>
    <w:rsid w:val="00506583"/>
    <w:rsid w:val="0050671F"/>
    <w:rsid w:val="00506880"/>
    <w:rsid w:val="005068F6"/>
    <w:rsid w:val="00506AC0"/>
    <w:rsid w:val="00506C93"/>
    <w:rsid w:val="00506C9D"/>
    <w:rsid w:val="00506CE3"/>
    <w:rsid w:val="00506DD2"/>
    <w:rsid w:val="00506EFF"/>
    <w:rsid w:val="00506F8C"/>
    <w:rsid w:val="00506FA2"/>
    <w:rsid w:val="00506FA9"/>
    <w:rsid w:val="005072BC"/>
    <w:rsid w:val="00507699"/>
    <w:rsid w:val="0050788A"/>
    <w:rsid w:val="005078CE"/>
    <w:rsid w:val="00507999"/>
    <w:rsid w:val="00507D07"/>
    <w:rsid w:val="00507F35"/>
    <w:rsid w:val="00510708"/>
    <w:rsid w:val="005107AA"/>
    <w:rsid w:val="005107BC"/>
    <w:rsid w:val="00510C0C"/>
    <w:rsid w:val="00510D2B"/>
    <w:rsid w:val="00510EAB"/>
    <w:rsid w:val="005111EC"/>
    <w:rsid w:val="005113AE"/>
    <w:rsid w:val="00511718"/>
    <w:rsid w:val="005119FA"/>
    <w:rsid w:val="00511C94"/>
    <w:rsid w:val="00511D3A"/>
    <w:rsid w:val="00511F05"/>
    <w:rsid w:val="00512134"/>
    <w:rsid w:val="00512337"/>
    <w:rsid w:val="0051242C"/>
    <w:rsid w:val="0051259F"/>
    <w:rsid w:val="005125E7"/>
    <w:rsid w:val="00512A0F"/>
    <w:rsid w:val="00512D7C"/>
    <w:rsid w:val="00512E8E"/>
    <w:rsid w:val="005130A7"/>
    <w:rsid w:val="005130B7"/>
    <w:rsid w:val="00513367"/>
    <w:rsid w:val="005135BB"/>
    <w:rsid w:val="005136D3"/>
    <w:rsid w:val="00513734"/>
    <w:rsid w:val="0051377A"/>
    <w:rsid w:val="0051383D"/>
    <w:rsid w:val="00513B53"/>
    <w:rsid w:val="00513E00"/>
    <w:rsid w:val="00513FA2"/>
    <w:rsid w:val="00514062"/>
    <w:rsid w:val="00514196"/>
    <w:rsid w:val="00514563"/>
    <w:rsid w:val="005146FD"/>
    <w:rsid w:val="00514722"/>
    <w:rsid w:val="0051484D"/>
    <w:rsid w:val="005148C7"/>
    <w:rsid w:val="00514935"/>
    <w:rsid w:val="005149ED"/>
    <w:rsid w:val="00514AF8"/>
    <w:rsid w:val="00514DA0"/>
    <w:rsid w:val="00514F1B"/>
    <w:rsid w:val="00514F53"/>
    <w:rsid w:val="005151DD"/>
    <w:rsid w:val="00515325"/>
    <w:rsid w:val="00515382"/>
    <w:rsid w:val="00515549"/>
    <w:rsid w:val="00515806"/>
    <w:rsid w:val="00515905"/>
    <w:rsid w:val="0051595D"/>
    <w:rsid w:val="00515B6E"/>
    <w:rsid w:val="00515BD4"/>
    <w:rsid w:val="00515C13"/>
    <w:rsid w:val="00515C21"/>
    <w:rsid w:val="00515C23"/>
    <w:rsid w:val="00515D85"/>
    <w:rsid w:val="00515DA8"/>
    <w:rsid w:val="00516280"/>
    <w:rsid w:val="00516284"/>
    <w:rsid w:val="0051642A"/>
    <w:rsid w:val="0051655B"/>
    <w:rsid w:val="005166CF"/>
    <w:rsid w:val="005166DE"/>
    <w:rsid w:val="00516890"/>
    <w:rsid w:val="005168DE"/>
    <w:rsid w:val="00516999"/>
    <w:rsid w:val="005169C5"/>
    <w:rsid w:val="00516A53"/>
    <w:rsid w:val="00516B39"/>
    <w:rsid w:val="00516DB2"/>
    <w:rsid w:val="00516EB7"/>
    <w:rsid w:val="00516F57"/>
    <w:rsid w:val="00517102"/>
    <w:rsid w:val="00517103"/>
    <w:rsid w:val="00517162"/>
    <w:rsid w:val="005171BD"/>
    <w:rsid w:val="00517351"/>
    <w:rsid w:val="005174C6"/>
    <w:rsid w:val="00517A20"/>
    <w:rsid w:val="00517B1C"/>
    <w:rsid w:val="00517F74"/>
    <w:rsid w:val="005200C3"/>
    <w:rsid w:val="005203A1"/>
    <w:rsid w:val="005208D6"/>
    <w:rsid w:val="00520CB9"/>
    <w:rsid w:val="00520E11"/>
    <w:rsid w:val="005214DA"/>
    <w:rsid w:val="005214F5"/>
    <w:rsid w:val="0052175E"/>
    <w:rsid w:val="00521FDA"/>
    <w:rsid w:val="00522479"/>
    <w:rsid w:val="0052252F"/>
    <w:rsid w:val="00522664"/>
    <w:rsid w:val="005226B9"/>
    <w:rsid w:val="005226E3"/>
    <w:rsid w:val="00522C99"/>
    <w:rsid w:val="00522D99"/>
    <w:rsid w:val="00523575"/>
    <w:rsid w:val="0052394E"/>
    <w:rsid w:val="00523957"/>
    <w:rsid w:val="0052397C"/>
    <w:rsid w:val="0052398A"/>
    <w:rsid w:val="00523A50"/>
    <w:rsid w:val="00523A72"/>
    <w:rsid w:val="00523B85"/>
    <w:rsid w:val="00523CF5"/>
    <w:rsid w:val="00523D18"/>
    <w:rsid w:val="00523E2E"/>
    <w:rsid w:val="00523F4C"/>
    <w:rsid w:val="00524358"/>
    <w:rsid w:val="005248CF"/>
    <w:rsid w:val="005249CB"/>
    <w:rsid w:val="00524CAB"/>
    <w:rsid w:val="00524DD2"/>
    <w:rsid w:val="005253D6"/>
    <w:rsid w:val="005253D7"/>
    <w:rsid w:val="00525561"/>
    <w:rsid w:val="00525715"/>
    <w:rsid w:val="00525866"/>
    <w:rsid w:val="005258AF"/>
    <w:rsid w:val="00525A6C"/>
    <w:rsid w:val="00525A83"/>
    <w:rsid w:val="00525B59"/>
    <w:rsid w:val="00525C48"/>
    <w:rsid w:val="00525CD4"/>
    <w:rsid w:val="00525D60"/>
    <w:rsid w:val="00525E2B"/>
    <w:rsid w:val="00525E33"/>
    <w:rsid w:val="00525E36"/>
    <w:rsid w:val="00526026"/>
    <w:rsid w:val="0052646A"/>
    <w:rsid w:val="0052646D"/>
    <w:rsid w:val="0052674F"/>
    <w:rsid w:val="005269E7"/>
    <w:rsid w:val="00526A3E"/>
    <w:rsid w:val="00526AA3"/>
    <w:rsid w:val="00526F0E"/>
    <w:rsid w:val="0052723D"/>
    <w:rsid w:val="00527634"/>
    <w:rsid w:val="00527641"/>
    <w:rsid w:val="0052788C"/>
    <w:rsid w:val="00527943"/>
    <w:rsid w:val="005279F3"/>
    <w:rsid w:val="00527A3A"/>
    <w:rsid w:val="00527A9F"/>
    <w:rsid w:val="00527AC2"/>
    <w:rsid w:val="00527B96"/>
    <w:rsid w:val="00527BCD"/>
    <w:rsid w:val="00527D2B"/>
    <w:rsid w:val="00527E0E"/>
    <w:rsid w:val="0053028C"/>
    <w:rsid w:val="005302DE"/>
    <w:rsid w:val="005304B5"/>
    <w:rsid w:val="0053080E"/>
    <w:rsid w:val="005308A0"/>
    <w:rsid w:val="00530AB1"/>
    <w:rsid w:val="00530B28"/>
    <w:rsid w:val="00530DEE"/>
    <w:rsid w:val="00530E02"/>
    <w:rsid w:val="00530ECD"/>
    <w:rsid w:val="00530F28"/>
    <w:rsid w:val="005310E7"/>
    <w:rsid w:val="0053143C"/>
    <w:rsid w:val="00531510"/>
    <w:rsid w:val="00531638"/>
    <w:rsid w:val="0053163F"/>
    <w:rsid w:val="00531B64"/>
    <w:rsid w:val="00531D18"/>
    <w:rsid w:val="00531E80"/>
    <w:rsid w:val="00531FF2"/>
    <w:rsid w:val="00532021"/>
    <w:rsid w:val="00532282"/>
    <w:rsid w:val="00532309"/>
    <w:rsid w:val="00532325"/>
    <w:rsid w:val="0053232C"/>
    <w:rsid w:val="005323A9"/>
    <w:rsid w:val="00532492"/>
    <w:rsid w:val="0053253F"/>
    <w:rsid w:val="00532601"/>
    <w:rsid w:val="00532681"/>
    <w:rsid w:val="005326B7"/>
    <w:rsid w:val="005326CD"/>
    <w:rsid w:val="00532AE3"/>
    <w:rsid w:val="00533123"/>
    <w:rsid w:val="0053325C"/>
    <w:rsid w:val="005333DD"/>
    <w:rsid w:val="00533595"/>
    <w:rsid w:val="005337B9"/>
    <w:rsid w:val="00533D01"/>
    <w:rsid w:val="005341BD"/>
    <w:rsid w:val="005341D0"/>
    <w:rsid w:val="00534367"/>
    <w:rsid w:val="005343B4"/>
    <w:rsid w:val="00534D5C"/>
    <w:rsid w:val="00534E0C"/>
    <w:rsid w:val="00534EDD"/>
    <w:rsid w:val="00535216"/>
    <w:rsid w:val="0053538A"/>
    <w:rsid w:val="005353F1"/>
    <w:rsid w:val="0053567D"/>
    <w:rsid w:val="005358C3"/>
    <w:rsid w:val="0053592B"/>
    <w:rsid w:val="00535947"/>
    <w:rsid w:val="005359C7"/>
    <w:rsid w:val="00535B4C"/>
    <w:rsid w:val="00535CE4"/>
    <w:rsid w:val="00535DE5"/>
    <w:rsid w:val="005360F8"/>
    <w:rsid w:val="00536614"/>
    <w:rsid w:val="00536653"/>
    <w:rsid w:val="005366BC"/>
    <w:rsid w:val="00536738"/>
    <w:rsid w:val="0053677E"/>
    <w:rsid w:val="00536808"/>
    <w:rsid w:val="0053683F"/>
    <w:rsid w:val="005369C6"/>
    <w:rsid w:val="00536EE6"/>
    <w:rsid w:val="005371B0"/>
    <w:rsid w:val="0053767B"/>
    <w:rsid w:val="0053780D"/>
    <w:rsid w:val="00537A40"/>
    <w:rsid w:val="00537DD6"/>
    <w:rsid w:val="005400E4"/>
    <w:rsid w:val="005402A1"/>
    <w:rsid w:val="005402B9"/>
    <w:rsid w:val="005406A0"/>
    <w:rsid w:val="005406C9"/>
    <w:rsid w:val="00540715"/>
    <w:rsid w:val="00540B39"/>
    <w:rsid w:val="00540DD6"/>
    <w:rsid w:val="005410A9"/>
    <w:rsid w:val="0054113C"/>
    <w:rsid w:val="00541485"/>
    <w:rsid w:val="005414C1"/>
    <w:rsid w:val="00541544"/>
    <w:rsid w:val="0054180F"/>
    <w:rsid w:val="00541821"/>
    <w:rsid w:val="005418D2"/>
    <w:rsid w:val="0054194F"/>
    <w:rsid w:val="00541A7D"/>
    <w:rsid w:val="00541D57"/>
    <w:rsid w:val="00541D72"/>
    <w:rsid w:val="00541ED9"/>
    <w:rsid w:val="00541F4D"/>
    <w:rsid w:val="005421CF"/>
    <w:rsid w:val="00542280"/>
    <w:rsid w:val="0054288D"/>
    <w:rsid w:val="00542AC9"/>
    <w:rsid w:val="00542D86"/>
    <w:rsid w:val="00542EA8"/>
    <w:rsid w:val="00542F1B"/>
    <w:rsid w:val="00542FFB"/>
    <w:rsid w:val="00543084"/>
    <w:rsid w:val="0054318C"/>
    <w:rsid w:val="005432F0"/>
    <w:rsid w:val="005433D3"/>
    <w:rsid w:val="00543617"/>
    <w:rsid w:val="00543863"/>
    <w:rsid w:val="005438C6"/>
    <w:rsid w:val="0054396A"/>
    <w:rsid w:val="00543C91"/>
    <w:rsid w:val="00544012"/>
    <w:rsid w:val="005440D6"/>
    <w:rsid w:val="0054416E"/>
    <w:rsid w:val="00544414"/>
    <w:rsid w:val="0054450C"/>
    <w:rsid w:val="00544515"/>
    <w:rsid w:val="00544A39"/>
    <w:rsid w:val="00544BE3"/>
    <w:rsid w:val="00544D2A"/>
    <w:rsid w:val="00544E8F"/>
    <w:rsid w:val="00544EFC"/>
    <w:rsid w:val="005450BC"/>
    <w:rsid w:val="0054512B"/>
    <w:rsid w:val="00545199"/>
    <w:rsid w:val="005455A2"/>
    <w:rsid w:val="0054560C"/>
    <w:rsid w:val="0054562D"/>
    <w:rsid w:val="005457A5"/>
    <w:rsid w:val="00545932"/>
    <w:rsid w:val="00545999"/>
    <w:rsid w:val="00545D33"/>
    <w:rsid w:val="00545E17"/>
    <w:rsid w:val="00545E7C"/>
    <w:rsid w:val="00545EEF"/>
    <w:rsid w:val="0054603E"/>
    <w:rsid w:val="00546223"/>
    <w:rsid w:val="005462D5"/>
    <w:rsid w:val="0054634D"/>
    <w:rsid w:val="005465ED"/>
    <w:rsid w:val="00546B75"/>
    <w:rsid w:val="00546E4E"/>
    <w:rsid w:val="005472F4"/>
    <w:rsid w:val="005476AB"/>
    <w:rsid w:val="00547D6A"/>
    <w:rsid w:val="0055006B"/>
    <w:rsid w:val="005500FC"/>
    <w:rsid w:val="005502E7"/>
    <w:rsid w:val="0055074D"/>
    <w:rsid w:val="00550872"/>
    <w:rsid w:val="00550927"/>
    <w:rsid w:val="005509C7"/>
    <w:rsid w:val="00550B50"/>
    <w:rsid w:val="005510AB"/>
    <w:rsid w:val="0055129A"/>
    <w:rsid w:val="00551384"/>
    <w:rsid w:val="005513E8"/>
    <w:rsid w:val="00551A1B"/>
    <w:rsid w:val="00551C15"/>
    <w:rsid w:val="00551EC3"/>
    <w:rsid w:val="00551FA7"/>
    <w:rsid w:val="005520C4"/>
    <w:rsid w:val="00552467"/>
    <w:rsid w:val="005524A8"/>
    <w:rsid w:val="00552539"/>
    <w:rsid w:val="00552690"/>
    <w:rsid w:val="005526F2"/>
    <w:rsid w:val="00552730"/>
    <w:rsid w:val="005528FC"/>
    <w:rsid w:val="0055294A"/>
    <w:rsid w:val="00552AD2"/>
    <w:rsid w:val="00552F2B"/>
    <w:rsid w:val="005530AB"/>
    <w:rsid w:val="005531DA"/>
    <w:rsid w:val="00553751"/>
    <w:rsid w:val="00553B07"/>
    <w:rsid w:val="00553B67"/>
    <w:rsid w:val="00553C66"/>
    <w:rsid w:val="00553D00"/>
    <w:rsid w:val="00553D73"/>
    <w:rsid w:val="00553D7E"/>
    <w:rsid w:val="00553EB3"/>
    <w:rsid w:val="005540C2"/>
    <w:rsid w:val="005540C9"/>
    <w:rsid w:val="00554296"/>
    <w:rsid w:val="005543FF"/>
    <w:rsid w:val="00554533"/>
    <w:rsid w:val="005546FD"/>
    <w:rsid w:val="005548AC"/>
    <w:rsid w:val="00554940"/>
    <w:rsid w:val="005549FF"/>
    <w:rsid w:val="00554A57"/>
    <w:rsid w:val="00554CA6"/>
    <w:rsid w:val="00554CFE"/>
    <w:rsid w:val="00555058"/>
    <w:rsid w:val="00555163"/>
    <w:rsid w:val="005552EC"/>
    <w:rsid w:val="00555873"/>
    <w:rsid w:val="00555921"/>
    <w:rsid w:val="00555BBF"/>
    <w:rsid w:val="00555E38"/>
    <w:rsid w:val="00556068"/>
    <w:rsid w:val="00556161"/>
    <w:rsid w:val="00556B64"/>
    <w:rsid w:val="00556C83"/>
    <w:rsid w:val="00556CF7"/>
    <w:rsid w:val="00556DBA"/>
    <w:rsid w:val="00556E2D"/>
    <w:rsid w:val="005571CA"/>
    <w:rsid w:val="0055721C"/>
    <w:rsid w:val="005574D5"/>
    <w:rsid w:val="0055762D"/>
    <w:rsid w:val="00557652"/>
    <w:rsid w:val="00557919"/>
    <w:rsid w:val="005579D1"/>
    <w:rsid w:val="00557C42"/>
    <w:rsid w:val="00557D23"/>
    <w:rsid w:val="005601EA"/>
    <w:rsid w:val="005604CE"/>
    <w:rsid w:val="005606CF"/>
    <w:rsid w:val="0056085C"/>
    <w:rsid w:val="005608E2"/>
    <w:rsid w:val="00560A61"/>
    <w:rsid w:val="00560A9D"/>
    <w:rsid w:val="00560BDC"/>
    <w:rsid w:val="00560D76"/>
    <w:rsid w:val="00560DDC"/>
    <w:rsid w:val="00560E3B"/>
    <w:rsid w:val="005610D7"/>
    <w:rsid w:val="00561B8A"/>
    <w:rsid w:val="00561C36"/>
    <w:rsid w:val="00561CA7"/>
    <w:rsid w:val="00561D49"/>
    <w:rsid w:val="00561DAC"/>
    <w:rsid w:val="00561E8A"/>
    <w:rsid w:val="00561F21"/>
    <w:rsid w:val="00562128"/>
    <w:rsid w:val="005621C1"/>
    <w:rsid w:val="005622A3"/>
    <w:rsid w:val="00562502"/>
    <w:rsid w:val="0056276B"/>
    <w:rsid w:val="005627D1"/>
    <w:rsid w:val="00562F63"/>
    <w:rsid w:val="00563063"/>
    <w:rsid w:val="005630CC"/>
    <w:rsid w:val="005633FD"/>
    <w:rsid w:val="00563483"/>
    <w:rsid w:val="0056358B"/>
    <w:rsid w:val="00563745"/>
    <w:rsid w:val="00563C90"/>
    <w:rsid w:val="00563CA5"/>
    <w:rsid w:val="00563E36"/>
    <w:rsid w:val="00563EF7"/>
    <w:rsid w:val="00563F50"/>
    <w:rsid w:val="00564737"/>
    <w:rsid w:val="00564902"/>
    <w:rsid w:val="005649BD"/>
    <w:rsid w:val="005649D2"/>
    <w:rsid w:val="00564A3D"/>
    <w:rsid w:val="00564A46"/>
    <w:rsid w:val="00564B98"/>
    <w:rsid w:val="00564E3D"/>
    <w:rsid w:val="005653B3"/>
    <w:rsid w:val="005654B9"/>
    <w:rsid w:val="00565511"/>
    <w:rsid w:val="00565532"/>
    <w:rsid w:val="0056556A"/>
    <w:rsid w:val="0056565F"/>
    <w:rsid w:val="00565999"/>
    <w:rsid w:val="00565B1B"/>
    <w:rsid w:val="00565B3C"/>
    <w:rsid w:val="00565C4B"/>
    <w:rsid w:val="00565CB2"/>
    <w:rsid w:val="00565F2C"/>
    <w:rsid w:val="005661C4"/>
    <w:rsid w:val="00566334"/>
    <w:rsid w:val="0056635D"/>
    <w:rsid w:val="00566593"/>
    <w:rsid w:val="00566746"/>
    <w:rsid w:val="005668A9"/>
    <w:rsid w:val="00566A8E"/>
    <w:rsid w:val="00566C1A"/>
    <w:rsid w:val="00566C96"/>
    <w:rsid w:val="00566EC0"/>
    <w:rsid w:val="00567185"/>
    <w:rsid w:val="00567254"/>
    <w:rsid w:val="00567366"/>
    <w:rsid w:val="0056757B"/>
    <w:rsid w:val="00567683"/>
    <w:rsid w:val="005677BA"/>
    <w:rsid w:val="00567993"/>
    <w:rsid w:val="00567A9C"/>
    <w:rsid w:val="00567EC8"/>
    <w:rsid w:val="0056F965"/>
    <w:rsid w:val="00570124"/>
    <w:rsid w:val="0057023F"/>
    <w:rsid w:val="00570608"/>
    <w:rsid w:val="00570643"/>
    <w:rsid w:val="0057064B"/>
    <w:rsid w:val="005706E7"/>
    <w:rsid w:val="00570837"/>
    <w:rsid w:val="005708BF"/>
    <w:rsid w:val="005709A8"/>
    <w:rsid w:val="00570B22"/>
    <w:rsid w:val="00570CDC"/>
    <w:rsid w:val="00570F82"/>
    <w:rsid w:val="00571039"/>
    <w:rsid w:val="0057104B"/>
    <w:rsid w:val="005711EA"/>
    <w:rsid w:val="005717C7"/>
    <w:rsid w:val="005718BD"/>
    <w:rsid w:val="00571DCB"/>
    <w:rsid w:val="00571F5F"/>
    <w:rsid w:val="00572061"/>
    <w:rsid w:val="0057220B"/>
    <w:rsid w:val="00572895"/>
    <w:rsid w:val="00572A0F"/>
    <w:rsid w:val="00572B09"/>
    <w:rsid w:val="00572FE9"/>
    <w:rsid w:val="005730D4"/>
    <w:rsid w:val="00573110"/>
    <w:rsid w:val="0057335C"/>
    <w:rsid w:val="005737D7"/>
    <w:rsid w:val="00573856"/>
    <w:rsid w:val="0057386C"/>
    <w:rsid w:val="0057397F"/>
    <w:rsid w:val="005739BE"/>
    <w:rsid w:val="005739DF"/>
    <w:rsid w:val="005739E2"/>
    <w:rsid w:val="005739E5"/>
    <w:rsid w:val="00573A56"/>
    <w:rsid w:val="00573EE4"/>
    <w:rsid w:val="005741C4"/>
    <w:rsid w:val="0057446B"/>
    <w:rsid w:val="005746AA"/>
    <w:rsid w:val="005748D2"/>
    <w:rsid w:val="0057494B"/>
    <w:rsid w:val="00574B43"/>
    <w:rsid w:val="00574BC9"/>
    <w:rsid w:val="005751C1"/>
    <w:rsid w:val="00575248"/>
    <w:rsid w:val="0057526E"/>
    <w:rsid w:val="005752B8"/>
    <w:rsid w:val="005752D9"/>
    <w:rsid w:val="005759EB"/>
    <w:rsid w:val="00575AAF"/>
    <w:rsid w:val="00575BA5"/>
    <w:rsid w:val="00575CC6"/>
    <w:rsid w:val="00575DCE"/>
    <w:rsid w:val="00576123"/>
    <w:rsid w:val="005767A2"/>
    <w:rsid w:val="00576856"/>
    <w:rsid w:val="00576A67"/>
    <w:rsid w:val="00576ABC"/>
    <w:rsid w:val="00576D7C"/>
    <w:rsid w:val="00576DEF"/>
    <w:rsid w:val="00576E1A"/>
    <w:rsid w:val="00576E60"/>
    <w:rsid w:val="00576F4E"/>
    <w:rsid w:val="0057707F"/>
    <w:rsid w:val="00577188"/>
    <w:rsid w:val="00577361"/>
    <w:rsid w:val="0057737A"/>
    <w:rsid w:val="0057739D"/>
    <w:rsid w:val="005773EF"/>
    <w:rsid w:val="0057740D"/>
    <w:rsid w:val="0057740E"/>
    <w:rsid w:val="00577489"/>
    <w:rsid w:val="00577541"/>
    <w:rsid w:val="005777F8"/>
    <w:rsid w:val="00577912"/>
    <w:rsid w:val="00577990"/>
    <w:rsid w:val="00577ABC"/>
    <w:rsid w:val="00577C57"/>
    <w:rsid w:val="00577D95"/>
    <w:rsid w:val="00580326"/>
    <w:rsid w:val="005804DB"/>
    <w:rsid w:val="0058050A"/>
    <w:rsid w:val="00580942"/>
    <w:rsid w:val="00580B93"/>
    <w:rsid w:val="00580C9B"/>
    <w:rsid w:val="00580FCE"/>
    <w:rsid w:val="0058107A"/>
    <w:rsid w:val="00581132"/>
    <w:rsid w:val="00581434"/>
    <w:rsid w:val="00581451"/>
    <w:rsid w:val="005814A7"/>
    <w:rsid w:val="00581801"/>
    <w:rsid w:val="00581A64"/>
    <w:rsid w:val="00581CD1"/>
    <w:rsid w:val="00581D42"/>
    <w:rsid w:val="00581DCD"/>
    <w:rsid w:val="00581E21"/>
    <w:rsid w:val="00581EFE"/>
    <w:rsid w:val="00581F51"/>
    <w:rsid w:val="00582006"/>
    <w:rsid w:val="005826DA"/>
    <w:rsid w:val="00582738"/>
    <w:rsid w:val="00582920"/>
    <w:rsid w:val="005829D5"/>
    <w:rsid w:val="00582A9C"/>
    <w:rsid w:val="00582F55"/>
    <w:rsid w:val="00582FDC"/>
    <w:rsid w:val="00583234"/>
    <w:rsid w:val="00583454"/>
    <w:rsid w:val="0058356B"/>
    <w:rsid w:val="0058366A"/>
    <w:rsid w:val="0058373D"/>
    <w:rsid w:val="00583820"/>
    <w:rsid w:val="00583A56"/>
    <w:rsid w:val="00583BA2"/>
    <w:rsid w:val="00583C38"/>
    <w:rsid w:val="00583D0D"/>
    <w:rsid w:val="00583E02"/>
    <w:rsid w:val="00583F37"/>
    <w:rsid w:val="005840BE"/>
    <w:rsid w:val="00584B59"/>
    <w:rsid w:val="00584B77"/>
    <w:rsid w:val="00584BC8"/>
    <w:rsid w:val="00584D1D"/>
    <w:rsid w:val="00584F52"/>
    <w:rsid w:val="0058501E"/>
    <w:rsid w:val="005853C6"/>
    <w:rsid w:val="00585561"/>
    <w:rsid w:val="005855E6"/>
    <w:rsid w:val="005857A7"/>
    <w:rsid w:val="00585CAB"/>
    <w:rsid w:val="00586152"/>
    <w:rsid w:val="0058622A"/>
    <w:rsid w:val="005862D8"/>
    <w:rsid w:val="00586343"/>
    <w:rsid w:val="00586436"/>
    <w:rsid w:val="0058652A"/>
    <w:rsid w:val="005865F3"/>
    <w:rsid w:val="005867CC"/>
    <w:rsid w:val="00586870"/>
    <w:rsid w:val="005868E9"/>
    <w:rsid w:val="00586A9E"/>
    <w:rsid w:val="0058706C"/>
    <w:rsid w:val="005870A2"/>
    <w:rsid w:val="00587530"/>
    <w:rsid w:val="00587880"/>
    <w:rsid w:val="0058792C"/>
    <w:rsid w:val="00587997"/>
    <w:rsid w:val="00587AFD"/>
    <w:rsid w:val="00587C83"/>
    <w:rsid w:val="00587CA8"/>
    <w:rsid w:val="00587FEC"/>
    <w:rsid w:val="0059033C"/>
    <w:rsid w:val="005903A0"/>
    <w:rsid w:val="005903DA"/>
    <w:rsid w:val="00590562"/>
    <w:rsid w:val="00591046"/>
    <w:rsid w:val="005910FA"/>
    <w:rsid w:val="00591231"/>
    <w:rsid w:val="0059126D"/>
    <w:rsid w:val="005913BC"/>
    <w:rsid w:val="00591612"/>
    <w:rsid w:val="005916ED"/>
    <w:rsid w:val="00591A51"/>
    <w:rsid w:val="00591CD9"/>
    <w:rsid w:val="00591CDC"/>
    <w:rsid w:val="00591ECC"/>
    <w:rsid w:val="00591F24"/>
    <w:rsid w:val="00591F30"/>
    <w:rsid w:val="00591F71"/>
    <w:rsid w:val="005921C9"/>
    <w:rsid w:val="00592570"/>
    <w:rsid w:val="00592671"/>
    <w:rsid w:val="00592B33"/>
    <w:rsid w:val="00593180"/>
    <w:rsid w:val="005932CA"/>
    <w:rsid w:val="005933E5"/>
    <w:rsid w:val="00593580"/>
    <w:rsid w:val="00593764"/>
    <w:rsid w:val="00593946"/>
    <w:rsid w:val="005939B2"/>
    <w:rsid w:val="00593A16"/>
    <w:rsid w:val="00593BAC"/>
    <w:rsid w:val="00593D31"/>
    <w:rsid w:val="00594171"/>
    <w:rsid w:val="0059443F"/>
    <w:rsid w:val="00594A86"/>
    <w:rsid w:val="00594AC3"/>
    <w:rsid w:val="00594AED"/>
    <w:rsid w:val="00594B21"/>
    <w:rsid w:val="00594D99"/>
    <w:rsid w:val="00594DC8"/>
    <w:rsid w:val="00594E7D"/>
    <w:rsid w:val="00594E94"/>
    <w:rsid w:val="00594EFF"/>
    <w:rsid w:val="00594FC6"/>
    <w:rsid w:val="00595087"/>
    <w:rsid w:val="0059575D"/>
    <w:rsid w:val="00595884"/>
    <w:rsid w:val="0059599A"/>
    <w:rsid w:val="00595BAD"/>
    <w:rsid w:val="00595D0A"/>
    <w:rsid w:val="0059627B"/>
    <w:rsid w:val="005963D9"/>
    <w:rsid w:val="00596466"/>
    <w:rsid w:val="005964EA"/>
    <w:rsid w:val="005966C0"/>
    <w:rsid w:val="005966D2"/>
    <w:rsid w:val="00596741"/>
    <w:rsid w:val="00596A5C"/>
    <w:rsid w:val="00596DB9"/>
    <w:rsid w:val="00597000"/>
    <w:rsid w:val="00597108"/>
    <w:rsid w:val="005971BD"/>
    <w:rsid w:val="0059740D"/>
    <w:rsid w:val="005974C5"/>
    <w:rsid w:val="005975A3"/>
    <w:rsid w:val="005975BD"/>
    <w:rsid w:val="005975CF"/>
    <w:rsid w:val="0059763B"/>
    <w:rsid w:val="00597766"/>
    <w:rsid w:val="00597B99"/>
    <w:rsid w:val="00597C35"/>
    <w:rsid w:val="00597CA0"/>
    <w:rsid w:val="00597D41"/>
    <w:rsid w:val="00597F6D"/>
    <w:rsid w:val="00597FCC"/>
    <w:rsid w:val="005A006E"/>
    <w:rsid w:val="005A0117"/>
    <w:rsid w:val="005A02A5"/>
    <w:rsid w:val="005A04AE"/>
    <w:rsid w:val="005A09AD"/>
    <w:rsid w:val="005A0AFF"/>
    <w:rsid w:val="005A1160"/>
    <w:rsid w:val="005A1166"/>
    <w:rsid w:val="005A1320"/>
    <w:rsid w:val="005A13DE"/>
    <w:rsid w:val="005A173A"/>
    <w:rsid w:val="005A18B4"/>
    <w:rsid w:val="005A1C6F"/>
    <w:rsid w:val="005A2008"/>
    <w:rsid w:val="005A2011"/>
    <w:rsid w:val="005A25A4"/>
    <w:rsid w:val="005A2636"/>
    <w:rsid w:val="005A2B27"/>
    <w:rsid w:val="005A2C76"/>
    <w:rsid w:val="005A2EA3"/>
    <w:rsid w:val="005A2F6E"/>
    <w:rsid w:val="005A2FA2"/>
    <w:rsid w:val="005A317D"/>
    <w:rsid w:val="005A31EC"/>
    <w:rsid w:val="005A3243"/>
    <w:rsid w:val="005A3340"/>
    <w:rsid w:val="005A34C7"/>
    <w:rsid w:val="005A35C0"/>
    <w:rsid w:val="005A3693"/>
    <w:rsid w:val="005A3818"/>
    <w:rsid w:val="005A3DE6"/>
    <w:rsid w:val="005A40C4"/>
    <w:rsid w:val="005A440E"/>
    <w:rsid w:val="005A4492"/>
    <w:rsid w:val="005A449B"/>
    <w:rsid w:val="005A4649"/>
    <w:rsid w:val="005A466A"/>
    <w:rsid w:val="005A4A99"/>
    <w:rsid w:val="005A4B3C"/>
    <w:rsid w:val="005A4B4E"/>
    <w:rsid w:val="005A4C0C"/>
    <w:rsid w:val="005A4E0F"/>
    <w:rsid w:val="005A4E86"/>
    <w:rsid w:val="005A4F7F"/>
    <w:rsid w:val="005A5106"/>
    <w:rsid w:val="005A5198"/>
    <w:rsid w:val="005A51EE"/>
    <w:rsid w:val="005A5432"/>
    <w:rsid w:val="005A5595"/>
    <w:rsid w:val="005A568E"/>
    <w:rsid w:val="005A57F5"/>
    <w:rsid w:val="005A5C4D"/>
    <w:rsid w:val="005A5E49"/>
    <w:rsid w:val="005A5F82"/>
    <w:rsid w:val="005A6087"/>
    <w:rsid w:val="005A626A"/>
    <w:rsid w:val="005A63BD"/>
    <w:rsid w:val="005A6572"/>
    <w:rsid w:val="005A67B6"/>
    <w:rsid w:val="005A689D"/>
    <w:rsid w:val="005A6B4D"/>
    <w:rsid w:val="005A6F8F"/>
    <w:rsid w:val="005A710B"/>
    <w:rsid w:val="005A71B1"/>
    <w:rsid w:val="005A73C7"/>
    <w:rsid w:val="005A75E6"/>
    <w:rsid w:val="005A79EC"/>
    <w:rsid w:val="005A7A23"/>
    <w:rsid w:val="005A7BB0"/>
    <w:rsid w:val="005A7D8B"/>
    <w:rsid w:val="005A7D97"/>
    <w:rsid w:val="005B0238"/>
    <w:rsid w:val="005B02F4"/>
    <w:rsid w:val="005B03A6"/>
    <w:rsid w:val="005B067A"/>
    <w:rsid w:val="005B0C36"/>
    <w:rsid w:val="005B0E4D"/>
    <w:rsid w:val="005B119D"/>
    <w:rsid w:val="005B15E9"/>
    <w:rsid w:val="005B1677"/>
    <w:rsid w:val="005B17BF"/>
    <w:rsid w:val="005B17CF"/>
    <w:rsid w:val="005B188D"/>
    <w:rsid w:val="005B1983"/>
    <w:rsid w:val="005B1A56"/>
    <w:rsid w:val="005B1DA1"/>
    <w:rsid w:val="005B21C5"/>
    <w:rsid w:val="005B244C"/>
    <w:rsid w:val="005B257B"/>
    <w:rsid w:val="005B2685"/>
    <w:rsid w:val="005B2689"/>
    <w:rsid w:val="005B27AA"/>
    <w:rsid w:val="005B2BB3"/>
    <w:rsid w:val="005B2C67"/>
    <w:rsid w:val="005B2CEC"/>
    <w:rsid w:val="005B32C6"/>
    <w:rsid w:val="005B32E8"/>
    <w:rsid w:val="005B3363"/>
    <w:rsid w:val="005B35E9"/>
    <w:rsid w:val="005B3A31"/>
    <w:rsid w:val="005B3AF2"/>
    <w:rsid w:val="005B3BC2"/>
    <w:rsid w:val="005B3CB0"/>
    <w:rsid w:val="005B3FDE"/>
    <w:rsid w:val="005B4007"/>
    <w:rsid w:val="005B41D7"/>
    <w:rsid w:val="005B4AD3"/>
    <w:rsid w:val="005B4AE1"/>
    <w:rsid w:val="005B4B3A"/>
    <w:rsid w:val="005B4C53"/>
    <w:rsid w:val="005B4E10"/>
    <w:rsid w:val="005B4EA9"/>
    <w:rsid w:val="005B4F94"/>
    <w:rsid w:val="005B5286"/>
    <w:rsid w:val="005B5527"/>
    <w:rsid w:val="005B55DF"/>
    <w:rsid w:val="005B5767"/>
    <w:rsid w:val="005B57FB"/>
    <w:rsid w:val="005B5B0A"/>
    <w:rsid w:val="005B5DBA"/>
    <w:rsid w:val="005B5EAF"/>
    <w:rsid w:val="005B5F36"/>
    <w:rsid w:val="005B5F68"/>
    <w:rsid w:val="005B610A"/>
    <w:rsid w:val="005B623A"/>
    <w:rsid w:val="005B62DF"/>
    <w:rsid w:val="005B6935"/>
    <w:rsid w:val="005B6A95"/>
    <w:rsid w:val="005B6C40"/>
    <w:rsid w:val="005B6CB5"/>
    <w:rsid w:val="005B70DA"/>
    <w:rsid w:val="005B73ED"/>
    <w:rsid w:val="005B7405"/>
    <w:rsid w:val="005B7C5B"/>
    <w:rsid w:val="005B7D34"/>
    <w:rsid w:val="005C017D"/>
    <w:rsid w:val="005C022A"/>
    <w:rsid w:val="005C043A"/>
    <w:rsid w:val="005C04EC"/>
    <w:rsid w:val="005C0569"/>
    <w:rsid w:val="005C06A2"/>
    <w:rsid w:val="005C0BAE"/>
    <w:rsid w:val="005C0C14"/>
    <w:rsid w:val="005C0CD2"/>
    <w:rsid w:val="005C0D4D"/>
    <w:rsid w:val="005C0D4E"/>
    <w:rsid w:val="005C13C8"/>
    <w:rsid w:val="005C1438"/>
    <w:rsid w:val="005C1669"/>
    <w:rsid w:val="005C1799"/>
    <w:rsid w:val="005C1954"/>
    <w:rsid w:val="005C1A6C"/>
    <w:rsid w:val="005C1A85"/>
    <w:rsid w:val="005C1E83"/>
    <w:rsid w:val="005C1F47"/>
    <w:rsid w:val="005C232D"/>
    <w:rsid w:val="005C2340"/>
    <w:rsid w:val="005C23B8"/>
    <w:rsid w:val="005C245C"/>
    <w:rsid w:val="005C25C7"/>
    <w:rsid w:val="005C26A1"/>
    <w:rsid w:val="005C283C"/>
    <w:rsid w:val="005C2BA0"/>
    <w:rsid w:val="005C2BD9"/>
    <w:rsid w:val="005C2E16"/>
    <w:rsid w:val="005C3093"/>
    <w:rsid w:val="005C3781"/>
    <w:rsid w:val="005C3897"/>
    <w:rsid w:val="005C397D"/>
    <w:rsid w:val="005C39B8"/>
    <w:rsid w:val="005C3A3F"/>
    <w:rsid w:val="005C3A7C"/>
    <w:rsid w:val="005C3DFF"/>
    <w:rsid w:val="005C3E07"/>
    <w:rsid w:val="005C3E8F"/>
    <w:rsid w:val="005C45F3"/>
    <w:rsid w:val="005C469D"/>
    <w:rsid w:val="005C49C9"/>
    <w:rsid w:val="005C4B88"/>
    <w:rsid w:val="005C4C04"/>
    <w:rsid w:val="005C4C18"/>
    <w:rsid w:val="005C4E6C"/>
    <w:rsid w:val="005C4F83"/>
    <w:rsid w:val="005C505A"/>
    <w:rsid w:val="005C50E2"/>
    <w:rsid w:val="005C5327"/>
    <w:rsid w:val="005C5907"/>
    <w:rsid w:val="005C59C7"/>
    <w:rsid w:val="005C59D7"/>
    <w:rsid w:val="005C5B55"/>
    <w:rsid w:val="005C5BCC"/>
    <w:rsid w:val="005C5D50"/>
    <w:rsid w:val="005C5E1A"/>
    <w:rsid w:val="005C5E48"/>
    <w:rsid w:val="005C5F16"/>
    <w:rsid w:val="005C5FF6"/>
    <w:rsid w:val="005C608A"/>
    <w:rsid w:val="005C6440"/>
    <w:rsid w:val="005C6451"/>
    <w:rsid w:val="005C650A"/>
    <w:rsid w:val="005C653E"/>
    <w:rsid w:val="005C67FC"/>
    <w:rsid w:val="005C6BE1"/>
    <w:rsid w:val="005C6CE9"/>
    <w:rsid w:val="005C6D3E"/>
    <w:rsid w:val="005C6ECA"/>
    <w:rsid w:val="005C6F06"/>
    <w:rsid w:val="005C70E6"/>
    <w:rsid w:val="005C71D0"/>
    <w:rsid w:val="005C7271"/>
    <w:rsid w:val="005C7597"/>
    <w:rsid w:val="005C7954"/>
    <w:rsid w:val="005C7A9B"/>
    <w:rsid w:val="005C7B43"/>
    <w:rsid w:val="005C7BED"/>
    <w:rsid w:val="005C7CC5"/>
    <w:rsid w:val="005C7CD2"/>
    <w:rsid w:val="005C7DAA"/>
    <w:rsid w:val="005C7E11"/>
    <w:rsid w:val="005C7F84"/>
    <w:rsid w:val="005D0141"/>
    <w:rsid w:val="005D019A"/>
    <w:rsid w:val="005D022B"/>
    <w:rsid w:val="005D0421"/>
    <w:rsid w:val="005D0750"/>
    <w:rsid w:val="005D0B98"/>
    <w:rsid w:val="005D0D70"/>
    <w:rsid w:val="005D0F10"/>
    <w:rsid w:val="005D0FCE"/>
    <w:rsid w:val="005D112B"/>
    <w:rsid w:val="005D13E4"/>
    <w:rsid w:val="005D15F8"/>
    <w:rsid w:val="005D167C"/>
    <w:rsid w:val="005D174E"/>
    <w:rsid w:val="005D179B"/>
    <w:rsid w:val="005D1817"/>
    <w:rsid w:val="005D18CA"/>
    <w:rsid w:val="005D1921"/>
    <w:rsid w:val="005D19C0"/>
    <w:rsid w:val="005D1A3C"/>
    <w:rsid w:val="005D1AB7"/>
    <w:rsid w:val="005D1F25"/>
    <w:rsid w:val="005D221E"/>
    <w:rsid w:val="005D23D1"/>
    <w:rsid w:val="005D253B"/>
    <w:rsid w:val="005D292C"/>
    <w:rsid w:val="005D2EDB"/>
    <w:rsid w:val="005D2FBD"/>
    <w:rsid w:val="005D3008"/>
    <w:rsid w:val="005D35FD"/>
    <w:rsid w:val="005D37C6"/>
    <w:rsid w:val="005D39BD"/>
    <w:rsid w:val="005D3C20"/>
    <w:rsid w:val="005D3C81"/>
    <w:rsid w:val="005D3D71"/>
    <w:rsid w:val="005D3D77"/>
    <w:rsid w:val="005D3FAA"/>
    <w:rsid w:val="005D41F8"/>
    <w:rsid w:val="005D4322"/>
    <w:rsid w:val="005D4605"/>
    <w:rsid w:val="005D46DF"/>
    <w:rsid w:val="005D46F0"/>
    <w:rsid w:val="005D470D"/>
    <w:rsid w:val="005D4A9C"/>
    <w:rsid w:val="005D4BEB"/>
    <w:rsid w:val="005D500E"/>
    <w:rsid w:val="005D50AF"/>
    <w:rsid w:val="005D524A"/>
    <w:rsid w:val="005D551B"/>
    <w:rsid w:val="005D5546"/>
    <w:rsid w:val="005D5647"/>
    <w:rsid w:val="005D594E"/>
    <w:rsid w:val="005D5B6E"/>
    <w:rsid w:val="005D5BE5"/>
    <w:rsid w:val="005D5CEE"/>
    <w:rsid w:val="005D6061"/>
    <w:rsid w:val="005D607B"/>
    <w:rsid w:val="005D6084"/>
    <w:rsid w:val="005D60E0"/>
    <w:rsid w:val="005D6325"/>
    <w:rsid w:val="005D697D"/>
    <w:rsid w:val="005D6BC6"/>
    <w:rsid w:val="005D6C76"/>
    <w:rsid w:val="005D6FB8"/>
    <w:rsid w:val="005D70C7"/>
    <w:rsid w:val="005D728F"/>
    <w:rsid w:val="005D7336"/>
    <w:rsid w:val="005D7772"/>
    <w:rsid w:val="005D7874"/>
    <w:rsid w:val="005D7D88"/>
    <w:rsid w:val="005D7E16"/>
    <w:rsid w:val="005D7E26"/>
    <w:rsid w:val="005DF0C8"/>
    <w:rsid w:val="005E00D3"/>
    <w:rsid w:val="005E022B"/>
    <w:rsid w:val="005E03A2"/>
    <w:rsid w:val="005E04B9"/>
    <w:rsid w:val="005E051B"/>
    <w:rsid w:val="005E08B6"/>
    <w:rsid w:val="005E08DA"/>
    <w:rsid w:val="005E0A36"/>
    <w:rsid w:val="005E0D54"/>
    <w:rsid w:val="005E0E54"/>
    <w:rsid w:val="005E0EE5"/>
    <w:rsid w:val="005E105E"/>
    <w:rsid w:val="005E1084"/>
    <w:rsid w:val="005E118A"/>
    <w:rsid w:val="005E1296"/>
    <w:rsid w:val="005E1626"/>
    <w:rsid w:val="005E1A67"/>
    <w:rsid w:val="005E1BB6"/>
    <w:rsid w:val="005E1C8F"/>
    <w:rsid w:val="005E1CCE"/>
    <w:rsid w:val="005E1D2A"/>
    <w:rsid w:val="005E1F0A"/>
    <w:rsid w:val="005E204B"/>
    <w:rsid w:val="005E224F"/>
    <w:rsid w:val="005E2300"/>
    <w:rsid w:val="005E24C7"/>
    <w:rsid w:val="005E24EC"/>
    <w:rsid w:val="005E2780"/>
    <w:rsid w:val="005E2A46"/>
    <w:rsid w:val="005E2EA4"/>
    <w:rsid w:val="005E2F85"/>
    <w:rsid w:val="005E3019"/>
    <w:rsid w:val="005E3144"/>
    <w:rsid w:val="005E3489"/>
    <w:rsid w:val="005E3678"/>
    <w:rsid w:val="005E374C"/>
    <w:rsid w:val="005E37DD"/>
    <w:rsid w:val="005E3A7D"/>
    <w:rsid w:val="005E3B95"/>
    <w:rsid w:val="005E3BE6"/>
    <w:rsid w:val="005E3CA0"/>
    <w:rsid w:val="005E3E41"/>
    <w:rsid w:val="005E40A2"/>
    <w:rsid w:val="005E4313"/>
    <w:rsid w:val="005E432C"/>
    <w:rsid w:val="005E45DC"/>
    <w:rsid w:val="005E467C"/>
    <w:rsid w:val="005E479F"/>
    <w:rsid w:val="005E48A8"/>
    <w:rsid w:val="005E4902"/>
    <w:rsid w:val="005E4A6C"/>
    <w:rsid w:val="005E4B94"/>
    <w:rsid w:val="005E4EA2"/>
    <w:rsid w:val="005E5123"/>
    <w:rsid w:val="005E5359"/>
    <w:rsid w:val="005E5465"/>
    <w:rsid w:val="005E56AB"/>
    <w:rsid w:val="005E577B"/>
    <w:rsid w:val="005E5949"/>
    <w:rsid w:val="005E5ACF"/>
    <w:rsid w:val="005E610C"/>
    <w:rsid w:val="005E6125"/>
    <w:rsid w:val="005E61E5"/>
    <w:rsid w:val="005E625B"/>
    <w:rsid w:val="005E64BC"/>
    <w:rsid w:val="005E6814"/>
    <w:rsid w:val="005E6DB1"/>
    <w:rsid w:val="005E6E24"/>
    <w:rsid w:val="005E6EA4"/>
    <w:rsid w:val="005E6EED"/>
    <w:rsid w:val="005E6F68"/>
    <w:rsid w:val="005E6FA6"/>
    <w:rsid w:val="005E7037"/>
    <w:rsid w:val="005E72E5"/>
    <w:rsid w:val="005E7662"/>
    <w:rsid w:val="005E76A9"/>
    <w:rsid w:val="005E76BA"/>
    <w:rsid w:val="005E7BC1"/>
    <w:rsid w:val="005E7BD7"/>
    <w:rsid w:val="005E7F8E"/>
    <w:rsid w:val="005EA381"/>
    <w:rsid w:val="005F00FB"/>
    <w:rsid w:val="005F0427"/>
    <w:rsid w:val="005F060E"/>
    <w:rsid w:val="005F096F"/>
    <w:rsid w:val="005F09BE"/>
    <w:rsid w:val="005F09D9"/>
    <w:rsid w:val="005F0B09"/>
    <w:rsid w:val="005F0B0A"/>
    <w:rsid w:val="005F0BDE"/>
    <w:rsid w:val="005F0C0E"/>
    <w:rsid w:val="005F11C0"/>
    <w:rsid w:val="005F13E5"/>
    <w:rsid w:val="005F1596"/>
    <w:rsid w:val="005F15A1"/>
    <w:rsid w:val="005F1769"/>
    <w:rsid w:val="005F1798"/>
    <w:rsid w:val="005F1805"/>
    <w:rsid w:val="005F1AC0"/>
    <w:rsid w:val="005F1B28"/>
    <w:rsid w:val="005F1C0D"/>
    <w:rsid w:val="005F1C40"/>
    <w:rsid w:val="005F1D05"/>
    <w:rsid w:val="005F1D0D"/>
    <w:rsid w:val="005F1FCF"/>
    <w:rsid w:val="005F21E2"/>
    <w:rsid w:val="005F2326"/>
    <w:rsid w:val="005F2501"/>
    <w:rsid w:val="005F2A05"/>
    <w:rsid w:val="005F2A1B"/>
    <w:rsid w:val="005F2B54"/>
    <w:rsid w:val="005F2B6A"/>
    <w:rsid w:val="005F33C5"/>
    <w:rsid w:val="005F3618"/>
    <w:rsid w:val="005F3622"/>
    <w:rsid w:val="005F37F7"/>
    <w:rsid w:val="005F3C0A"/>
    <w:rsid w:val="005F3D38"/>
    <w:rsid w:val="005F3DB9"/>
    <w:rsid w:val="005F3DBB"/>
    <w:rsid w:val="005F3F4D"/>
    <w:rsid w:val="005F4026"/>
    <w:rsid w:val="005F41BC"/>
    <w:rsid w:val="005F4381"/>
    <w:rsid w:val="005F440C"/>
    <w:rsid w:val="005F459E"/>
    <w:rsid w:val="005F48DA"/>
    <w:rsid w:val="005F4A99"/>
    <w:rsid w:val="005F4AF1"/>
    <w:rsid w:val="005F4B25"/>
    <w:rsid w:val="005F4B65"/>
    <w:rsid w:val="005F4E47"/>
    <w:rsid w:val="005F4E95"/>
    <w:rsid w:val="005F50B7"/>
    <w:rsid w:val="005F533C"/>
    <w:rsid w:val="005F5377"/>
    <w:rsid w:val="005F537E"/>
    <w:rsid w:val="005F5613"/>
    <w:rsid w:val="005F5624"/>
    <w:rsid w:val="005F573D"/>
    <w:rsid w:val="005F60D8"/>
    <w:rsid w:val="005F60E5"/>
    <w:rsid w:val="005F628D"/>
    <w:rsid w:val="005F63AB"/>
    <w:rsid w:val="005F6541"/>
    <w:rsid w:val="005F676E"/>
    <w:rsid w:val="005F6A59"/>
    <w:rsid w:val="005F6AA7"/>
    <w:rsid w:val="005F6B27"/>
    <w:rsid w:val="005F6B36"/>
    <w:rsid w:val="005F6E9E"/>
    <w:rsid w:val="005F6F84"/>
    <w:rsid w:val="005F703B"/>
    <w:rsid w:val="005F71C7"/>
    <w:rsid w:val="005F72FD"/>
    <w:rsid w:val="005F7351"/>
    <w:rsid w:val="005F749A"/>
    <w:rsid w:val="005F74C1"/>
    <w:rsid w:val="005F7614"/>
    <w:rsid w:val="005F7883"/>
    <w:rsid w:val="005F798E"/>
    <w:rsid w:val="005F7CD4"/>
    <w:rsid w:val="005F7D8F"/>
    <w:rsid w:val="005F7F2F"/>
    <w:rsid w:val="00600372"/>
    <w:rsid w:val="006005D4"/>
    <w:rsid w:val="0060062F"/>
    <w:rsid w:val="0060079E"/>
    <w:rsid w:val="006007B2"/>
    <w:rsid w:val="00600B3B"/>
    <w:rsid w:val="00600C44"/>
    <w:rsid w:val="00600D41"/>
    <w:rsid w:val="00600E43"/>
    <w:rsid w:val="006010AD"/>
    <w:rsid w:val="00601164"/>
    <w:rsid w:val="006012FA"/>
    <w:rsid w:val="0060133C"/>
    <w:rsid w:val="00601364"/>
    <w:rsid w:val="00601499"/>
    <w:rsid w:val="0060196F"/>
    <w:rsid w:val="00601B71"/>
    <w:rsid w:val="00601C0C"/>
    <w:rsid w:val="00601D6F"/>
    <w:rsid w:val="0060208D"/>
    <w:rsid w:val="006022EF"/>
    <w:rsid w:val="0060288E"/>
    <w:rsid w:val="00602BDB"/>
    <w:rsid w:val="00602D0C"/>
    <w:rsid w:val="00602DC8"/>
    <w:rsid w:val="0060304E"/>
    <w:rsid w:val="0060307A"/>
    <w:rsid w:val="006030FF"/>
    <w:rsid w:val="00603132"/>
    <w:rsid w:val="00603590"/>
    <w:rsid w:val="0060394E"/>
    <w:rsid w:val="00603B03"/>
    <w:rsid w:val="00603D13"/>
    <w:rsid w:val="0060421F"/>
    <w:rsid w:val="006042C3"/>
    <w:rsid w:val="00604423"/>
    <w:rsid w:val="0060445D"/>
    <w:rsid w:val="00604516"/>
    <w:rsid w:val="006047D2"/>
    <w:rsid w:val="006047DB"/>
    <w:rsid w:val="0060485E"/>
    <w:rsid w:val="00604873"/>
    <w:rsid w:val="006048E3"/>
    <w:rsid w:val="0060498A"/>
    <w:rsid w:val="006049D2"/>
    <w:rsid w:val="00604C31"/>
    <w:rsid w:val="00604D26"/>
    <w:rsid w:val="00604D4A"/>
    <w:rsid w:val="00604D4B"/>
    <w:rsid w:val="00604F50"/>
    <w:rsid w:val="0060509A"/>
    <w:rsid w:val="0060515A"/>
    <w:rsid w:val="00605504"/>
    <w:rsid w:val="00605532"/>
    <w:rsid w:val="006055C0"/>
    <w:rsid w:val="006055D0"/>
    <w:rsid w:val="0060590F"/>
    <w:rsid w:val="00605941"/>
    <w:rsid w:val="00605DCE"/>
    <w:rsid w:val="00605E88"/>
    <w:rsid w:val="006060E3"/>
    <w:rsid w:val="00606106"/>
    <w:rsid w:val="006061CF"/>
    <w:rsid w:val="00606218"/>
    <w:rsid w:val="00606244"/>
    <w:rsid w:val="00606649"/>
    <w:rsid w:val="0060675C"/>
    <w:rsid w:val="00606C6D"/>
    <w:rsid w:val="00606DB8"/>
    <w:rsid w:val="00606DF2"/>
    <w:rsid w:val="00606EE0"/>
    <w:rsid w:val="00606F72"/>
    <w:rsid w:val="00607035"/>
    <w:rsid w:val="00607204"/>
    <w:rsid w:val="0060766F"/>
    <w:rsid w:val="0060783D"/>
    <w:rsid w:val="006078C5"/>
    <w:rsid w:val="00607CAD"/>
    <w:rsid w:val="00607E77"/>
    <w:rsid w:val="00610114"/>
    <w:rsid w:val="006104A2"/>
    <w:rsid w:val="0061059F"/>
    <w:rsid w:val="00610662"/>
    <w:rsid w:val="00610784"/>
    <w:rsid w:val="00610C9B"/>
    <w:rsid w:val="00610E22"/>
    <w:rsid w:val="00610E5C"/>
    <w:rsid w:val="00610EAF"/>
    <w:rsid w:val="00611264"/>
    <w:rsid w:val="00611407"/>
    <w:rsid w:val="006115B6"/>
    <w:rsid w:val="00611654"/>
    <w:rsid w:val="006117A2"/>
    <w:rsid w:val="00612258"/>
    <w:rsid w:val="00612484"/>
    <w:rsid w:val="00612490"/>
    <w:rsid w:val="006127B7"/>
    <w:rsid w:val="006128AD"/>
    <w:rsid w:val="006128D7"/>
    <w:rsid w:val="006129B5"/>
    <w:rsid w:val="006129C8"/>
    <w:rsid w:val="00612CC5"/>
    <w:rsid w:val="00612D1D"/>
    <w:rsid w:val="00612D69"/>
    <w:rsid w:val="00612D9C"/>
    <w:rsid w:val="006131CD"/>
    <w:rsid w:val="0061354C"/>
    <w:rsid w:val="00613608"/>
    <w:rsid w:val="0061379D"/>
    <w:rsid w:val="006137F0"/>
    <w:rsid w:val="00613CD3"/>
    <w:rsid w:val="0061415E"/>
    <w:rsid w:val="00614243"/>
    <w:rsid w:val="00614412"/>
    <w:rsid w:val="006144EE"/>
    <w:rsid w:val="00614528"/>
    <w:rsid w:val="00614542"/>
    <w:rsid w:val="006146A6"/>
    <w:rsid w:val="006146AA"/>
    <w:rsid w:val="006147A0"/>
    <w:rsid w:val="006148D9"/>
    <w:rsid w:val="00614938"/>
    <w:rsid w:val="0061495A"/>
    <w:rsid w:val="00614B58"/>
    <w:rsid w:val="00614CAD"/>
    <w:rsid w:val="00614D69"/>
    <w:rsid w:val="00614D95"/>
    <w:rsid w:val="00614E35"/>
    <w:rsid w:val="006150AD"/>
    <w:rsid w:val="00615560"/>
    <w:rsid w:val="00615888"/>
    <w:rsid w:val="00615D20"/>
    <w:rsid w:val="00615D9D"/>
    <w:rsid w:val="00616168"/>
    <w:rsid w:val="006161F3"/>
    <w:rsid w:val="00616318"/>
    <w:rsid w:val="00616581"/>
    <w:rsid w:val="00616624"/>
    <w:rsid w:val="0061666A"/>
    <w:rsid w:val="00616799"/>
    <w:rsid w:val="0061697F"/>
    <w:rsid w:val="00616A06"/>
    <w:rsid w:val="00616A58"/>
    <w:rsid w:val="00616BCE"/>
    <w:rsid w:val="00616C74"/>
    <w:rsid w:val="00616D8F"/>
    <w:rsid w:val="00616DFC"/>
    <w:rsid w:val="00616FE1"/>
    <w:rsid w:val="00616FE2"/>
    <w:rsid w:val="00617151"/>
    <w:rsid w:val="006172BD"/>
    <w:rsid w:val="006172EF"/>
    <w:rsid w:val="006173E8"/>
    <w:rsid w:val="006176AF"/>
    <w:rsid w:val="0061784E"/>
    <w:rsid w:val="00617950"/>
    <w:rsid w:val="00617996"/>
    <w:rsid w:val="006179DE"/>
    <w:rsid w:val="00617A9B"/>
    <w:rsid w:val="00617C38"/>
    <w:rsid w:val="00617DE8"/>
    <w:rsid w:val="00617E11"/>
    <w:rsid w:val="00617F57"/>
    <w:rsid w:val="00620013"/>
    <w:rsid w:val="00620062"/>
    <w:rsid w:val="00620125"/>
    <w:rsid w:val="00620280"/>
    <w:rsid w:val="006202C1"/>
    <w:rsid w:val="0062033D"/>
    <w:rsid w:val="0062033F"/>
    <w:rsid w:val="00620355"/>
    <w:rsid w:val="006204D0"/>
    <w:rsid w:val="00620515"/>
    <w:rsid w:val="00620604"/>
    <w:rsid w:val="006209DA"/>
    <w:rsid w:val="00620B99"/>
    <w:rsid w:val="00620BD7"/>
    <w:rsid w:val="00620CA9"/>
    <w:rsid w:val="00620D22"/>
    <w:rsid w:val="00620D43"/>
    <w:rsid w:val="00620F8D"/>
    <w:rsid w:val="00620FB6"/>
    <w:rsid w:val="006210C2"/>
    <w:rsid w:val="00621332"/>
    <w:rsid w:val="006213B7"/>
    <w:rsid w:val="0062149E"/>
    <w:rsid w:val="00621878"/>
    <w:rsid w:val="00621961"/>
    <w:rsid w:val="00621A0C"/>
    <w:rsid w:val="00621AD4"/>
    <w:rsid w:val="00622004"/>
    <w:rsid w:val="0062206B"/>
    <w:rsid w:val="006220B0"/>
    <w:rsid w:val="006222B8"/>
    <w:rsid w:val="006224E0"/>
    <w:rsid w:val="0062253E"/>
    <w:rsid w:val="00622647"/>
    <w:rsid w:val="00622B87"/>
    <w:rsid w:val="00622C0D"/>
    <w:rsid w:val="00622DF7"/>
    <w:rsid w:val="00623030"/>
    <w:rsid w:val="0062304A"/>
    <w:rsid w:val="006230B6"/>
    <w:rsid w:val="00623152"/>
    <w:rsid w:val="006231B3"/>
    <w:rsid w:val="006231DE"/>
    <w:rsid w:val="0062329E"/>
    <w:rsid w:val="0062337E"/>
    <w:rsid w:val="00623391"/>
    <w:rsid w:val="006236A5"/>
    <w:rsid w:val="0062370F"/>
    <w:rsid w:val="00623745"/>
    <w:rsid w:val="006238F4"/>
    <w:rsid w:val="00623939"/>
    <w:rsid w:val="00623C59"/>
    <w:rsid w:val="00623F99"/>
    <w:rsid w:val="00624020"/>
    <w:rsid w:val="0062427C"/>
    <w:rsid w:val="006247C7"/>
    <w:rsid w:val="00624A5E"/>
    <w:rsid w:val="00624AF1"/>
    <w:rsid w:val="00624B07"/>
    <w:rsid w:val="00624C6F"/>
    <w:rsid w:val="00624C84"/>
    <w:rsid w:val="00624DFD"/>
    <w:rsid w:val="00624ED9"/>
    <w:rsid w:val="00625061"/>
    <w:rsid w:val="0062510A"/>
    <w:rsid w:val="006251AC"/>
    <w:rsid w:val="006252FF"/>
    <w:rsid w:val="00625C4B"/>
    <w:rsid w:val="00625E52"/>
    <w:rsid w:val="00626322"/>
    <w:rsid w:val="00626798"/>
    <w:rsid w:val="006269E3"/>
    <w:rsid w:val="00626AC0"/>
    <w:rsid w:val="006273DF"/>
    <w:rsid w:val="0062775C"/>
    <w:rsid w:val="00627767"/>
    <w:rsid w:val="00627884"/>
    <w:rsid w:val="00627BE9"/>
    <w:rsid w:val="00627C23"/>
    <w:rsid w:val="00627D36"/>
    <w:rsid w:val="00627F04"/>
    <w:rsid w:val="006300B3"/>
    <w:rsid w:val="0063017A"/>
    <w:rsid w:val="006302F5"/>
    <w:rsid w:val="006304AB"/>
    <w:rsid w:val="006305A5"/>
    <w:rsid w:val="00630744"/>
    <w:rsid w:val="006307D0"/>
    <w:rsid w:val="006308A4"/>
    <w:rsid w:val="00630AFE"/>
    <w:rsid w:val="00630B2E"/>
    <w:rsid w:val="00630C8C"/>
    <w:rsid w:val="00630DA4"/>
    <w:rsid w:val="00631100"/>
    <w:rsid w:val="00631254"/>
    <w:rsid w:val="00631750"/>
    <w:rsid w:val="006318D5"/>
    <w:rsid w:val="00631B29"/>
    <w:rsid w:val="00631B4C"/>
    <w:rsid w:val="00631BAE"/>
    <w:rsid w:val="00631E79"/>
    <w:rsid w:val="00631F4F"/>
    <w:rsid w:val="00631FDB"/>
    <w:rsid w:val="006320B2"/>
    <w:rsid w:val="006321E8"/>
    <w:rsid w:val="0063220D"/>
    <w:rsid w:val="006323F3"/>
    <w:rsid w:val="006329B3"/>
    <w:rsid w:val="00632A5F"/>
    <w:rsid w:val="00632E4E"/>
    <w:rsid w:val="006330A4"/>
    <w:rsid w:val="00633368"/>
    <w:rsid w:val="006333F8"/>
    <w:rsid w:val="006334BE"/>
    <w:rsid w:val="00633647"/>
    <w:rsid w:val="006336B4"/>
    <w:rsid w:val="00633719"/>
    <w:rsid w:val="00633776"/>
    <w:rsid w:val="0063379F"/>
    <w:rsid w:val="00633974"/>
    <w:rsid w:val="00633C94"/>
    <w:rsid w:val="00633F62"/>
    <w:rsid w:val="00634070"/>
    <w:rsid w:val="006341A9"/>
    <w:rsid w:val="006342D3"/>
    <w:rsid w:val="0063433E"/>
    <w:rsid w:val="006343C5"/>
    <w:rsid w:val="006345AA"/>
    <w:rsid w:val="006345AB"/>
    <w:rsid w:val="006347B8"/>
    <w:rsid w:val="00634B15"/>
    <w:rsid w:val="00634C68"/>
    <w:rsid w:val="00634C91"/>
    <w:rsid w:val="00634CE1"/>
    <w:rsid w:val="00634DF3"/>
    <w:rsid w:val="00634E36"/>
    <w:rsid w:val="00634E60"/>
    <w:rsid w:val="00634F62"/>
    <w:rsid w:val="00634F82"/>
    <w:rsid w:val="00635006"/>
    <w:rsid w:val="006350FC"/>
    <w:rsid w:val="0063513E"/>
    <w:rsid w:val="00635161"/>
    <w:rsid w:val="006355B1"/>
    <w:rsid w:val="00635EF8"/>
    <w:rsid w:val="00636183"/>
    <w:rsid w:val="00636336"/>
    <w:rsid w:val="0063642F"/>
    <w:rsid w:val="006367BE"/>
    <w:rsid w:val="00636AAA"/>
    <w:rsid w:val="00636AED"/>
    <w:rsid w:val="00636B51"/>
    <w:rsid w:val="006370ED"/>
    <w:rsid w:val="0063713F"/>
    <w:rsid w:val="00637547"/>
    <w:rsid w:val="006375D5"/>
    <w:rsid w:val="0063768E"/>
    <w:rsid w:val="00637D15"/>
    <w:rsid w:val="00637DCF"/>
    <w:rsid w:val="00637EC9"/>
    <w:rsid w:val="00637FB9"/>
    <w:rsid w:val="00637FDA"/>
    <w:rsid w:val="00640174"/>
    <w:rsid w:val="006405E1"/>
    <w:rsid w:val="00640630"/>
    <w:rsid w:val="00640758"/>
    <w:rsid w:val="00640AAF"/>
    <w:rsid w:val="00640BB5"/>
    <w:rsid w:val="00640C8C"/>
    <w:rsid w:val="00640E3C"/>
    <w:rsid w:val="00640ECC"/>
    <w:rsid w:val="00640ED8"/>
    <w:rsid w:val="00640F8B"/>
    <w:rsid w:val="00641158"/>
    <w:rsid w:val="00641170"/>
    <w:rsid w:val="006411CC"/>
    <w:rsid w:val="006412F5"/>
    <w:rsid w:val="006413E4"/>
    <w:rsid w:val="006417C4"/>
    <w:rsid w:val="006419AC"/>
    <w:rsid w:val="00641A8A"/>
    <w:rsid w:val="00641C99"/>
    <w:rsid w:val="00641D3E"/>
    <w:rsid w:val="00641EE4"/>
    <w:rsid w:val="00641EF3"/>
    <w:rsid w:val="00641F76"/>
    <w:rsid w:val="0064218A"/>
    <w:rsid w:val="0064220A"/>
    <w:rsid w:val="006422BF"/>
    <w:rsid w:val="006422D7"/>
    <w:rsid w:val="006423B7"/>
    <w:rsid w:val="006426D4"/>
    <w:rsid w:val="006426E1"/>
    <w:rsid w:val="006427A8"/>
    <w:rsid w:val="006428BA"/>
    <w:rsid w:val="00642932"/>
    <w:rsid w:val="00642B2E"/>
    <w:rsid w:val="00642BE2"/>
    <w:rsid w:val="00642CBF"/>
    <w:rsid w:val="00642E6D"/>
    <w:rsid w:val="00643323"/>
    <w:rsid w:val="00643374"/>
    <w:rsid w:val="00643872"/>
    <w:rsid w:val="0064392A"/>
    <w:rsid w:val="0064393D"/>
    <w:rsid w:val="00643BA6"/>
    <w:rsid w:val="00643C2C"/>
    <w:rsid w:val="00643C3E"/>
    <w:rsid w:val="00643DF6"/>
    <w:rsid w:val="00643F4B"/>
    <w:rsid w:val="00644193"/>
    <w:rsid w:val="006443AF"/>
    <w:rsid w:val="006446A5"/>
    <w:rsid w:val="00644755"/>
    <w:rsid w:val="006447C6"/>
    <w:rsid w:val="00644902"/>
    <w:rsid w:val="00644A50"/>
    <w:rsid w:val="00644C05"/>
    <w:rsid w:val="00644E19"/>
    <w:rsid w:val="00644E49"/>
    <w:rsid w:val="00644F00"/>
    <w:rsid w:val="00645204"/>
    <w:rsid w:val="0064556E"/>
    <w:rsid w:val="00645993"/>
    <w:rsid w:val="00645B90"/>
    <w:rsid w:val="00645C28"/>
    <w:rsid w:val="00645C9D"/>
    <w:rsid w:val="00646085"/>
    <w:rsid w:val="006460DC"/>
    <w:rsid w:val="006460E1"/>
    <w:rsid w:val="00646205"/>
    <w:rsid w:val="0064636C"/>
    <w:rsid w:val="0064642A"/>
    <w:rsid w:val="0064659B"/>
    <w:rsid w:val="00646691"/>
    <w:rsid w:val="00646713"/>
    <w:rsid w:val="006469E1"/>
    <w:rsid w:val="00646E72"/>
    <w:rsid w:val="00646EDD"/>
    <w:rsid w:val="006475F5"/>
    <w:rsid w:val="006477AA"/>
    <w:rsid w:val="00647D1A"/>
    <w:rsid w:val="00647E44"/>
    <w:rsid w:val="00647FC1"/>
    <w:rsid w:val="00650031"/>
    <w:rsid w:val="00650041"/>
    <w:rsid w:val="006503BB"/>
    <w:rsid w:val="00650514"/>
    <w:rsid w:val="00650529"/>
    <w:rsid w:val="00650642"/>
    <w:rsid w:val="0065078E"/>
    <w:rsid w:val="006508BC"/>
    <w:rsid w:val="00650A2E"/>
    <w:rsid w:val="00650B9F"/>
    <w:rsid w:val="00650D38"/>
    <w:rsid w:val="00650F10"/>
    <w:rsid w:val="00650FEF"/>
    <w:rsid w:val="006512BD"/>
    <w:rsid w:val="0065133C"/>
    <w:rsid w:val="00651467"/>
    <w:rsid w:val="006515B3"/>
    <w:rsid w:val="00651633"/>
    <w:rsid w:val="006519D7"/>
    <w:rsid w:val="006519D8"/>
    <w:rsid w:val="00651A88"/>
    <w:rsid w:val="00651B7E"/>
    <w:rsid w:val="00651D3C"/>
    <w:rsid w:val="00651FB3"/>
    <w:rsid w:val="00652417"/>
    <w:rsid w:val="00652B6A"/>
    <w:rsid w:val="00652CEB"/>
    <w:rsid w:val="00652DD3"/>
    <w:rsid w:val="00652F13"/>
    <w:rsid w:val="00653122"/>
    <w:rsid w:val="006536B3"/>
    <w:rsid w:val="00653758"/>
    <w:rsid w:val="0065389F"/>
    <w:rsid w:val="00653BE7"/>
    <w:rsid w:val="00653E31"/>
    <w:rsid w:val="00653F89"/>
    <w:rsid w:val="006541D3"/>
    <w:rsid w:val="006541E8"/>
    <w:rsid w:val="0065460B"/>
    <w:rsid w:val="006546B4"/>
    <w:rsid w:val="0065499C"/>
    <w:rsid w:val="00654A27"/>
    <w:rsid w:val="00654C68"/>
    <w:rsid w:val="00654CB9"/>
    <w:rsid w:val="00654E9D"/>
    <w:rsid w:val="00654EEC"/>
    <w:rsid w:val="0065500C"/>
    <w:rsid w:val="006554B6"/>
    <w:rsid w:val="00655500"/>
    <w:rsid w:val="00655507"/>
    <w:rsid w:val="0065558A"/>
    <w:rsid w:val="00655871"/>
    <w:rsid w:val="00655B79"/>
    <w:rsid w:val="00655D20"/>
    <w:rsid w:val="00656001"/>
    <w:rsid w:val="00656166"/>
    <w:rsid w:val="006562D5"/>
    <w:rsid w:val="00656A76"/>
    <w:rsid w:val="00656C25"/>
    <w:rsid w:val="00656EB0"/>
    <w:rsid w:val="00656F66"/>
    <w:rsid w:val="00656F7F"/>
    <w:rsid w:val="00656F86"/>
    <w:rsid w:val="0065718C"/>
    <w:rsid w:val="00657378"/>
    <w:rsid w:val="00657683"/>
    <w:rsid w:val="006576B2"/>
    <w:rsid w:val="006576DA"/>
    <w:rsid w:val="00657901"/>
    <w:rsid w:val="006579D8"/>
    <w:rsid w:val="00657CE4"/>
    <w:rsid w:val="00657D6F"/>
    <w:rsid w:val="00657E94"/>
    <w:rsid w:val="00660263"/>
    <w:rsid w:val="006602A3"/>
    <w:rsid w:val="006602C3"/>
    <w:rsid w:val="006603BF"/>
    <w:rsid w:val="006604C6"/>
    <w:rsid w:val="00660688"/>
    <w:rsid w:val="00660848"/>
    <w:rsid w:val="00660905"/>
    <w:rsid w:val="0066092A"/>
    <w:rsid w:val="00660934"/>
    <w:rsid w:val="00660B0C"/>
    <w:rsid w:val="00660C4F"/>
    <w:rsid w:val="00660D1E"/>
    <w:rsid w:val="00660EC9"/>
    <w:rsid w:val="00660F7B"/>
    <w:rsid w:val="00660FEE"/>
    <w:rsid w:val="00661031"/>
    <w:rsid w:val="006613CA"/>
    <w:rsid w:val="00661621"/>
    <w:rsid w:val="0066171E"/>
    <w:rsid w:val="006617AA"/>
    <w:rsid w:val="00661845"/>
    <w:rsid w:val="00661939"/>
    <w:rsid w:val="00661D14"/>
    <w:rsid w:val="00661D7E"/>
    <w:rsid w:val="00662037"/>
    <w:rsid w:val="0066204B"/>
    <w:rsid w:val="006621C1"/>
    <w:rsid w:val="006622A4"/>
    <w:rsid w:val="0066264C"/>
    <w:rsid w:val="00662920"/>
    <w:rsid w:val="00662BFF"/>
    <w:rsid w:val="00662DBE"/>
    <w:rsid w:val="00662F0C"/>
    <w:rsid w:val="00662FDE"/>
    <w:rsid w:val="00663391"/>
    <w:rsid w:val="00663593"/>
    <w:rsid w:val="0066360A"/>
    <w:rsid w:val="00663625"/>
    <w:rsid w:val="0066364F"/>
    <w:rsid w:val="00663ACB"/>
    <w:rsid w:val="00663EA8"/>
    <w:rsid w:val="0066423D"/>
    <w:rsid w:val="00664372"/>
    <w:rsid w:val="00664399"/>
    <w:rsid w:val="006648F6"/>
    <w:rsid w:val="0066492F"/>
    <w:rsid w:val="00664A52"/>
    <w:rsid w:val="00664C27"/>
    <w:rsid w:val="00664C36"/>
    <w:rsid w:val="00664F12"/>
    <w:rsid w:val="00664FB3"/>
    <w:rsid w:val="00665514"/>
    <w:rsid w:val="006655AA"/>
    <w:rsid w:val="0066573A"/>
    <w:rsid w:val="00665876"/>
    <w:rsid w:val="00665E69"/>
    <w:rsid w:val="00665F1F"/>
    <w:rsid w:val="0066600C"/>
    <w:rsid w:val="00666030"/>
    <w:rsid w:val="0066607C"/>
    <w:rsid w:val="00666511"/>
    <w:rsid w:val="006667AA"/>
    <w:rsid w:val="006667CC"/>
    <w:rsid w:val="006669EF"/>
    <w:rsid w:val="00666DD5"/>
    <w:rsid w:val="00667347"/>
    <w:rsid w:val="0066745B"/>
    <w:rsid w:val="00667637"/>
    <w:rsid w:val="00667795"/>
    <w:rsid w:val="006677CA"/>
    <w:rsid w:val="00667C28"/>
    <w:rsid w:val="00667FF1"/>
    <w:rsid w:val="00670018"/>
    <w:rsid w:val="00670021"/>
    <w:rsid w:val="0067020F"/>
    <w:rsid w:val="00670268"/>
    <w:rsid w:val="00670313"/>
    <w:rsid w:val="00670378"/>
    <w:rsid w:val="006703D1"/>
    <w:rsid w:val="00670650"/>
    <w:rsid w:val="0067087F"/>
    <w:rsid w:val="00670A08"/>
    <w:rsid w:val="00670AFE"/>
    <w:rsid w:val="00670EF9"/>
    <w:rsid w:val="00671239"/>
    <w:rsid w:val="0067128A"/>
    <w:rsid w:val="006713DC"/>
    <w:rsid w:val="00671588"/>
    <w:rsid w:val="006717B9"/>
    <w:rsid w:val="00671A2F"/>
    <w:rsid w:val="00671CD2"/>
    <w:rsid w:val="00672442"/>
    <w:rsid w:val="006724BD"/>
    <w:rsid w:val="006724C8"/>
    <w:rsid w:val="006726E1"/>
    <w:rsid w:val="00672792"/>
    <w:rsid w:val="006728DE"/>
    <w:rsid w:val="006729A1"/>
    <w:rsid w:val="00672B45"/>
    <w:rsid w:val="00672B55"/>
    <w:rsid w:val="00672C6B"/>
    <w:rsid w:val="00672C8C"/>
    <w:rsid w:val="00672CDE"/>
    <w:rsid w:val="00672CF3"/>
    <w:rsid w:val="00672D51"/>
    <w:rsid w:val="00672D94"/>
    <w:rsid w:val="00673087"/>
    <w:rsid w:val="00673441"/>
    <w:rsid w:val="00673578"/>
    <w:rsid w:val="00673591"/>
    <w:rsid w:val="00673A6B"/>
    <w:rsid w:val="00673CA5"/>
    <w:rsid w:val="00673D29"/>
    <w:rsid w:val="00673E8E"/>
    <w:rsid w:val="00674408"/>
    <w:rsid w:val="0067459D"/>
    <w:rsid w:val="0067470E"/>
    <w:rsid w:val="00674775"/>
    <w:rsid w:val="00674797"/>
    <w:rsid w:val="006747CC"/>
    <w:rsid w:val="00674882"/>
    <w:rsid w:val="0067489C"/>
    <w:rsid w:val="00674C7B"/>
    <w:rsid w:val="006753DF"/>
    <w:rsid w:val="006755A9"/>
    <w:rsid w:val="006759DA"/>
    <w:rsid w:val="00675AA7"/>
    <w:rsid w:val="00675ABB"/>
    <w:rsid w:val="00675C61"/>
    <w:rsid w:val="00675E4A"/>
    <w:rsid w:val="006760CD"/>
    <w:rsid w:val="00676127"/>
    <w:rsid w:val="006761A6"/>
    <w:rsid w:val="006763BB"/>
    <w:rsid w:val="00676527"/>
    <w:rsid w:val="00676965"/>
    <w:rsid w:val="00676E34"/>
    <w:rsid w:val="00676F74"/>
    <w:rsid w:val="00677704"/>
    <w:rsid w:val="00677BD5"/>
    <w:rsid w:val="00677D0C"/>
    <w:rsid w:val="00677D13"/>
    <w:rsid w:val="00677D71"/>
    <w:rsid w:val="00677E77"/>
    <w:rsid w:val="00677F89"/>
    <w:rsid w:val="00677FCC"/>
    <w:rsid w:val="00680027"/>
    <w:rsid w:val="006801ED"/>
    <w:rsid w:val="00680251"/>
    <w:rsid w:val="006802D7"/>
    <w:rsid w:val="006802F5"/>
    <w:rsid w:val="00680344"/>
    <w:rsid w:val="00680640"/>
    <w:rsid w:val="0068090B"/>
    <w:rsid w:val="006809C9"/>
    <w:rsid w:val="00680B0B"/>
    <w:rsid w:val="00680EF1"/>
    <w:rsid w:val="0068119D"/>
    <w:rsid w:val="00681303"/>
    <w:rsid w:val="00681362"/>
    <w:rsid w:val="00681393"/>
    <w:rsid w:val="00681815"/>
    <w:rsid w:val="0068183B"/>
    <w:rsid w:val="006818AA"/>
    <w:rsid w:val="00681A29"/>
    <w:rsid w:val="00681BFE"/>
    <w:rsid w:val="00681D1E"/>
    <w:rsid w:val="006822EE"/>
    <w:rsid w:val="00682308"/>
    <w:rsid w:val="00682517"/>
    <w:rsid w:val="00682690"/>
    <w:rsid w:val="006827D3"/>
    <w:rsid w:val="006827DA"/>
    <w:rsid w:val="00682A51"/>
    <w:rsid w:val="00682B6D"/>
    <w:rsid w:val="00682C84"/>
    <w:rsid w:val="00682F03"/>
    <w:rsid w:val="00682FC8"/>
    <w:rsid w:val="00683284"/>
    <w:rsid w:val="006833F4"/>
    <w:rsid w:val="006833F7"/>
    <w:rsid w:val="00683401"/>
    <w:rsid w:val="00683475"/>
    <w:rsid w:val="00683565"/>
    <w:rsid w:val="006836C1"/>
    <w:rsid w:val="006838CF"/>
    <w:rsid w:val="0068394A"/>
    <w:rsid w:val="00683AAE"/>
    <w:rsid w:val="00683B2E"/>
    <w:rsid w:val="00683CE2"/>
    <w:rsid w:val="00683FC0"/>
    <w:rsid w:val="00684132"/>
    <w:rsid w:val="00684346"/>
    <w:rsid w:val="0068435D"/>
    <w:rsid w:val="0068448B"/>
    <w:rsid w:val="006844A5"/>
    <w:rsid w:val="00684562"/>
    <w:rsid w:val="006846D8"/>
    <w:rsid w:val="0068482B"/>
    <w:rsid w:val="006848D2"/>
    <w:rsid w:val="00684CE6"/>
    <w:rsid w:val="00684E29"/>
    <w:rsid w:val="006854C9"/>
    <w:rsid w:val="00685516"/>
    <w:rsid w:val="0068555C"/>
    <w:rsid w:val="006855C8"/>
    <w:rsid w:val="0068571A"/>
    <w:rsid w:val="006857E9"/>
    <w:rsid w:val="0068580B"/>
    <w:rsid w:val="00685963"/>
    <w:rsid w:val="006859FF"/>
    <w:rsid w:val="00685A03"/>
    <w:rsid w:val="00685AB6"/>
    <w:rsid w:val="00685BF2"/>
    <w:rsid w:val="00685C93"/>
    <w:rsid w:val="00686242"/>
    <w:rsid w:val="00686360"/>
    <w:rsid w:val="006864A5"/>
    <w:rsid w:val="0068657A"/>
    <w:rsid w:val="006865D1"/>
    <w:rsid w:val="006865FE"/>
    <w:rsid w:val="006867AC"/>
    <w:rsid w:val="00686A1D"/>
    <w:rsid w:val="00686BAB"/>
    <w:rsid w:val="00686D9B"/>
    <w:rsid w:val="00686DBB"/>
    <w:rsid w:val="00687015"/>
    <w:rsid w:val="0068708A"/>
    <w:rsid w:val="006870C2"/>
    <w:rsid w:val="00687169"/>
    <w:rsid w:val="00687216"/>
    <w:rsid w:val="006876E7"/>
    <w:rsid w:val="006878C0"/>
    <w:rsid w:val="00687CB8"/>
    <w:rsid w:val="00687DF3"/>
    <w:rsid w:val="006900CA"/>
    <w:rsid w:val="00690273"/>
    <w:rsid w:val="006904D0"/>
    <w:rsid w:val="0069054E"/>
    <w:rsid w:val="00690563"/>
    <w:rsid w:val="00690895"/>
    <w:rsid w:val="006908C6"/>
    <w:rsid w:val="00690A41"/>
    <w:rsid w:val="00690B1F"/>
    <w:rsid w:val="00690E61"/>
    <w:rsid w:val="00690F3B"/>
    <w:rsid w:val="006912F9"/>
    <w:rsid w:val="006913BE"/>
    <w:rsid w:val="006917A0"/>
    <w:rsid w:val="00691A09"/>
    <w:rsid w:val="00691EA0"/>
    <w:rsid w:val="00692457"/>
    <w:rsid w:val="006928BE"/>
    <w:rsid w:val="00692C1A"/>
    <w:rsid w:val="00692DD7"/>
    <w:rsid w:val="00693258"/>
    <w:rsid w:val="006935EC"/>
    <w:rsid w:val="0069373D"/>
    <w:rsid w:val="0069376D"/>
    <w:rsid w:val="00693A7E"/>
    <w:rsid w:val="00693FB5"/>
    <w:rsid w:val="00694129"/>
    <w:rsid w:val="00694332"/>
    <w:rsid w:val="006943FA"/>
    <w:rsid w:val="00694879"/>
    <w:rsid w:val="00694A32"/>
    <w:rsid w:val="00694A61"/>
    <w:rsid w:val="00694A64"/>
    <w:rsid w:val="00694A9F"/>
    <w:rsid w:val="00694BB0"/>
    <w:rsid w:val="00694CAB"/>
    <w:rsid w:val="00694DA0"/>
    <w:rsid w:val="00694DFE"/>
    <w:rsid w:val="00695172"/>
    <w:rsid w:val="006954C4"/>
    <w:rsid w:val="0069561E"/>
    <w:rsid w:val="00695640"/>
    <w:rsid w:val="006956B7"/>
    <w:rsid w:val="00695BBF"/>
    <w:rsid w:val="00695CD4"/>
    <w:rsid w:val="00695CD9"/>
    <w:rsid w:val="00695E1C"/>
    <w:rsid w:val="00695E2C"/>
    <w:rsid w:val="00696266"/>
    <w:rsid w:val="00696540"/>
    <w:rsid w:val="00696A51"/>
    <w:rsid w:val="00696A8C"/>
    <w:rsid w:val="00696AC5"/>
    <w:rsid w:val="00696AFD"/>
    <w:rsid w:val="00696B20"/>
    <w:rsid w:val="00696BDA"/>
    <w:rsid w:val="00696EBA"/>
    <w:rsid w:val="00696EC4"/>
    <w:rsid w:val="006970C9"/>
    <w:rsid w:val="00697272"/>
    <w:rsid w:val="006973B9"/>
    <w:rsid w:val="0069740E"/>
    <w:rsid w:val="00697432"/>
    <w:rsid w:val="00697557"/>
    <w:rsid w:val="0069756C"/>
    <w:rsid w:val="00697C78"/>
    <w:rsid w:val="00697D4D"/>
    <w:rsid w:val="00697DCC"/>
    <w:rsid w:val="006A0103"/>
    <w:rsid w:val="006A01BF"/>
    <w:rsid w:val="006A02B4"/>
    <w:rsid w:val="006A03A3"/>
    <w:rsid w:val="006A057B"/>
    <w:rsid w:val="006A09B6"/>
    <w:rsid w:val="006A0A1B"/>
    <w:rsid w:val="006A0DF7"/>
    <w:rsid w:val="006A0EE1"/>
    <w:rsid w:val="006A11DE"/>
    <w:rsid w:val="006A1241"/>
    <w:rsid w:val="006A12CB"/>
    <w:rsid w:val="006A16DE"/>
    <w:rsid w:val="006A1744"/>
    <w:rsid w:val="006A19E9"/>
    <w:rsid w:val="006A1B13"/>
    <w:rsid w:val="006A1EA9"/>
    <w:rsid w:val="006A202F"/>
    <w:rsid w:val="006A2114"/>
    <w:rsid w:val="006A21A7"/>
    <w:rsid w:val="006A2207"/>
    <w:rsid w:val="006A23BE"/>
    <w:rsid w:val="006A2691"/>
    <w:rsid w:val="006A273F"/>
    <w:rsid w:val="006A2825"/>
    <w:rsid w:val="006A2A74"/>
    <w:rsid w:val="006A2ACC"/>
    <w:rsid w:val="006A2C8C"/>
    <w:rsid w:val="006A2CA3"/>
    <w:rsid w:val="006A2CD5"/>
    <w:rsid w:val="006A2DA5"/>
    <w:rsid w:val="006A2E0B"/>
    <w:rsid w:val="006A2E3F"/>
    <w:rsid w:val="006A2EA6"/>
    <w:rsid w:val="006A3227"/>
    <w:rsid w:val="006A36B6"/>
    <w:rsid w:val="006A37EB"/>
    <w:rsid w:val="006A382D"/>
    <w:rsid w:val="006A3978"/>
    <w:rsid w:val="006A399A"/>
    <w:rsid w:val="006A3EF5"/>
    <w:rsid w:val="006A4037"/>
    <w:rsid w:val="006A41F8"/>
    <w:rsid w:val="006A4248"/>
    <w:rsid w:val="006A4266"/>
    <w:rsid w:val="006A42AD"/>
    <w:rsid w:val="006A4556"/>
    <w:rsid w:val="006A4659"/>
    <w:rsid w:val="006A489F"/>
    <w:rsid w:val="006A4D2C"/>
    <w:rsid w:val="006A4D5C"/>
    <w:rsid w:val="006A5257"/>
    <w:rsid w:val="006A5302"/>
    <w:rsid w:val="006A550A"/>
    <w:rsid w:val="006A5789"/>
    <w:rsid w:val="006A5987"/>
    <w:rsid w:val="006A5ACB"/>
    <w:rsid w:val="006A5E0F"/>
    <w:rsid w:val="006A5FB9"/>
    <w:rsid w:val="006A60EB"/>
    <w:rsid w:val="006A638B"/>
    <w:rsid w:val="006A6665"/>
    <w:rsid w:val="006A6798"/>
    <w:rsid w:val="006A68FE"/>
    <w:rsid w:val="006A6BAB"/>
    <w:rsid w:val="006A6C1F"/>
    <w:rsid w:val="006A6C35"/>
    <w:rsid w:val="006A6D73"/>
    <w:rsid w:val="006A6DAE"/>
    <w:rsid w:val="006A6E63"/>
    <w:rsid w:val="006A6E85"/>
    <w:rsid w:val="006A7003"/>
    <w:rsid w:val="006A7007"/>
    <w:rsid w:val="006A757F"/>
    <w:rsid w:val="006A7583"/>
    <w:rsid w:val="006A776C"/>
    <w:rsid w:val="006A77E4"/>
    <w:rsid w:val="006A7A4C"/>
    <w:rsid w:val="006B005C"/>
    <w:rsid w:val="006B05C3"/>
    <w:rsid w:val="006B080E"/>
    <w:rsid w:val="006B091F"/>
    <w:rsid w:val="006B09C8"/>
    <w:rsid w:val="006B0BC5"/>
    <w:rsid w:val="006B0D3D"/>
    <w:rsid w:val="006B0D67"/>
    <w:rsid w:val="006B127A"/>
    <w:rsid w:val="006B1633"/>
    <w:rsid w:val="006B16FC"/>
    <w:rsid w:val="006B17AB"/>
    <w:rsid w:val="006B1816"/>
    <w:rsid w:val="006B1A1D"/>
    <w:rsid w:val="006B1CE8"/>
    <w:rsid w:val="006B1F1B"/>
    <w:rsid w:val="006B1FE2"/>
    <w:rsid w:val="006B276C"/>
    <w:rsid w:val="006B2856"/>
    <w:rsid w:val="006B298F"/>
    <w:rsid w:val="006B2C56"/>
    <w:rsid w:val="006B2CDC"/>
    <w:rsid w:val="006B2D23"/>
    <w:rsid w:val="006B3033"/>
    <w:rsid w:val="006B30D8"/>
    <w:rsid w:val="006B31ED"/>
    <w:rsid w:val="006B3331"/>
    <w:rsid w:val="006B3608"/>
    <w:rsid w:val="006B36D2"/>
    <w:rsid w:val="006B3716"/>
    <w:rsid w:val="006B373A"/>
    <w:rsid w:val="006B3962"/>
    <w:rsid w:val="006B3A07"/>
    <w:rsid w:val="006B3BAF"/>
    <w:rsid w:val="006B3CFE"/>
    <w:rsid w:val="006B3DC7"/>
    <w:rsid w:val="006B3EC9"/>
    <w:rsid w:val="006B426A"/>
    <w:rsid w:val="006B4421"/>
    <w:rsid w:val="006B4654"/>
    <w:rsid w:val="006B47F5"/>
    <w:rsid w:val="006B48C5"/>
    <w:rsid w:val="006B49D7"/>
    <w:rsid w:val="006B4A90"/>
    <w:rsid w:val="006B4B24"/>
    <w:rsid w:val="006B4CA8"/>
    <w:rsid w:val="006B4E55"/>
    <w:rsid w:val="006B508D"/>
    <w:rsid w:val="006B50B3"/>
    <w:rsid w:val="006B518E"/>
    <w:rsid w:val="006B5255"/>
    <w:rsid w:val="006B5323"/>
    <w:rsid w:val="006B5623"/>
    <w:rsid w:val="006B578E"/>
    <w:rsid w:val="006B58E0"/>
    <w:rsid w:val="006B5A1D"/>
    <w:rsid w:val="006B5C73"/>
    <w:rsid w:val="006B5E4B"/>
    <w:rsid w:val="006B5EDF"/>
    <w:rsid w:val="006B6006"/>
    <w:rsid w:val="006B6105"/>
    <w:rsid w:val="006B615C"/>
    <w:rsid w:val="006B647D"/>
    <w:rsid w:val="006B64FE"/>
    <w:rsid w:val="006B6617"/>
    <w:rsid w:val="006B668B"/>
    <w:rsid w:val="006B66D9"/>
    <w:rsid w:val="006B679C"/>
    <w:rsid w:val="006B682C"/>
    <w:rsid w:val="006B6A90"/>
    <w:rsid w:val="006B6E82"/>
    <w:rsid w:val="006B7267"/>
    <w:rsid w:val="006B7436"/>
    <w:rsid w:val="006B7440"/>
    <w:rsid w:val="006B7489"/>
    <w:rsid w:val="006B77B9"/>
    <w:rsid w:val="006B7C5A"/>
    <w:rsid w:val="006B7E30"/>
    <w:rsid w:val="006B7F26"/>
    <w:rsid w:val="006C0212"/>
    <w:rsid w:val="006C02C2"/>
    <w:rsid w:val="006C0420"/>
    <w:rsid w:val="006C0915"/>
    <w:rsid w:val="006C0AD9"/>
    <w:rsid w:val="006C0B7E"/>
    <w:rsid w:val="006C0B80"/>
    <w:rsid w:val="006C0EDF"/>
    <w:rsid w:val="006C0F6C"/>
    <w:rsid w:val="006C11D3"/>
    <w:rsid w:val="006C1247"/>
    <w:rsid w:val="006C13DD"/>
    <w:rsid w:val="006C141F"/>
    <w:rsid w:val="006C1610"/>
    <w:rsid w:val="006C1693"/>
    <w:rsid w:val="006C1BFE"/>
    <w:rsid w:val="006C1D08"/>
    <w:rsid w:val="006C1D4E"/>
    <w:rsid w:val="006C1E25"/>
    <w:rsid w:val="006C1F70"/>
    <w:rsid w:val="006C205A"/>
    <w:rsid w:val="006C208B"/>
    <w:rsid w:val="006C224A"/>
    <w:rsid w:val="006C2262"/>
    <w:rsid w:val="006C26D3"/>
    <w:rsid w:val="006C27A0"/>
    <w:rsid w:val="006C27B6"/>
    <w:rsid w:val="006C2A6D"/>
    <w:rsid w:val="006C2A76"/>
    <w:rsid w:val="006C2AFC"/>
    <w:rsid w:val="006C2CD6"/>
    <w:rsid w:val="006C2DA9"/>
    <w:rsid w:val="006C2E2C"/>
    <w:rsid w:val="006C30BE"/>
    <w:rsid w:val="006C315B"/>
    <w:rsid w:val="006C32BE"/>
    <w:rsid w:val="006C32C8"/>
    <w:rsid w:val="006C33C2"/>
    <w:rsid w:val="006C357D"/>
    <w:rsid w:val="006C366D"/>
    <w:rsid w:val="006C37DF"/>
    <w:rsid w:val="006C381E"/>
    <w:rsid w:val="006C390C"/>
    <w:rsid w:val="006C3976"/>
    <w:rsid w:val="006C3A32"/>
    <w:rsid w:val="006C3A93"/>
    <w:rsid w:val="006C3CD9"/>
    <w:rsid w:val="006C3E4D"/>
    <w:rsid w:val="006C3F33"/>
    <w:rsid w:val="006C4107"/>
    <w:rsid w:val="006C414E"/>
    <w:rsid w:val="006C4307"/>
    <w:rsid w:val="006C4A53"/>
    <w:rsid w:val="006C4ADE"/>
    <w:rsid w:val="006C4EBD"/>
    <w:rsid w:val="006C4EE6"/>
    <w:rsid w:val="006C4EEB"/>
    <w:rsid w:val="006C4FCB"/>
    <w:rsid w:val="006C503C"/>
    <w:rsid w:val="006C508F"/>
    <w:rsid w:val="006C51A8"/>
    <w:rsid w:val="006C5756"/>
    <w:rsid w:val="006C59B6"/>
    <w:rsid w:val="006C5B53"/>
    <w:rsid w:val="006C5CF3"/>
    <w:rsid w:val="006C61E3"/>
    <w:rsid w:val="006C622A"/>
    <w:rsid w:val="006C62C4"/>
    <w:rsid w:val="006C6A03"/>
    <w:rsid w:val="006C6D54"/>
    <w:rsid w:val="006C7034"/>
    <w:rsid w:val="006C7035"/>
    <w:rsid w:val="006C75DD"/>
    <w:rsid w:val="006C76A2"/>
    <w:rsid w:val="006C7904"/>
    <w:rsid w:val="006C7966"/>
    <w:rsid w:val="006C7B99"/>
    <w:rsid w:val="006C7BBB"/>
    <w:rsid w:val="006C7BDE"/>
    <w:rsid w:val="006C7C4F"/>
    <w:rsid w:val="006C7DEA"/>
    <w:rsid w:val="006C7E23"/>
    <w:rsid w:val="006C7E6F"/>
    <w:rsid w:val="006D0100"/>
    <w:rsid w:val="006D01DC"/>
    <w:rsid w:val="006D0235"/>
    <w:rsid w:val="006D026B"/>
    <w:rsid w:val="006D0278"/>
    <w:rsid w:val="006D0342"/>
    <w:rsid w:val="006D03B3"/>
    <w:rsid w:val="006D04FD"/>
    <w:rsid w:val="006D05BC"/>
    <w:rsid w:val="006D0661"/>
    <w:rsid w:val="006D09F7"/>
    <w:rsid w:val="006D0C8C"/>
    <w:rsid w:val="006D0D62"/>
    <w:rsid w:val="006D0DCE"/>
    <w:rsid w:val="006D0F2B"/>
    <w:rsid w:val="006D1299"/>
    <w:rsid w:val="006D12D9"/>
    <w:rsid w:val="006D16C7"/>
    <w:rsid w:val="006D1AEC"/>
    <w:rsid w:val="006D1C77"/>
    <w:rsid w:val="006D1F59"/>
    <w:rsid w:val="006D21CA"/>
    <w:rsid w:val="006D2291"/>
    <w:rsid w:val="006D22C9"/>
    <w:rsid w:val="006D22F5"/>
    <w:rsid w:val="006D235E"/>
    <w:rsid w:val="006D24E5"/>
    <w:rsid w:val="006D27FC"/>
    <w:rsid w:val="006D35CD"/>
    <w:rsid w:val="006D36F8"/>
    <w:rsid w:val="006D3B41"/>
    <w:rsid w:val="006D3DFF"/>
    <w:rsid w:val="006D3EAD"/>
    <w:rsid w:val="006D4068"/>
    <w:rsid w:val="006D4167"/>
    <w:rsid w:val="006D4347"/>
    <w:rsid w:val="006D43A7"/>
    <w:rsid w:val="006D43FC"/>
    <w:rsid w:val="006D44CA"/>
    <w:rsid w:val="006D45BE"/>
    <w:rsid w:val="006D48B8"/>
    <w:rsid w:val="006D4C9A"/>
    <w:rsid w:val="006D4FA6"/>
    <w:rsid w:val="006D5236"/>
    <w:rsid w:val="006D52EB"/>
    <w:rsid w:val="006D52EF"/>
    <w:rsid w:val="006D531E"/>
    <w:rsid w:val="006D53C7"/>
    <w:rsid w:val="006D53F9"/>
    <w:rsid w:val="006D5747"/>
    <w:rsid w:val="006D5807"/>
    <w:rsid w:val="006D585A"/>
    <w:rsid w:val="006D6014"/>
    <w:rsid w:val="006D62CD"/>
    <w:rsid w:val="006D646D"/>
    <w:rsid w:val="006D65A3"/>
    <w:rsid w:val="006D65F4"/>
    <w:rsid w:val="006D66DB"/>
    <w:rsid w:val="006D684C"/>
    <w:rsid w:val="006D6867"/>
    <w:rsid w:val="006D6A99"/>
    <w:rsid w:val="006D6B67"/>
    <w:rsid w:val="006D6CB3"/>
    <w:rsid w:val="006D6CBB"/>
    <w:rsid w:val="006D6CDF"/>
    <w:rsid w:val="006D6D55"/>
    <w:rsid w:val="006D6D56"/>
    <w:rsid w:val="006D6DA7"/>
    <w:rsid w:val="006D703C"/>
    <w:rsid w:val="006D75B4"/>
    <w:rsid w:val="006D767D"/>
    <w:rsid w:val="006D76C6"/>
    <w:rsid w:val="006D7E02"/>
    <w:rsid w:val="006E025E"/>
    <w:rsid w:val="006E02FB"/>
    <w:rsid w:val="006E0392"/>
    <w:rsid w:val="006E05E3"/>
    <w:rsid w:val="006E0635"/>
    <w:rsid w:val="006E088A"/>
    <w:rsid w:val="006E0A37"/>
    <w:rsid w:val="006E0ACB"/>
    <w:rsid w:val="006E0DE4"/>
    <w:rsid w:val="006E0E3C"/>
    <w:rsid w:val="006E0FD4"/>
    <w:rsid w:val="006E1196"/>
    <w:rsid w:val="006E11DE"/>
    <w:rsid w:val="006E1243"/>
    <w:rsid w:val="006E127E"/>
    <w:rsid w:val="006E12D2"/>
    <w:rsid w:val="006E14BE"/>
    <w:rsid w:val="006E1746"/>
    <w:rsid w:val="006E1754"/>
    <w:rsid w:val="006E1774"/>
    <w:rsid w:val="006E1834"/>
    <w:rsid w:val="006E1E35"/>
    <w:rsid w:val="006E1EA5"/>
    <w:rsid w:val="006E1EEB"/>
    <w:rsid w:val="006E20DC"/>
    <w:rsid w:val="006E217F"/>
    <w:rsid w:val="006E2272"/>
    <w:rsid w:val="006E247F"/>
    <w:rsid w:val="006E24C2"/>
    <w:rsid w:val="006E2552"/>
    <w:rsid w:val="006E256C"/>
    <w:rsid w:val="006E2615"/>
    <w:rsid w:val="006E2717"/>
    <w:rsid w:val="006E2AB4"/>
    <w:rsid w:val="006E2B50"/>
    <w:rsid w:val="006E2D3F"/>
    <w:rsid w:val="006E2F5E"/>
    <w:rsid w:val="006E3490"/>
    <w:rsid w:val="006E35CC"/>
    <w:rsid w:val="006E36A7"/>
    <w:rsid w:val="006E38B1"/>
    <w:rsid w:val="006E3B72"/>
    <w:rsid w:val="006E40D5"/>
    <w:rsid w:val="006E412E"/>
    <w:rsid w:val="006E4303"/>
    <w:rsid w:val="006E468D"/>
    <w:rsid w:val="006E489A"/>
    <w:rsid w:val="006E48EA"/>
    <w:rsid w:val="006E495A"/>
    <w:rsid w:val="006E4970"/>
    <w:rsid w:val="006E4AEB"/>
    <w:rsid w:val="006E4B61"/>
    <w:rsid w:val="006E4C1E"/>
    <w:rsid w:val="006E4CBA"/>
    <w:rsid w:val="006E4E9D"/>
    <w:rsid w:val="006E4F37"/>
    <w:rsid w:val="006E50AA"/>
    <w:rsid w:val="006E50FD"/>
    <w:rsid w:val="006E52BA"/>
    <w:rsid w:val="006E543D"/>
    <w:rsid w:val="006E54CC"/>
    <w:rsid w:val="006E5611"/>
    <w:rsid w:val="006E5696"/>
    <w:rsid w:val="006E572D"/>
    <w:rsid w:val="006E58A0"/>
    <w:rsid w:val="006E5935"/>
    <w:rsid w:val="006E5966"/>
    <w:rsid w:val="006E59E2"/>
    <w:rsid w:val="006E5A0B"/>
    <w:rsid w:val="006E5A93"/>
    <w:rsid w:val="006E5C6C"/>
    <w:rsid w:val="006E6205"/>
    <w:rsid w:val="006E635D"/>
    <w:rsid w:val="006E6428"/>
    <w:rsid w:val="006E6556"/>
    <w:rsid w:val="006E6575"/>
    <w:rsid w:val="006E663E"/>
    <w:rsid w:val="006E687F"/>
    <w:rsid w:val="006E6883"/>
    <w:rsid w:val="006E6F67"/>
    <w:rsid w:val="006E703D"/>
    <w:rsid w:val="006E7200"/>
    <w:rsid w:val="006E73D0"/>
    <w:rsid w:val="006E7401"/>
    <w:rsid w:val="006E74E5"/>
    <w:rsid w:val="006E76A4"/>
    <w:rsid w:val="006E76C2"/>
    <w:rsid w:val="006E771A"/>
    <w:rsid w:val="006E79C4"/>
    <w:rsid w:val="006E79E0"/>
    <w:rsid w:val="006F0040"/>
    <w:rsid w:val="006F0230"/>
    <w:rsid w:val="006F0304"/>
    <w:rsid w:val="006F0319"/>
    <w:rsid w:val="006F07ED"/>
    <w:rsid w:val="006F09DF"/>
    <w:rsid w:val="006F0A03"/>
    <w:rsid w:val="006F0A0F"/>
    <w:rsid w:val="006F0C1B"/>
    <w:rsid w:val="006F0CE4"/>
    <w:rsid w:val="006F0FF8"/>
    <w:rsid w:val="006F100D"/>
    <w:rsid w:val="006F1028"/>
    <w:rsid w:val="006F1493"/>
    <w:rsid w:val="006F15CE"/>
    <w:rsid w:val="006F171B"/>
    <w:rsid w:val="006F1761"/>
    <w:rsid w:val="006F1766"/>
    <w:rsid w:val="006F1A09"/>
    <w:rsid w:val="006F1AD7"/>
    <w:rsid w:val="006F2135"/>
    <w:rsid w:val="006F2333"/>
    <w:rsid w:val="006F24A5"/>
    <w:rsid w:val="006F263B"/>
    <w:rsid w:val="006F28DE"/>
    <w:rsid w:val="006F2D15"/>
    <w:rsid w:val="006F2F30"/>
    <w:rsid w:val="006F2F33"/>
    <w:rsid w:val="006F3023"/>
    <w:rsid w:val="006F30A5"/>
    <w:rsid w:val="006F312B"/>
    <w:rsid w:val="006F31C6"/>
    <w:rsid w:val="006F3334"/>
    <w:rsid w:val="006F3362"/>
    <w:rsid w:val="006F35BC"/>
    <w:rsid w:val="006F3677"/>
    <w:rsid w:val="006F3A61"/>
    <w:rsid w:val="006F3BB8"/>
    <w:rsid w:val="006F3CE3"/>
    <w:rsid w:val="006F3DE0"/>
    <w:rsid w:val="006F3EC9"/>
    <w:rsid w:val="006F3F65"/>
    <w:rsid w:val="006F4122"/>
    <w:rsid w:val="006F4137"/>
    <w:rsid w:val="006F45B2"/>
    <w:rsid w:val="006F47D9"/>
    <w:rsid w:val="006F4831"/>
    <w:rsid w:val="006F48B6"/>
    <w:rsid w:val="006F48CA"/>
    <w:rsid w:val="006F4ADA"/>
    <w:rsid w:val="006F4C01"/>
    <w:rsid w:val="006F4CDC"/>
    <w:rsid w:val="006F4F1A"/>
    <w:rsid w:val="006F5333"/>
    <w:rsid w:val="006F5362"/>
    <w:rsid w:val="006F5463"/>
    <w:rsid w:val="006F554A"/>
    <w:rsid w:val="006F554D"/>
    <w:rsid w:val="006F556B"/>
    <w:rsid w:val="006F5577"/>
    <w:rsid w:val="006F5712"/>
    <w:rsid w:val="006F58C9"/>
    <w:rsid w:val="006F5B0A"/>
    <w:rsid w:val="006F5C48"/>
    <w:rsid w:val="006F5DF5"/>
    <w:rsid w:val="006F5F4F"/>
    <w:rsid w:val="006F6202"/>
    <w:rsid w:val="006F6224"/>
    <w:rsid w:val="006F6233"/>
    <w:rsid w:val="006F62A8"/>
    <w:rsid w:val="006F669C"/>
    <w:rsid w:val="006F66F1"/>
    <w:rsid w:val="006F67A3"/>
    <w:rsid w:val="006F683F"/>
    <w:rsid w:val="006F6B0B"/>
    <w:rsid w:val="006F6B17"/>
    <w:rsid w:val="006F6E10"/>
    <w:rsid w:val="006F7133"/>
    <w:rsid w:val="006F78E6"/>
    <w:rsid w:val="006F7AE7"/>
    <w:rsid w:val="006F7F31"/>
    <w:rsid w:val="006F7F4C"/>
    <w:rsid w:val="00700175"/>
    <w:rsid w:val="00700316"/>
    <w:rsid w:val="00700374"/>
    <w:rsid w:val="007003DA"/>
    <w:rsid w:val="007005DD"/>
    <w:rsid w:val="00700755"/>
    <w:rsid w:val="007007D6"/>
    <w:rsid w:val="00700E87"/>
    <w:rsid w:val="00700FEC"/>
    <w:rsid w:val="007010BC"/>
    <w:rsid w:val="00701372"/>
    <w:rsid w:val="00701971"/>
    <w:rsid w:val="00701EFB"/>
    <w:rsid w:val="007021E5"/>
    <w:rsid w:val="0070241B"/>
    <w:rsid w:val="0070249C"/>
    <w:rsid w:val="00702507"/>
    <w:rsid w:val="0070259F"/>
    <w:rsid w:val="00702EB2"/>
    <w:rsid w:val="007030A1"/>
    <w:rsid w:val="0070341B"/>
    <w:rsid w:val="00703432"/>
    <w:rsid w:val="00703473"/>
    <w:rsid w:val="007035DC"/>
    <w:rsid w:val="00703A5F"/>
    <w:rsid w:val="00703A6E"/>
    <w:rsid w:val="00703A7D"/>
    <w:rsid w:val="00703B16"/>
    <w:rsid w:val="00703F3E"/>
    <w:rsid w:val="007040A9"/>
    <w:rsid w:val="00704129"/>
    <w:rsid w:val="00704297"/>
    <w:rsid w:val="0070430A"/>
    <w:rsid w:val="00704385"/>
    <w:rsid w:val="007043B6"/>
    <w:rsid w:val="007045B5"/>
    <w:rsid w:val="0070466D"/>
    <w:rsid w:val="00704A6F"/>
    <w:rsid w:val="00704AED"/>
    <w:rsid w:val="00704CD7"/>
    <w:rsid w:val="00704DE7"/>
    <w:rsid w:val="00705066"/>
    <w:rsid w:val="007050CD"/>
    <w:rsid w:val="00705453"/>
    <w:rsid w:val="007056D5"/>
    <w:rsid w:val="00705861"/>
    <w:rsid w:val="00705886"/>
    <w:rsid w:val="007058F7"/>
    <w:rsid w:val="007059EA"/>
    <w:rsid w:val="00705AB2"/>
    <w:rsid w:val="00705C03"/>
    <w:rsid w:val="00705EDB"/>
    <w:rsid w:val="00705FC6"/>
    <w:rsid w:val="0070615A"/>
    <w:rsid w:val="007061E1"/>
    <w:rsid w:val="00706258"/>
    <w:rsid w:val="0070656F"/>
    <w:rsid w:val="00706A37"/>
    <w:rsid w:val="00706AAE"/>
    <w:rsid w:val="00706B16"/>
    <w:rsid w:val="00706BC6"/>
    <w:rsid w:val="00706DA3"/>
    <w:rsid w:val="00706EFC"/>
    <w:rsid w:val="00706FB9"/>
    <w:rsid w:val="007071F2"/>
    <w:rsid w:val="0070734B"/>
    <w:rsid w:val="007076E5"/>
    <w:rsid w:val="00707949"/>
    <w:rsid w:val="00707970"/>
    <w:rsid w:val="00707AE9"/>
    <w:rsid w:val="00707BD8"/>
    <w:rsid w:val="00707C02"/>
    <w:rsid w:val="00707C92"/>
    <w:rsid w:val="00707CFA"/>
    <w:rsid w:val="00707D81"/>
    <w:rsid w:val="00710203"/>
    <w:rsid w:val="007103E0"/>
    <w:rsid w:val="00710706"/>
    <w:rsid w:val="0071100C"/>
    <w:rsid w:val="007111CA"/>
    <w:rsid w:val="00711750"/>
    <w:rsid w:val="0071175E"/>
    <w:rsid w:val="0071178B"/>
    <w:rsid w:val="007117CF"/>
    <w:rsid w:val="007119E4"/>
    <w:rsid w:val="00711BC7"/>
    <w:rsid w:val="00712061"/>
    <w:rsid w:val="007120AC"/>
    <w:rsid w:val="00712185"/>
    <w:rsid w:val="00712307"/>
    <w:rsid w:val="00712677"/>
    <w:rsid w:val="007126D1"/>
    <w:rsid w:val="007126DC"/>
    <w:rsid w:val="007128CF"/>
    <w:rsid w:val="00712B85"/>
    <w:rsid w:val="00712CB3"/>
    <w:rsid w:val="00712E15"/>
    <w:rsid w:val="00713230"/>
    <w:rsid w:val="007132DF"/>
    <w:rsid w:val="00713389"/>
    <w:rsid w:val="0071338E"/>
    <w:rsid w:val="0071348C"/>
    <w:rsid w:val="00713619"/>
    <w:rsid w:val="007137CE"/>
    <w:rsid w:val="00713813"/>
    <w:rsid w:val="00713BEC"/>
    <w:rsid w:val="00713DCF"/>
    <w:rsid w:val="00713F06"/>
    <w:rsid w:val="00714094"/>
    <w:rsid w:val="007142FB"/>
    <w:rsid w:val="0071449E"/>
    <w:rsid w:val="007144EF"/>
    <w:rsid w:val="00714549"/>
    <w:rsid w:val="00714583"/>
    <w:rsid w:val="007146D7"/>
    <w:rsid w:val="00714846"/>
    <w:rsid w:val="00714AD6"/>
    <w:rsid w:val="00714BD6"/>
    <w:rsid w:val="00714D59"/>
    <w:rsid w:val="00714D5F"/>
    <w:rsid w:val="00714F0A"/>
    <w:rsid w:val="00715139"/>
    <w:rsid w:val="007151DE"/>
    <w:rsid w:val="007151F8"/>
    <w:rsid w:val="00715392"/>
    <w:rsid w:val="007156B9"/>
    <w:rsid w:val="00715943"/>
    <w:rsid w:val="00715B0A"/>
    <w:rsid w:val="00715BB1"/>
    <w:rsid w:val="00715C50"/>
    <w:rsid w:val="00715EF2"/>
    <w:rsid w:val="00716075"/>
    <w:rsid w:val="007160A9"/>
    <w:rsid w:val="0071610D"/>
    <w:rsid w:val="007162DD"/>
    <w:rsid w:val="0071641E"/>
    <w:rsid w:val="00716778"/>
    <w:rsid w:val="00716864"/>
    <w:rsid w:val="007169C0"/>
    <w:rsid w:val="00716A2E"/>
    <w:rsid w:val="00716B5B"/>
    <w:rsid w:val="007170DC"/>
    <w:rsid w:val="007172A7"/>
    <w:rsid w:val="00717418"/>
    <w:rsid w:val="007176E1"/>
    <w:rsid w:val="0071772E"/>
    <w:rsid w:val="007178EF"/>
    <w:rsid w:val="00717A20"/>
    <w:rsid w:val="00717C40"/>
    <w:rsid w:val="00717CDD"/>
    <w:rsid w:val="00717E85"/>
    <w:rsid w:val="00717E96"/>
    <w:rsid w:val="00717F4B"/>
    <w:rsid w:val="007201FA"/>
    <w:rsid w:val="0072041B"/>
    <w:rsid w:val="00720478"/>
    <w:rsid w:val="007205A4"/>
    <w:rsid w:val="00720979"/>
    <w:rsid w:val="007209A1"/>
    <w:rsid w:val="00720C48"/>
    <w:rsid w:val="00721199"/>
    <w:rsid w:val="007211C2"/>
    <w:rsid w:val="00721625"/>
    <w:rsid w:val="00721781"/>
    <w:rsid w:val="007217AB"/>
    <w:rsid w:val="007218E6"/>
    <w:rsid w:val="00721C0F"/>
    <w:rsid w:val="00721C36"/>
    <w:rsid w:val="0072209D"/>
    <w:rsid w:val="007221F4"/>
    <w:rsid w:val="0072251E"/>
    <w:rsid w:val="00722616"/>
    <w:rsid w:val="007228C9"/>
    <w:rsid w:val="00722943"/>
    <w:rsid w:val="00722A22"/>
    <w:rsid w:val="00722BCB"/>
    <w:rsid w:val="00722BCE"/>
    <w:rsid w:val="00722F51"/>
    <w:rsid w:val="00722FED"/>
    <w:rsid w:val="007232F1"/>
    <w:rsid w:val="00723352"/>
    <w:rsid w:val="007234E1"/>
    <w:rsid w:val="007235DB"/>
    <w:rsid w:val="00723808"/>
    <w:rsid w:val="00723BC9"/>
    <w:rsid w:val="00723C01"/>
    <w:rsid w:val="00723C79"/>
    <w:rsid w:val="00723F62"/>
    <w:rsid w:val="007240CB"/>
    <w:rsid w:val="0072431E"/>
    <w:rsid w:val="00724366"/>
    <w:rsid w:val="00724406"/>
    <w:rsid w:val="007246D1"/>
    <w:rsid w:val="007246F3"/>
    <w:rsid w:val="00724724"/>
    <w:rsid w:val="00724860"/>
    <w:rsid w:val="007248D5"/>
    <w:rsid w:val="0072491E"/>
    <w:rsid w:val="007249EA"/>
    <w:rsid w:val="00724AAF"/>
    <w:rsid w:val="00724AB9"/>
    <w:rsid w:val="00724B64"/>
    <w:rsid w:val="00724C00"/>
    <w:rsid w:val="00724C67"/>
    <w:rsid w:val="00724DBD"/>
    <w:rsid w:val="00725020"/>
    <w:rsid w:val="00725180"/>
    <w:rsid w:val="00725434"/>
    <w:rsid w:val="0072549B"/>
    <w:rsid w:val="007256B9"/>
    <w:rsid w:val="00725B8A"/>
    <w:rsid w:val="00725D5C"/>
    <w:rsid w:val="00725EE8"/>
    <w:rsid w:val="0072616D"/>
    <w:rsid w:val="007263DB"/>
    <w:rsid w:val="007264E3"/>
    <w:rsid w:val="007266FC"/>
    <w:rsid w:val="00726832"/>
    <w:rsid w:val="007268F7"/>
    <w:rsid w:val="00726912"/>
    <w:rsid w:val="00726D07"/>
    <w:rsid w:val="00727156"/>
    <w:rsid w:val="007271CC"/>
    <w:rsid w:val="00727343"/>
    <w:rsid w:val="0072745B"/>
    <w:rsid w:val="00727653"/>
    <w:rsid w:val="00727760"/>
    <w:rsid w:val="00727803"/>
    <w:rsid w:val="0072785B"/>
    <w:rsid w:val="00727878"/>
    <w:rsid w:val="007278D3"/>
    <w:rsid w:val="00727B25"/>
    <w:rsid w:val="00727BA9"/>
    <w:rsid w:val="00727FA0"/>
    <w:rsid w:val="00727FB5"/>
    <w:rsid w:val="00730002"/>
    <w:rsid w:val="007300B7"/>
    <w:rsid w:val="0073012B"/>
    <w:rsid w:val="00730394"/>
    <w:rsid w:val="007306A2"/>
    <w:rsid w:val="00730BBF"/>
    <w:rsid w:val="00730C18"/>
    <w:rsid w:val="00730FEE"/>
    <w:rsid w:val="00731424"/>
    <w:rsid w:val="0073163B"/>
    <w:rsid w:val="0073172E"/>
    <w:rsid w:val="00731CC5"/>
    <w:rsid w:val="0073214C"/>
    <w:rsid w:val="007324B6"/>
    <w:rsid w:val="00732591"/>
    <w:rsid w:val="00732641"/>
    <w:rsid w:val="00732796"/>
    <w:rsid w:val="00732A12"/>
    <w:rsid w:val="00732A8E"/>
    <w:rsid w:val="00732C5D"/>
    <w:rsid w:val="00732CC8"/>
    <w:rsid w:val="00732DB0"/>
    <w:rsid w:val="00733092"/>
    <w:rsid w:val="007331DA"/>
    <w:rsid w:val="00733215"/>
    <w:rsid w:val="007336F0"/>
    <w:rsid w:val="00733C7D"/>
    <w:rsid w:val="00733CCC"/>
    <w:rsid w:val="00733D62"/>
    <w:rsid w:val="00733EC5"/>
    <w:rsid w:val="00734148"/>
    <w:rsid w:val="007341D7"/>
    <w:rsid w:val="00734208"/>
    <w:rsid w:val="007342DC"/>
    <w:rsid w:val="007345C1"/>
    <w:rsid w:val="00734B03"/>
    <w:rsid w:val="00734EA3"/>
    <w:rsid w:val="00734ECF"/>
    <w:rsid w:val="00734EF5"/>
    <w:rsid w:val="00735040"/>
    <w:rsid w:val="00735043"/>
    <w:rsid w:val="00735491"/>
    <w:rsid w:val="0073562F"/>
    <w:rsid w:val="007356CB"/>
    <w:rsid w:val="00735957"/>
    <w:rsid w:val="00735971"/>
    <w:rsid w:val="007359FE"/>
    <w:rsid w:val="00735B22"/>
    <w:rsid w:val="00735CD3"/>
    <w:rsid w:val="00735E3E"/>
    <w:rsid w:val="00735ECD"/>
    <w:rsid w:val="00736075"/>
    <w:rsid w:val="00736190"/>
    <w:rsid w:val="00736196"/>
    <w:rsid w:val="00736205"/>
    <w:rsid w:val="00736219"/>
    <w:rsid w:val="007362A5"/>
    <w:rsid w:val="00736434"/>
    <w:rsid w:val="0073643F"/>
    <w:rsid w:val="0073645B"/>
    <w:rsid w:val="0073658E"/>
    <w:rsid w:val="007365CD"/>
    <w:rsid w:val="00736690"/>
    <w:rsid w:val="0073682A"/>
    <w:rsid w:val="00736944"/>
    <w:rsid w:val="0073694C"/>
    <w:rsid w:val="007369FA"/>
    <w:rsid w:val="00736A2B"/>
    <w:rsid w:val="00736A91"/>
    <w:rsid w:val="00736BF3"/>
    <w:rsid w:val="00736D46"/>
    <w:rsid w:val="00736DD3"/>
    <w:rsid w:val="00736E33"/>
    <w:rsid w:val="0073704F"/>
    <w:rsid w:val="00737399"/>
    <w:rsid w:val="00737454"/>
    <w:rsid w:val="007374F9"/>
    <w:rsid w:val="00737562"/>
    <w:rsid w:val="007375B9"/>
    <w:rsid w:val="00737A2D"/>
    <w:rsid w:val="00737ACB"/>
    <w:rsid w:val="00737B4A"/>
    <w:rsid w:val="00737BA4"/>
    <w:rsid w:val="00737CF4"/>
    <w:rsid w:val="00740033"/>
    <w:rsid w:val="0074034D"/>
    <w:rsid w:val="00740398"/>
    <w:rsid w:val="007404B3"/>
    <w:rsid w:val="007405CC"/>
    <w:rsid w:val="007406D4"/>
    <w:rsid w:val="007406DF"/>
    <w:rsid w:val="00740728"/>
    <w:rsid w:val="0074084C"/>
    <w:rsid w:val="0074090F"/>
    <w:rsid w:val="00740BDA"/>
    <w:rsid w:val="00740FAF"/>
    <w:rsid w:val="007410D5"/>
    <w:rsid w:val="007411F4"/>
    <w:rsid w:val="00741216"/>
    <w:rsid w:val="0074130D"/>
    <w:rsid w:val="00741359"/>
    <w:rsid w:val="00741408"/>
    <w:rsid w:val="0074143D"/>
    <w:rsid w:val="007414B3"/>
    <w:rsid w:val="007415A6"/>
    <w:rsid w:val="007415B2"/>
    <w:rsid w:val="0074165B"/>
    <w:rsid w:val="007416FA"/>
    <w:rsid w:val="007418D1"/>
    <w:rsid w:val="007419C3"/>
    <w:rsid w:val="00741A4E"/>
    <w:rsid w:val="00741A8B"/>
    <w:rsid w:val="00741D3D"/>
    <w:rsid w:val="00741E5B"/>
    <w:rsid w:val="00741EF1"/>
    <w:rsid w:val="00741F4B"/>
    <w:rsid w:val="00742132"/>
    <w:rsid w:val="00742387"/>
    <w:rsid w:val="0074242A"/>
    <w:rsid w:val="0074247D"/>
    <w:rsid w:val="0074256A"/>
    <w:rsid w:val="0074262E"/>
    <w:rsid w:val="00742654"/>
    <w:rsid w:val="00742A22"/>
    <w:rsid w:val="00742A74"/>
    <w:rsid w:val="00742B75"/>
    <w:rsid w:val="00742BD6"/>
    <w:rsid w:val="00742E9A"/>
    <w:rsid w:val="00742EE3"/>
    <w:rsid w:val="00742F85"/>
    <w:rsid w:val="007432AB"/>
    <w:rsid w:val="007434AF"/>
    <w:rsid w:val="00743528"/>
    <w:rsid w:val="007435DC"/>
    <w:rsid w:val="00743866"/>
    <w:rsid w:val="007438C3"/>
    <w:rsid w:val="00743EA8"/>
    <w:rsid w:val="00743FE7"/>
    <w:rsid w:val="00744008"/>
    <w:rsid w:val="007443B2"/>
    <w:rsid w:val="007445E2"/>
    <w:rsid w:val="0074485C"/>
    <w:rsid w:val="00744A3D"/>
    <w:rsid w:val="00744A4A"/>
    <w:rsid w:val="00744C08"/>
    <w:rsid w:val="00744EEC"/>
    <w:rsid w:val="00744F31"/>
    <w:rsid w:val="0074507A"/>
    <w:rsid w:val="00745435"/>
    <w:rsid w:val="0074552B"/>
    <w:rsid w:val="007455A2"/>
    <w:rsid w:val="007459A7"/>
    <w:rsid w:val="00745A09"/>
    <w:rsid w:val="00745AE5"/>
    <w:rsid w:val="00745B2B"/>
    <w:rsid w:val="00745B4C"/>
    <w:rsid w:val="00745C67"/>
    <w:rsid w:val="00745D29"/>
    <w:rsid w:val="00745F37"/>
    <w:rsid w:val="00746104"/>
    <w:rsid w:val="00746279"/>
    <w:rsid w:val="0074649C"/>
    <w:rsid w:val="0074668C"/>
    <w:rsid w:val="00746744"/>
    <w:rsid w:val="007468D2"/>
    <w:rsid w:val="007469E7"/>
    <w:rsid w:val="00746ACD"/>
    <w:rsid w:val="00746AD2"/>
    <w:rsid w:val="00746AF6"/>
    <w:rsid w:val="00746EF2"/>
    <w:rsid w:val="00746EF6"/>
    <w:rsid w:val="00746F89"/>
    <w:rsid w:val="00747179"/>
    <w:rsid w:val="007472AE"/>
    <w:rsid w:val="007473BA"/>
    <w:rsid w:val="0074750B"/>
    <w:rsid w:val="00747654"/>
    <w:rsid w:val="007476BA"/>
    <w:rsid w:val="00747788"/>
    <w:rsid w:val="007478BE"/>
    <w:rsid w:val="007478DA"/>
    <w:rsid w:val="00747D39"/>
    <w:rsid w:val="00747D6C"/>
    <w:rsid w:val="00747EF8"/>
    <w:rsid w:val="00747FDC"/>
    <w:rsid w:val="00747FFD"/>
    <w:rsid w:val="007502CF"/>
    <w:rsid w:val="0075034A"/>
    <w:rsid w:val="007503D7"/>
    <w:rsid w:val="007506C6"/>
    <w:rsid w:val="0075086B"/>
    <w:rsid w:val="00750A3D"/>
    <w:rsid w:val="00750A58"/>
    <w:rsid w:val="00750AC7"/>
    <w:rsid w:val="00750B11"/>
    <w:rsid w:val="00750E68"/>
    <w:rsid w:val="00750E8B"/>
    <w:rsid w:val="00750F31"/>
    <w:rsid w:val="00751060"/>
    <w:rsid w:val="0075125B"/>
    <w:rsid w:val="00751301"/>
    <w:rsid w:val="00751567"/>
    <w:rsid w:val="0075156A"/>
    <w:rsid w:val="0075161D"/>
    <w:rsid w:val="00751AE4"/>
    <w:rsid w:val="00751B88"/>
    <w:rsid w:val="00752086"/>
    <w:rsid w:val="007522B5"/>
    <w:rsid w:val="007522B7"/>
    <w:rsid w:val="00752611"/>
    <w:rsid w:val="007527CD"/>
    <w:rsid w:val="0075281F"/>
    <w:rsid w:val="0075282C"/>
    <w:rsid w:val="007528A4"/>
    <w:rsid w:val="00752928"/>
    <w:rsid w:val="00752A0B"/>
    <w:rsid w:val="00752B94"/>
    <w:rsid w:val="00752C71"/>
    <w:rsid w:val="00752D46"/>
    <w:rsid w:val="00752D57"/>
    <w:rsid w:val="00752D76"/>
    <w:rsid w:val="00752DEE"/>
    <w:rsid w:val="00752E0B"/>
    <w:rsid w:val="0075303C"/>
    <w:rsid w:val="0075318D"/>
    <w:rsid w:val="00753241"/>
    <w:rsid w:val="007535B9"/>
    <w:rsid w:val="007536D9"/>
    <w:rsid w:val="007536EE"/>
    <w:rsid w:val="00753780"/>
    <w:rsid w:val="00753787"/>
    <w:rsid w:val="00753934"/>
    <w:rsid w:val="0075397E"/>
    <w:rsid w:val="00753C1E"/>
    <w:rsid w:val="00753CCF"/>
    <w:rsid w:val="00753FD7"/>
    <w:rsid w:val="0075402F"/>
    <w:rsid w:val="0075446E"/>
    <w:rsid w:val="007546B3"/>
    <w:rsid w:val="00754BC0"/>
    <w:rsid w:val="00754C6F"/>
    <w:rsid w:val="00754E20"/>
    <w:rsid w:val="00754EE8"/>
    <w:rsid w:val="00754F2E"/>
    <w:rsid w:val="00755010"/>
    <w:rsid w:val="0075522E"/>
    <w:rsid w:val="00755242"/>
    <w:rsid w:val="00755418"/>
    <w:rsid w:val="0075546A"/>
    <w:rsid w:val="007554EF"/>
    <w:rsid w:val="00755586"/>
    <w:rsid w:val="007559FB"/>
    <w:rsid w:val="00755D6F"/>
    <w:rsid w:val="00755E27"/>
    <w:rsid w:val="00756072"/>
    <w:rsid w:val="0075619E"/>
    <w:rsid w:val="00756761"/>
    <w:rsid w:val="007569BC"/>
    <w:rsid w:val="00756CC6"/>
    <w:rsid w:val="00756F67"/>
    <w:rsid w:val="00756FD1"/>
    <w:rsid w:val="00756FEB"/>
    <w:rsid w:val="0075705D"/>
    <w:rsid w:val="007572DB"/>
    <w:rsid w:val="0075739D"/>
    <w:rsid w:val="007574F6"/>
    <w:rsid w:val="0075752A"/>
    <w:rsid w:val="0075759D"/>
    <w:rsid w:val="007575B5"/>
    <w:rsid w:val="007577BC"/>
    <w:rsid w:val="00757855"/>
    <w:rsid w:val="00757B47"/>
    <w:rsid w:val="00757CAC"/>
    <w:rsid w:val="00757D7C"/>
    <w:rsid w:val="00757F5B"/>
    <w:rsid w:val="00757F74"/>
    <w:rsid w:val="00757FC2"/>
    <w:rsid w:val="00760043"/>
    <w:rsid w:val="0076036A"/>
    <w:rsid w:val="0076065D"/>
    <w:rsid w:val="007609CF"/>
    <w:rsid w:val="00760A1F"/>
    <w:rsid w:val="00760A91"/>
    <w:rsid w:val="00760AAA"/>
    <w:rsid w:val="00760D38"/>
    <w:rsid w:val="00760F87"/>
    <w:rsid w:val="00760FF9"/>
    <w:rsid w:val="007613CE"/>
    <w:rsid w:val="00761654"/>
    <w:rsid w:val="00761881"/>
    <w:rsid w:val="0076188F"/>
    <w:rsid w:val="007618EA"/>
    <w:rsid w:val="00761A18"/>
    <w:rsid w:val="00761AB9"/>
    <w:rsid w:val="00761B39"/>
    <w:rsid w:val="00761BBA"/>
    <w:rsid w:val="00761CDC"/>
    <w:rsid w:val="00761DB6"/>
    <w:rsid w:val="00761F53"/>
    <w:rsid w:val="00762277"/>
    <w:rsid w:val="0076241A"/>
    <w:rsid w:val="0076241F"/>
    <w:rsid w:val="00762562"/>
    <w:rsid w:val="00762569"/>
    <w:rsid w:val="0076284D"/>
    <w:rsid w:val="00762891"/>
    <w:rsid w:val="007629F0"/>
    <w:rsid w:val="00762BE5"/>
    <w:rsid w:val="00762C16"/>
    <w:rsid w:val="00763091"/>
    <w:rsid w:val="007632A9"/>
    <w:rsid w:val="00763301"/>
    <w:rsid w:val="0076332D"/>
    <w:rsid w:val="00763687"/>
    <w:rsid w:val="00763803"/>
    <w:rsid w:val="007639B5"/>
    <w:rsid w:val="00763F6D"/>
    <w:rsid w:val="007640B4"/>
    <w:rsid w:val="0076416F"/>
    <w:rsid w:val="00764277"/>
    <w:rsid w:val="0076448A"/>
    <w:rsid w:val="00764688"/>
    <w:rsid w:val="00764952"/>
    <w:rsid w:val="00764B42"/>
    <w:rsid w:val="00764DF5"/>
    <w:rsid w:val="00764FD0"/>
    <w:rsid w:val="007652FD"/>
    <w:rsid w:val="007653C0"/>
    <w:rsid w:val="00765476"/>
    <w:rsid w:val="00765578"/>
    <w:rsid w:val="00765695"/>
    <w:rsid w:val="00765B24"/>
    <w:rsid w:val="00765BA4"/>
    <w:rsid w:val="00765D61"/>
    <w:rsid w:val="00765EA7"/>
    <w:rsid w:val="00765F8A"/>
    <w:rsid w:val="00766192"/>
    <w:rsid w:val="00766233"/>
    <w:rsid w:val="007667F0"/>
    <w:rsid w:val="00766922"/>
    <w:rsid w:val="00766993"/>
    <w:rsid w:val="00766F46"/>
    <w:rsid w:val="00767568"/>
    <w:rsid w:val="007676F5"/>
    <w:rsid w:val="00767899"/>
    <w:rsid w:val="00767C42"/>
    <w:rsid w:val="00767F7A"/>
    <w:rsid w:val="00767FD8"/>
    <w:rsid w:val="00770212"/>
    <w:rsid w:val="00770228"/>
    <w:rsid w:val="00770271"/>
    <w:rsid w:val="00770292"/>
    <w:rsid w:val="007702C4"/>
    <w:rsid w:val="00770461"/>
    <w:rsid w:val="007704EB"/>
    <w:rsid w:val="00770766"/>
    <w:rsid w:val="00770B8F"/>
    <w:rsid w:val="00770BC8"/>
    <w:rsid w:val="00770C14"/>
    <w:rsid w:val="00770F1D"/>
    <w:rsid w:val="00771006"/>
    <w:rsid w:val="00771112"/>
    <w:rsid w:val="00771396"/>
    <w:rsid w:val="00771856"/>
    <w:rsid w:val="00771A7B"/>
    <w:rsid w:val="00771B73"/>
    <w:rsid w:val="00771C05"/>
    <w:rsid w:val="00771D49"/>
    <w:rsid w:val="00771EE8"/>
    <w:rsid w:val="0077210D"/>
    <w:rsid w:val="007723AC"/>
    <w:rsid w:val="00772990"/>
    <w:rsid w:val="00772A96"/>
    <w:rsid w:val="00772AFB"/>
    <w:rsid w:val="00772FB3"/>
    <w:rsid w:val="00773064"/>
    <w:rsid w:val="007731FF"/>
    <w:rsid w:val="00773239"/>
    <w:rsid w:val="00773241"/>
    <w:rsid w:val="007734F8"/>
    <w:rsid w:val="00773570"/>
    <w:rsid w:val="0077382A"/>
    <w:rsid w:val="007738C6"/>
    <w:rsid w:val="00773BF9"/>
    <w:rsid w:val="00774078"/>
    <w:rsid w:val="00774114"/>
    <w:rsid w:val="007743C1"/>
    <w:rsid w:val="00774749"/>
    <w:rsid w:val="0077478E"/>
    <w:rsid w:val="00774942"/>
    <w:rsid w:val="00774A62"/>
    <w:rsid w:val="00774C32"/>
    <w:rsid w:val="007753A0"/>
    <w:rsid w:val="00775514"/>
    <w:rsid w:val="00775569"/>
    <w:rsid w:val="00775960"/>
    <w:rsid w:val="00775A6C"/>
    <w:rsid w:val="00775B8D"/>
    <w:rsid w:val="00775BB0"/>
    <w:rsid w:val="00775FF1"/>
    <w:rsid w:val="00776181"/>
    <w:rsid w:val="007762C9"/>
    <w:rsid w:val="00776376"/>
    <w:rsid w:val="0077650C"/>
    <w:rsid w:val="00776765"/>
    <w:rsid w:val="00776BE8"/>
    <w:rsid w:val="0077726B"/>
    <w:rsid w:val="00777327"/>
    <w:rsid w:val="00777375"/>
    <w:rsid w:val="007774FA"/>
    <w:rsid w:val="007775AC"/>
    <w:rsid w:val="00777718"/>
    <w:rsid w:val="0077772A"/>
    <w:rsid w:val="00777730"/>
    <w:rsid w:val="00777A15"/>
    <w:rsid w:val="00777AA2"/>
    <w:rsid w:val="00777BDE"/>
    <w:rsid w:val="00777C76"/>
    <w:rsid w:val="00777D48"/>
    <w:rsid w:val="00777DB3"/>
    <w:rsid w:val="00777EFB"/>
    <w:rsid w:val="00780167"/>
    <w:rsid w:val="007802E4"/>
    <w:rsid w:val="0078032E"/>
    <w:rsid w:val="007804A0"/>
    <w:rsid w:val="007804A6"/>
    <w:rsid w:val="007804AC"/>
    <w:rsid w:val="007804DA"/>
    <w:rsid w:val="00780A4A"/>
    <w:rsid w:val="00780CC6"/>
    <w:rsid w:val="00780F2C"/>
    <w:rsid w:val="00781152"/>
    <w:rsid w:val="0078133C"/>
    <w:rsid w:val="00781384"/>
    <w:rsid w:val="00781A77"/>
    <w:rsid w:val="00781AA1"/>
    <w:rsid w:val="00781DD8"/>
    <w:rsid w:val="00781FE8"/>
    <w:rsid w:val="007820E1"/>
    <w:rsid w:val="0078210F"/>
    <w:rsid w:val="0078230E"/>
    <w:rsid w:val="00782607"/>
    <w:rsid w:val="00782953"/>
    <w:rsid w:val="00782970"/>
    <w:rsid w:val="00782AC5"/>
    <w:rsid w:val="00782DC6"/>
    <w:rsid w:val="00782E8C"/>
    <w:rsid w:val="00782FD1"/>
    <w:rsid w:val="007832A6"/>
    <w:rsid w:val="00783415"/>
    <w:rsid w:val="007837E1"/>
    <w:rsid w:val="00783882"/>
    <w:rsid w:val="00783D1B"/>
    <w:rsid w:val="00783D94"/>
    <w:rsid w:val="00783F19"/>
    <w:rsid w:val="00784045"/>
    <w:rsid w:val="00784194"/>
    <w:rsid w:val="0078445D"/>
    <w:rsid w:val="007846D9"/>
    <w:rsid w:val="00784835"/>
    <w:rsid w:val="00784B89"/>
    <w:rsid w:val="00784BEB"/>
    <w:rsid w:val="00784C04"/>
    <w:rsid w:val="00784F3C"/>
    <w:rsid w:val="00785051"/>
    <w:rsid w:val="007850B9"/>
    <w:rsid w:val="00785208"/>
    <w:rsid w:val="00785217"/>
    <w:rsid w:val="007852BA"/>
    <w:rsid w:val="00785388"/>
    <w:rsid w:val="00785459"/>
    <w:rsid w:val="0078547D"/>
    <w:rsid w:val="00785501"/>
    <w:rsid w:val="00785660"/>
    <w:rsid w:val="0078577B"/>
    <w:rsid w:val="007857B5"/>
    <w:rsid w:val="00785B4B"/>
    <w:rsid w:val="00785C65"/>
    <w:rsid w:val="00785CDC"/>
    <w:rsid w:val="00786266"/>
    <w:rsid w:val="00786363"/>
    <w:rsid w:val="0078693E"/>
    <w:rsid w:val="00786AF7"/>
    <w:rsid w:val="00786B74"/>
    <w:rsid w:val="00786D23"/>
    <w:rsid w:val="00786D64"/>
    <w:rsid w:val="00786F85"/>
    <w:rsid w:val="007870C1"/>
    <w:rsid w:val="007871C9"/>
    <w:rsid w:val="0078723B"/>
    <w:rsid w:val="0078745E"/>
    <w:rsid w:val="0078752A"/>
    <w:rsid w:val="007875FB"/>
    <w:rsid w:val="0078766A"/>
    <w:rsid w:val="0078782D"/>
    <w:rsid w:val="00787848"/>
    <w:rsid w:val="0078787B"/>
    <w:rsid w:val="007878DF"/>
    <w:rsid w:val="00787A5F"/>
    <w:rsid w:val="00787ACC"/>
    <w:rsid w:val="00787AEC"/>
    <w:rsid w:val="00787C4F"/>
    <w:rsid w:val="00787C6A"/>
    <w:rsid w:val="00787DA2"/>
    <w:rsid w:val="00787F97"/>
    <w:rsid w:val="007900F9"/>
    <w:rsid w:val="00790321"/>
    <w:rsid w:val="00790486"/>
    <w:rsid w:val="007904D7"/>
    <w:rsid w:val="0079058A"/>
    <w:rsid w:val="00790706"/>
    <w:rsid w:val="00790727"/>
    <w:rsid w:val="0079078D"/>
    <w:rsid w:val="00790804"/>
    <w:rsid w:val="0079088A"/>
    <w:rsid w:val="0079099E"/>
    <w:rsid w:val="00790AFF"/>
    <w:rsid w:val="00790B4F"/>
    <w:rsid w:val="00790D66"/>
    <w:rsid w:val="00790D99"/>
    <w:rsid w:val="00790F3D"/>
    <w:rsid w:val="007911D6"/>
    <w:rsid w:val="007911FB"/>
    <w:rsid w:val="007912D4"/>
    <w:rsid w:val="00791483"/>
    <w:rsid w:val="00791CD8"/>
    <w:rsid w:val="00791EA4"/>
    <w:rsid w:val="00791F5F"/>
    <w:rsid w:val="00792313"/>
    <w:rsid w:val="00792407"/>
    <w:rsid w:val="00792539"/>
    <w:rsid w:val="0079279B"/>
    <w:rsid w:val="007928E8"/>
    <w:rsid w:val="007928FD"/>
    <w:rsid w:val="007929DE"/>
    <w:rsid w:val="00792A83"/>
    <w:rsid w:val="00792C65"/>
    <w:rsid w:val="00792E48"/>
    <w:rsid w:val="00792F26"/>
    <w:rsid w:val="00793347"/>
    <w:rsid w:val="0079363B"/>
    <w:rsid w:val="007936C6"/>
    <w:rsid w:val="00793913"/>
    <w:rsid w:val="00793952"/>
    <w:rsid w:val="00793B41"/>
    <w:rsid w:val="00793B6B"/>
    <w:rsid w:val="00793BED"/>
    <w:rsid w:val="00793C28"/>
    <w:rsid w:val="00793DC9"/>
    <w:rsid w:val="00793DE9"/>
    <w:rsid w:val="00793FD3"/>
    <w:rsid w:val="00794023"/>
    <w:rsid w:val="0079408D"/>
    <w:rsid w:val="007945E4"/>
    <w:rsid w:val="007949BD"/>
    <w:rsid w:val="00794B1E"/>
    <w:rsid w:val="00794C61"/>
    <w:rsid w:val="00794E93"/>
    <w:rsid w:val="00794F83"/>
    <w:rsid w:val="00794F9D"/>
    <w:rsid w:val="00795003"/>
    <w:rsid w:val="007950C0"/>
    <w:rsid w:val="00795192"/>
    <w:rsid w:val="007951B8"/>
    <w:rsid w:val="00795573"/>
    <w:rsid w:val="00795577"/>
    <w:rsid w:val="00795617"/>
    <w:rsid w:val="0079573A"/>
    <w:rsid w:val="00795A21"/>
    <w:rsid w:val="00795B7A"/>
    <w:rsid w:val="00795CA6"/>
    <w:rsid w:val="00795CA9"/>
    <w:rsid w:val="00795D36"/>
    <w:rsid w:val="007961A0"/>
    <w:rsid w:val="00796446"/>
    <w:rsid w:val="00796493"/>
    <w:rsid w:val="007964FE"/>
    <w:rsid w:val="00796660"/>
    <w:rsid w:val="00796886"/>
    <w:rsid w:val="00796A30"/>
    <w:rsid w:val="0079717F"/>
    <w:rsid w:val="007972D5"/>
    <w:rsid w:val="007972E2"/>
    <w:rsid w:val="007975A2"/>
    <w:rsid w:val="00797645"/>
    <w:rsid w:val="00797648"/>
    <w:rsid w:val="007976F8"/>
    <w:rsid w:val="0079773A"/>
    <w:rsid w:val="007977C2"/>
    <w:rsid w:val="007979A1"/>
    <w:rsid w:val="00797BD7"/>
    <w:rsid w:val="00797BE8"/>
    <w:rsid w:val="00797F00"/>
    <w:rsid w:val="00797F80"/>
    <w:rsid w:val="00797FB8"/>
    <w:rsid w:val="007A00CE"/>
    <w:rsid w:val="007A024C"/>
    <w:rsid w:val="007A0344"/>
    <w:rsid w:val="007A03B0"/>
    <w:rsid w:val="007A056D"/>
    <w:rsid w:val="007A0974"/>
    <w:rsid w:val="007A098E"/>
    <w:rsid w:val="007A0AD6"/>
    <w:rsid w:val="007A0BB6"/>
    <w:rsid w:val="007A0E19"/>
    <w:rsid w:val="007A0FA4"/>
    <w:rsid w:val="007A0FBD"/>
    <w:rsid w:val="007A1157"/>
    <w:rsid w:val="007A11FD"/>
    <w:rsid w:val="007A12E7"/>
    <w:rsid w:val="007A14AA"/>
    <w:rsid w:val="007A15F7"/>
    <w:rsid w:val="007A1B17"/>
    <w:rsid w:val="007A1B4D"/>
    <w:rsid w:val="007A1C60"/>
    <w:rsid w:val="007A20DE"/>
    <w:rsid w:val="007A23AE"/>
    <w:rsid w:val="007A2498"/>
    <w:rsid w:val="007A25BA"/>
    <w:rsid w:val="007A2711"/>
    <w:rsid w:val="007A29A6"/>
    <w:rsid w:val="007A2E54"/>
    <w:rsid w:val="007A30C8"/>
    <w:rsid w:val="007A3173"/>
    <w:rsid w:val="007A31E0"/>
    <w:rsid w:val="007A366D"/>
    <w:rsid w:val="007A37DF"/>
    <w:rsid w:val="007A3A0F"/>
    <w:rsid w:val="007A3B0D"/>
    <w:rsid w:val="007A3E2A"/>
    <w:rsid w:val="007A4078"/>
    <w:rsid w:val="007A40C8"/>
    <w:rsid w:val="007A43F8"/>
    <w:rsid w:val="007A4452"/>
    <w:rsid w:val="007A458D"/>
    <w:rsid w:val="007A4656"/>
    <w:rsid w:val="007A48F2"/>
    <w:rsid w:val="007A4B47"/>
    <w:rsid w:val="007A4BAC"/>
    <w:rsid w:val="007A4C6B"/>
    <w:rsid w:val="007A4EAF"/>
    <w:rsid w:val="007A4F12"/>
    <w:rsid w:val="007A4FB8"/>
    <w:rsid w:val="007A5001"/>
    <w:rsid w:val="007A5560"/>
    <w:rsid w:val="007A5591"/>
    <w:rsid w:val="007A57D5"/>
    <w:rsid w:val="007A5874"/>
    <w:rsid w:val="007A596B"/>
    <w:rsid w:val="007A5AD6"/>
    <w:rsid w:val="007A5DED"/>
    <w:rsid w:val="007A5F09"/>
    <w:rsid w:val="007A6010"/>
    <w:rsid w:val="007A615C"/>
    <w:rsid w:val="007A62B3"/>
    <w:rsid w:val="007A62D7"/>
    <w:rsid w:val="007A64C8"/>
    <w:rsid w:val="007A6555"/>
    <w:rsid w:val="007A6722"/>
    <w:rsid w:val="007A6842"/>
    <w:rsid w:val="007A6A29"/>
    <w:rsid w:val="007A7166"/>
    <w:rsid w:val="007A7215"/>
    <w:rsid w:val="007A73B1"/>
    <w:rsid w:val="007A74C7"/>
    <w:rsid w:val="007A74EA"/>
    <w:rsid w:val="007A76DA"/>
    <w:rsid w:val="007A77B6"/>
    <w:rsid w:val="007A77D3"/>
    <w:rsid w:val="007A77F3"/>
    <w:rsid w:val="007A7847"/>
    <w:rsid w:val="007A7882"/>
    <w:rsid w:val="007A7B27"/>
    <w:rsid w:val="007B0034"/>
    <w:rsid w:val="007B01A0"/>
    <w:rsid w:val="007B04C8"/>
    <w:rsid w:val="007B0621"/>
    <w:rsid w:val="007B07E1"/>
    <w:rsid w:val="007B07FD"/>
    <w:rsid w:val="007B0A01"/>
    <w:rsid w:val="007B0B01"/>
    <w:rsid w:val="007B0E51"/>
    <w:rsid w:val="007B0F1D"/>
    <w:rsid w:val="007B0F87"/>
    <w:rsid w:val="007B0F88"/>
    <w:rsid w:val="007B1036"/>
    <w:rsid w:val="007B1160"/>
    <w:rsid w:val="007B1162"/>
    <w:rsid w:val="007B148F"/>
    <w:rsid w:val="007B1541"/>
    <w:rsid w:val="007B16F7"/>
    <w:rsid w:val="007B176A"/>
    <w:rsid w:val="007B17B1"/>
    <w:rsid w:val="007B19E4"/>
    <w:rsid w:val="007B19F2"/>
    <w:rsid w:val="007B1BE9"/>
    <w:rsid w:val="007B1EFE"/>
    <w:rsid w:val="007B2038"/>
    <w:rsid w:val="007B2079"/>
    <w:rsid w:val="007B2133"/>
    <w:rsid w:val="007B248D"/>
    <w:rsid w:val="007B25CB"/>
    <w:rsid w:val="007B2636"/>
    <w:rsid w:val="007B2994"/>
    <w:rsid w:val="007B2B33"/>
    <w:rsid w:val="007B2CE4"/>
    <w:rsid w:val="007B2EFB"/>
    <w:rsid w:val="007B30BA"/>
    <w:rsid w:val="007B345F"/>
    <w:rsid w:val="007B35F5"/>
    <w:rsid w:val="007B383F"/>
    <w:rsid w:val="007B4045"/>
    <w:rsid w:val="007B4106"/>
    <w:rsid w:val="007B41D7"/>
    <w:rsid w:val="007B4280"/>
    <w:rsid w:val="007B4568"/>
    <w:rsid w:val="007B4678"/>
    <w:rsid w:val="007B4721"/>
    <w:rsid w:val="007B48A3"/>
    <w:rsid w:val="007B49CE"/>
    <w:rsid w:val="007B4A32"/>
    <w:rsid w:val="007B4B0F"/>
    <w:rsid w:val="007B4D0F"/>
    <w:rsid w:val="007B4F7C"/>
    <w:rsid w:val="007B501B"/>
    <w:rsid w:val="007B5115"/>
    <w:rsid w:val="007B5122"/>
    <w:rsid w:val="007B5160"/>
    <w:rsid w:val="007B51EA"/>
    <w:rsid w:val="007B52AC"/>
    <w:rsid w:val="007B53D6"/>
    <w:rsid w:val="007B5614"/>
    <w:rsid w:val="007B56C2"/>
    <w:rsid w:val="007B56DB"/>
    <w:rsid w:val="007B577D"/>
    <w:rsid w:val="007B5C22"/>
    <w:rsid w:val="007B5DF4"/>
    <w:rsid w:val="007B5ECE"/>
    <w:rsid w:val="007B5F9B"/>
    <w:rsid w:val="007B5FAE"/>
    <w:rsid w:val="007B6036"/>
    <w:rsid w:val="007B60C1"/>
    <w:rsid w:val="007B6523"/>
    <w:rsid w:val="007B67DE"/>
    <w:rsid w:val="007B67F0"/>
    <w:rsid w:val="007B698B"/>
    <w:rsid w:val="007B69D9"/>
    <w:rsid w:val="007B6AE3"/>
    <w:rsid w:val="007B6C89"/>
    <w:rsid w:val="007B6D76"/>
    <w:rsid w:val="007B6E1D"/>
    <w:rsid w:val="007B6F61"/>
    <w:rsid w:val="007B6F87"/>
    <w:rsid w:val="007B72BD"/>
    <w:rsid w:val="007B7309"/>
    <w:rsid w:val="007B7881"/>
    <w:rsid w:val="007B788E"/>
    <w:rsid w:val="007B79E2"/>
    <w:rsid w:val="007B7B9B"/>
    <w:rsid w:val="007B7BD5"/>
    <w:rsid w:val="007B7CD0"/>
    <w:rsid w:val="007B7CEE"/>
    <w:rsid w:val="007B7DD0"/>
    <w:rsid w:val="007B7EC7"/>
    <w:rsid w:val="007C0075"/>
    <w:rsid w:val="007C00DA"/>
    <w:rsid w:val="007C02F7"/>
    <w:rsid w:val="007C0402"/>
    <w:rsid w:val="007C0559"/>
    <w:rsid w:val="007C07AD"/>
    <w:rsid w:val="007C0E3A"/>
    <w:rsid w:val="007C0E89"/>
    <w:rsid w:val="007C0F58"/>
    <w:rsid w:val="007C11FF"/>
    <w:rsid w:val="007C1249"/>
    <w:rsid w:val="007C1499"/>
    <w:rsid w:val="007C17B6"/>
    <w:rsid w:val="007C1AAD"/>
    <w:rsid w:val="007C1CB2"/>
    <w:rsid w:val="007C1D1B"/>
    <w:rsid w:val="007C1FC7"/>
    <w:rsid w:val="007C2267"/>
    <w:rsid w:val="007C241B"/>
    <w:rsid w:val="007C262E"/>
    <w:rsid w:val="007C286B"/>
    <w:rsid w:val="007C2870"/>
    <w:rsid w:val="007C2A6E"/>
    <w:rsid w:val="007C2AEB"/>
    <w:rsid w:val="007C2AED"/>
    <w:rsid w:val="007C2B65"/>
    <w:rsid w:val="007C2EB7"/>
    <w:rsid w:val="007C3033"/>
    <w:rsid w:val="007C307D"/>
    <w:rsid w:val="007C3299"/>
    <w:rsid w:val="007C3462"/>
    <w:rsid w:val="007C34BF"/>
    <w:rsid w:val="007C3532"/>
    <w:rsid w:val="007C35D7"/>
    <w:rsid w:val="007C385C"/>
    <w:rsid w:val="007C3A0E"/>
    <w:rsid w:val="007C3A8D"/>
    <w:rsid w:val="007C3D5C"/>
    <w:rsid w:val="007C3F41"/>
    <w:rsid w:val="007C404B"/>
    <w:rsid w:val="007C4158"/>
    <w:rsid w:val="007C46A0"/>
    <w:rsid w:val="007C4709"/>
    <w:rsid w:val="007C4C02"/>
    <w:rsid w:val="007C4D2B"/>
    <w:rsid w:val="007C4D33"/>
    <w:rsid w:val="007C4DD1"/>
    <w:rsid w:val="007C4DDD"/>
    <w:rsid w:val="007C4F84"/>
    <w:rsid w:val="007C533B"/>
    <w:rsid w:val="007C5664"/>
    <w:rsid w:val="007C58D1"/>
    <w:rsid w:val="007C59FC"/>
    <w:rsid w:val="007C5B84"/>
    <w:rsid w:val="007C60FE"/>
    <w:rsid w:val="007C6228"/>
    <w:rsid w:val="007C624E"/>
    <w:rsid w:val="007C62FD"/>
    <w:rsid w:val="007C6532"/>
    <w:rsid w:val="007C6836"/>
    <w:rsid w:val="007C696A"/>
    <w:rsid w:val="007C6B98"/>
    <w:rsid w:val="007C6E55"/>
    <w:rsid w:val="007C6F1C"/>
    <w:rsid w:val="007C704F"/>
    <w:rsid w:val="007C74A9"/>
    <w:rsid w:val="007C764A"/>
    <w:rsid w:val="007C7916"/>
    <w:rsid w:val="007C79B0"/>
    <w:rsid w:val="007C7B54"/>
    <w:rsid w:val="007C7BC0"/>
    <w:rsid w:val="007C7ED7"/>
    <w:rsid w:val="007C7F0A"/>
    <w:rsid w:val="007D006B"/>
    <w:rsid w:val="007D0387"/>
    <w:rsid w:val="007D03BD"/>
    <w:rsid w:val="007D057C"/>
    <w:rsid w:val="007D08B6"/>
    <w:rsid w:val="007D0CBB"/>
    <w:rsid w:val="007D0CCC"/>
    <w:rsid w:val="007D1197"/>
    <w:rsid w:val="007D13ED"/>
    <w:rsid w:val="007D14A3"/>
    <w:rsid w:val="007D14AB"/>
    <w:rsid w:val="007D14FA"/>
    <w:rsid w:val="007D16FA"/>
    <w:rsid w:val="007D1716"/>
    <w:rsid w:val="007D19AA"/>
    <w:rsid w:val="007D1A03"/>
    <w:rsid w:val="007D1B09"/>
    <w:rsid w:val="007D1B70"/>
    <w:rsid w:val="007D1CFB"/>
    <w:rsid w:val="007D21DE"/>
    <w:rsid w:val="007D224F"/>
    <w:rsid w:val="007D2486"/>
    <w:rsid w:val="007D24D1"/>
    <w:rsid w:val="007D255C"/>
    <w:rsid w:val="007D2661"/>
    <w:rsid w:val="007D268F"/>
    <w:rsid w:val="007D2799"/>
    <w:rsid w:val="007D279E"/>
    <w:rsid w:val="007D294D"/>
    <w:rsid w:val="007D2A38"/>
    <w:rsid w:val="007D2AD3"/>
    <w:rsid w:val="007D2B7B"/>
    <w:rsid w:val="007D2BBD"/>
    <w:rsid w:val="007D2D40"/>
    <w:rsid w:val="007D2E7F"/>
    <w:rsid w:val="007D32E9"/>
    <w:rsid w:val="007D3301"/>
    <w:rsid w:val="007D3430"/>
    <w:rsid w:val="007D3497"/>
    <w:rsid w:val="007D36C0"/>
    <w:rsid w:val="007D3717"/>
    <w:rsid w:val="007D371B"/>
    <w:rsid w:val="007D3B26"/>
    <w:rsid w:val="007D3B53"/>
    <w:rsid w:val="007D3BEB"/>
    <w:rsid w:val="007D3D22"/>
    <w:rsid w:val="007D3FD1"/>
    <w:rsid w:val="007D3FE0"/>
    <w:rsid w:val="007D3FEE"/>
    <w:rsid w:val="007D44A3"/>
    <w:rsid w:val="007D467D"/>
    <w:rsid w:val="007D4801"/>
    <w:rsid w:val="007D482F"/>
    <w:rsid w:val="007D4852"/>
    <w:rsid w:val="007D4BC1"/>
    <w:rsid w:val="007D4FE3"/>
    <w:rsid w:val="007D51EA"/>
    <w:rsid w:val="007D531F"/>
    <w:rsid w:val="007D5516"/>
    <w:rsid w:val="007D565A"/>
    <w:rsid w:val="007D56DA"/>
    <w:rsid w:val="007D5B3F"/>
    <w:rsid w:val="007D5B9C"/>
    <w:rsid w:val="007D5C1D"/>
    <w:rsid w:val="007D5C59"/>
    <w:rsid w:val="007D5D21"/>
    <w:rsid w:val="007D5E90"/>
    <w:rsid w:val="007D60ED"/>
    <w:rsid w:val="007D6194"/>
    <w:rsid w:val="007D6259"/>
    <w:rsid w:val="007D65BB"/>
    <w:rsid w:val="007D6BE1"/>
    <w:rsid w:val="007D6C8F"/>
    <w:rsid w:val="007D6D30"/>
    <w:rsid w:val="007D6D42"/>
    <w:rsid w:val="007D6F8F"/>
    <w:rsid w:val="007D70CC"/>
    <w:rsid w:val="007D7339"/>
    <w:rsid w:val="007D74C4"/>
    <w:rsid w:val="007D7535"/>
    <w:rsid w:val="007D761D"/>
    <w:rsid w:val="007D7707"/>
    <w:rsid w:val="007D7938"/>
    <w:rsid w:val="007D7AF3"/>
    <w:rsid w:val="007D7D13"/>
    <w:rsid w:val="007D7F93"/>
    <w:rsid w:val="007D7FBB"/>
    <w:rsid w:val="007DC6F7"/>
    <w:rsid w:val="007E0130"/>
    <w:rsid w:val="007E01CC"/>
    <w:rsid w:val="007E0653"/>
    <w:rsid w:val="007E06ED"/>
    <w:rsid w:val="007E0700"/>
    <w:rsid w:val="007E07AC"/>
    <w:rsid w:val="007E07CF"/>
    <w:rsid w:val="007E08CB"/>
    <w:rsid w:val="007E091F"/>
    <w:rsid w:val="007E0E68"/>
    <w:rsid w:val="007E0F20"/>
    <w:rsid w:val="007E1061"/>
    <w:rsid w:val="007E145C"/>
    <w:rsid w:val="007E171E"/>
    <w:rsid w:val="007E1774"/>
    <w:rsid w:val="007E1AB7"/>
    <w:rsid w:val="007E1B2C"/>
    <w:rsid w:val="007E1BDE"/>
    <w:rsid w:val="007E1DF1"/>
    <w:rsid w:val="007E1E75"/>
    <w:rsid w:val="007E1F94"/>
    <w:rsid w:val="007E2014"/>
    <w:rsid w:val="007E21B0"/>
    <w:rsid w:val="007E24BC"/>
    <w:rsid w:val="007E2545"/>
    <w:rsid w:val="007E260B"/>
    <w:rsid w:val="007E2839"/>
    <w:rsid w:val="007E28D6"/>
    <w:rsid w:val="007E2908"/>
    <w:rsid w:val="007E2920"/>
    <w:rsid w:val="007E2C71"/>
    <w:rsid w:val="007E2D10"/>
    <w:rsid w:val="007E2F24"/>
    <w:rsid w:val="007E2F71"/>
    <w:rsid w:val="007E319A"/>
    <w:rsid w:val="007E3374"/>
    <w:rsid w:val="007E3421"/>
    <w:rsid w:val="007E3492"/>
    <w:rsid w:val="007E3A04"/>
    <w:rsid w:val="007E3DF2"/>
    <w:rsid w:val="007E3E30"/>
    <w:rsid w:val="007E3E6A"/>
    <w:rsid w:val="007E3F49"/>
    <w:rsid w:val="007E413D"/>
    <w:rsid w:val="007E41AF"/>
    <w:rsid w:val="007E4369"/>
    <w:rsid w:val="007E4371"/>
    <w:rsid w:val="007E44C8"/>
    <w:rsid w:val="007E496E"/>
    <w:rsid w:val="007E4A10"/>
    <w:rsid w:val="007E4A9F"/>
    <w:rsid w:val="007E4B5E"/>
    <w:rsid w:val="007E4CAE"/>
    <w:rsid w:val="007E4E36"/>
    <w:rsid w:val="007E4F9F"/>
    <w:rsid w:val="007E4FD9"/>
    <w:rsid w:val="007E50F4"/>
    <w:rsid w:val="007E5392"/>
    <w:rsid w:val="007E57EB"/>
    <w:rsid w:val="007E58D8"/>
    <w:rsid w:val="007E5953"/>
    <w:rsid w:val="007E5B7E"/>
    <w:rsid w:val="007E5D74"/>
    <w:rsid w:val="007E5FA8"/>
    <w:rsid w:val="007E6033"/>
    <w:rsid w:val="007E6160"/>
    <w:rsid w:val="007E6251"/>
    <w:rsid w:val="007E62E2"/>
    <w:rsid w:val="007E6453"/>
    <w:rsid w:val="007E6524"/>
    <w:rsid w:val="007E69A5"/>
    <w:rsid w:val="007E6C67"/>
    <w:rsid w:val="007E6D08"/>
    <w:rsid w:val="007E6D99"/>
    <w:rsid w:val="007E6DD0"/>
    <w:rsid w:val="007E6E4E"/>
    <w:rsid w:val="007E6F6D"/>
    <w:rsid w:val="007E722E"/>
    <w:rsid w:val="007E7246"/>
    <w:rsid w:val="007E7247"/>
    <w:rsid w:val="007E7383"/>
    <w:rsid w:val="007E73C4"/>
    <w:rsid w:val="007E746D"/>
    <w:rsid w:val="007E781F"/>
    <w:rsid w:val="007E7ABF"/>
    <w:rsid w:val="007E7BCC"/>
    <w:rsid w:val="007E7F02"/>
    <w:rsid w:val="007F0108"/>
    <w:rsid w:val="007F01B2"/>
    <w:rsid w:val="007F03CE"/>
    <w:rsid w:val="007F0414"/>
    <w:rsid w:val="007F0548"/>
    <w:rsid w:val="007F05B8"/>
    <w:rsid w:val="007F07A7"/>
    <w:rsid w:val="007F07F1"/>
    <w:rsid w:val="007F0AD6"/>
    <w:rsid w:val="007F0B12"/>
    <w:rsid w:val="007F0C51"/>
    <w:rsid w:val="007F0C8A"/>
    <w:rsid w:val="007F0DE3"/>
    <w:rsid w:val="007F0E2C"/>
    <w:rsid w:val="007F0F68"/>
    <w:rsid w:val="007F0FF0"/>
    <w:rsid w:val="007F102E"/>
    <w:rsid w:val="007F106C"/>
    <w:rsid w:val="007F11C1"/>
    <w:rsid w:val="007F1562"/>
    <w:rsid w:val="007F1899"/>
    <w:rsid w:val="007F1A94"/>
    <w:rsid w:val="007F1AD7"/>
    <w:rsid w:val="007F1B09"/>
    <w:rsid w:val="007F1F73"/>
    <w:rsid w:val="007F206C"/>
    <w:rsid w:val="007F2143"/>
    <w:rsid w:val="007F238D"/>
    <w:rsid w:val="007F2417"/>
    <w:rsid w:val="007F2657"/>
    <w:rsid w:val="007F27CB"/>
    <w:rsid w:val="007F2BB2"/>
    <w:rsid w:val="007F2C82"/>
    <w:rsid w:val="007F2CF7"/>
    <w:rsid w:val="007F2FF0"/>
    <w:rsid w:val="007F32A2"/>
    <w:rsid w:val="007F36A8"/>
    <w:rsid w:val="007F3996"/>
    <w:rsid w:val="007F3DD8"/>
    <w:rsid w:val="007F42C5"/>
    <w:rsid w:val="007F4444"/>
    <w:rsid w:val="007F45A0"/>
    <w:rsid w:val="007F4612"/>
    <w:rsid w:val="007F4B4D"/>
    <w:rsid w:val="007F4B5A"/>
    <w:rsid w:val="007F4C24"/>
    <w:rsid w:val="007F54D5"/>
    <w:rsid w:val="007F556E"/>
    <w:rsid w:val="007F55DB"/>
    <w:rsid w:val="007F5615"/>
    <w:rsid w:val="007F5680"/>
    <w:rsid w:val="007F5871"/>
    <w:rsid w:val="007F5A21"/>
    <w:rsid w:val="007F5C2C"/>
    <w:rsid w:val="007F5CD7"/>
    <w:rsid w:val="007F5DF2"/>
    <w:rsid w:val="007F6097"/>
    <w:rsid w:val="007F6374"/>
    <w:rsid w:val="007F6548"/>
    <w:rsid w:val="007F6711"/>
    <w:rsid w:val="007F677F"/>
    <w:rsid w:val="007F6826"/>
    <w:rsid w:val="007F6A3A"/>
    <w:rsid w:val="007F6AF3"/>
    <w:rsid w:val="007F6E1A"/>
    <w:rsid w:val="007F70D7"/>
    <w:rsid w:val="007F7121"/>
    <w:rsid w:val="007F713D"/>
    <w:rsid w:val="007F72CE"/>
    <w:rsid w:val="007F74AF"/>
    <w:rsid w:val="007F780B"/>
    <w:rsid w:val="007F7B08"/>
    <w:rsid w:val="007F7D32"/>
    <w:rsid w:val="007F7DBD"/>
    <w:rsid w:val="007F7E8B"/>
    <w:rsid w:val="007F7FDE"/>
    <w:rsid w:val="00800145"/>
    <w:rsid w:val="0080021B"/>
    <w:rsid w:val="00800261"/>
    <w:rsid w:val="0080038C"/>
    <w:rsid w:val="0080068E"/>
    <w:rsid w:val="00800A16"/>
    <w:rsid w:val="00800A91"/>
    <w:rsid w:val="00800C8C"/>
    <w:rsid w:val="00800D3D"/>
    <w:rsid w:val="00800F45"/>
    <w:rsid w:val="00801045"/>
    <w:rsid w:val="0080112B"/>
    <w:rsid w:val="008011EA"/>
    <w:rsid w:val="00801223"/>
    <w:rsid w:val="008013CE"/>
    <w:rsid w:val="008014F3"/>
    <w:rsid w:val="0080155A"/>
    <w:rsid w:val="0080156C"/>
    <w:rsid w:val="0080169A"/>
    <w:rsid w:val="00801854"/>
    <w:rsid w:val="008018A7"/>
    <w:rsid w:val="00801910"/>
    <w:rsid w:val="00801B3D"/>
    <w:rsid w:val="00801C6D"/>
    <w:rsid w:val="00801EA9"/>
    <w:rsid w:val="00801F8C"/>
    <w:rsid w:val="008022AA"/>
    <w:rsid w:val="0080240E"/>
    <w:rsid w:val="00802572"/>
    <w:rsid w:val="0080262B"/>
    <w:rsid w:val="008027E3"/>
    <w:rsid w:val="00802F32"/>
    <w:rsid w:val="00802F82"/>
    <w:rsid w:val="0080303A"/>
    <w:rsid w:val="008033FD"/>
    <w:rsid w:val="0080363B"/>
    <w:rsid w:val="0080374B"/>
    <w:rsid w:val="008037B8"/>
    <w:rsid w:val="00803A08"/>
    <w:rsid w:val="00803D28"/>
    <w:rsid w:val="00803DF1"/>
    <w:rsid w:val="00804018"/>
    <w:rsid w:val="0080423B"/>
    <w:rsid w:val="0080463A"/>
    <w:rsid w:val="00804772"/>
    <w:rsid w:val="0080477C"/>
    <w:rsid w:val="0080482B"/>
    <w:rsid w:val="00804858"/>
    <w:rsid w:val="00804ACF"/>
    <w:rsid w:val="00804B35"/>
    <w:rsid w:val="00804BB4"/>
    <w:rsid w:val="00804EFD"/>
    <w:rsid w:val="00805383"/>
    <w:rsid w:val="00805633"/>
    <w:rsid w:val="008056C7"/>
    <w:rsid w:val="00805845"/>
    <w:rsid w:val="00805916"/>
    <w:rsid w:val="00805990"/>
    <w:rsid w:val="008059C4"/>
    <w:rsid w:val="00805A78"/>
    <w:rsid w:val="00805BAF"/>
    <w:rsid w:val="00805C8A"/>
    <w:rsid w:val="00805DC3"/>
    <w:rsid w:val="00805ED9"/>
    <w:rsid w:val="00806113"/>
    <w:rsid w:val="0080613D"/>
    <w:rsid w:val="0080622D"/>
    <w:rsid w:val="008063AC"/>
    <w:rsid w:val="00806452"/>
    <w:rsid w:val="008065F8"/>
    <w:rsid w:val="008066A0"/>
    <w:rsid w:val="00806871"/>
    <w:rsid w:val="008068C3"/>
    <w:rsid w:val="00807015"/>
    <w:rsid w:val="00807032"/>
    <w:rsid w:val="00807186"/>
    <w:rsid w:val="00807544"/>
    <w:rsid w:val="008076E5"/>
    <w:rsid w:val="008077C3"/>
    <w:rsid w:val="008077D2"/>
    <w:rsid w:val="00807A03"/>
    <w:rsid w:val="00807A27"/>
    <w:rsid w:val="00807B26"/>
    <w:rsid w:val="00807B89"/>
    <w:rsid w:val="00807D9A"/>
    <w:rsid w:val="00810064"/>
    <w:rsid w:val="00810084"/>
    <w:rsid w:val="00810186"/>
    <w:rsid w:val="0081026A"/>
    <w:rsid w:val="008104B7"/>
    <w:rsid w:val="0081052E"/>
    <w:rsid w:val="0081053D"/>
    <w:rsid w:val="0081064E"/>
    <w:rsid w:val="008108DF"/>
    <w:rsid w:val="00810914"/>
    <w:rsid w:val="00810AA7"/>
    <w:rsid w:val="00810AF2"/>
    <w:rsid w:val="00810DC2"/>
    <w:rsid w:val="00810DCC"/>
    <w:rsid w:val="00810DE7"/>
    <w:rsid w:val="00810E2A"/>
    <w:rsid w:val="00810E84"/>
    <w:rsid w:val="008111B3"/>
    <w:rsid w:val="0081122C"/>
    <w:rsid w:val="0081123F"/>
    <w:rsid w:val="0081159E"/>
    <w:rsid w:val="008118C7"/>
    <w:rsid w:val="00811A92"/>
    <w:rsid w:val="00811AA8"/>
    <w:rsid w:val="00811C76"/>
    <w:rsid w:val="00811D39"/>
    <w:rsid w:val="00811F75"/>
    <w:rsid w:val="00812026"/>
    <w:rsid w:val="00812119"/>
    <w:rsid w:val="008124A5"/>
    <w:rsid w:val="00812533"/>
    <w:rsid w:val="00812578"/>
    <w:rsid w:val="00812604"/>
    <w:rsid w:val="0081262D"/>
    <w:rsid w:val="008126FF"/>
    <w:rsid w:val="008127BD"/>
    <w:rsid w:val="00812A4F"/>
    <w:rsid w:val="00812D41"/>
    <w:rsid w:val="00812DB7"/>
    <w:rsid w:val="00812DC2"/>
    <w:rsid w:val="00812DF3"/>
    <w:rsid w:val="00812FE6"/>
    <w:rsid w:val="0081319E"/>
    <w:rsid w:val="008131CA"/>
    <w:rsid w:val="00813809"/>
    <w:rsid w:val="00813A54"/>
    <w:rsid w:val="00813A7D"/>
    <w:rsid w:val="00813D7A"/>
    <w:rsid w:val="0081403A"/>
    <w:rsid w:val="00814091"/>
    <w:rsid w:val="008140A5"/>
    <w:rsid w:val="00814238"/>
    <w:rsid w:val="0081431E"/>
    <w:rsid w:val="0081451E"/>
    <w:rsid w:val="008146A1"/>
    <w:rsid w:val="00814775"/>
    <w:rsid w:val="008147D6"/>
    <w:rsid w:val="008147D7"/>
    <w:rsid w:val="0081488F"/>
    <w:rsid w:val="00814B79"/>
    <w:rsid w:val="00814C07"/>
    <w:rsid w:val="00814DF9"/>
    <w:rsid w:val="00814F73"/>
    <w:rsid w:val="008150E8"/>
    <w:rsid w:val="008151A9"/>
    <w:rsid w:val="008151E2"/>
    <w:rsid w:val="0081539B"/>
    <w:rsid w:val="00815512"/>
    <w:rsid w:val="00815715"/>
    <w:rsid w:val="00815A03"/>
    <w:rsid w:val="00815A38"/>
    <w:rsid w:val="00815B7F"/>
    <w:rsid w:val="00815C55"/>
    <w:rsid w:val="00815D66"/>
    <w:rsid w:val="00815FC2"/>
    <w:rsid w:val="00816074"/>
    <w:rsid w:val="0081618C"/>
    <w:rsid w:val="00816190"/>
    <w:rsid w:val="00816395"/>
    <w:rsid w:val="008163FE"/>
    <w:rsid w:val="00816623"/>
    <w:rsid w:val="00816B1F"/>
    <w:rsid w:val="00816BF8"/>
    <w:rsid w:val="00816CE2"/>
    <w:rsid w:val="00816D43"/>
    <w:rsid w:val="00816FCB"/>
    <w:rsid w:val="00817043"/>
    <w:rsid w:val="008172F0"/>
    <w:rsid w:val="008173C1"/>
    <w:rsid w:val="00817625"/>
    <w:rsid w:val="00817631"/>
    <w:rsid w:val="00817663"/>
    <w:rsid w:val="00817A52"/>
    <w:rsid w:val="0082011C"/>
    <w:rsid w:val="008201FD"/>
    <w:rsid w:val="0082034C"/>
    <w:rsid w:val="008203B4"/>
    <w:rsid w:val="008203DF"/>
    <w:rsid w:val="008205D5"/>
    <w:rsid w:val="00820834"/>
    <w:rsid w:val="00820CB3"/>
    <w:rsid w:val="00820D52"/>
    <w:rsid w:val="00820F48"/>
    <w:rsid w:val="008210FB"/>
    <w:rsid w:val="0082118C"/>
    <w:rsid w:val="008212CD"/>
    <w:rsid w:val="008213D8"/>
    <w:rsid w:val="008219BC"/>
    <w:rsid w:val="008219FB"/>
    <w:rsid w:val="00821A63"/>
    <w:rsid w:val="00821A8D"/>
    <w:rsid w:val="00821B69"/>
    <w:rsid w:val="00821C6E"/>
    <w:rsid w:val="00821C75"/>
    <w:rsid w:val="00821E06"/>
    <w:rsid w:val="00821E91"/>
    <w:rsid w:val="00821EDC"/>
    <w:rsid w:val="00822461"/>
    <w:rsid w:val="00822778"/>
    <w:rsid w:val="008227E8"/>
    <w:rsid w:val="00822921"/>
    <w:rsid w:val="00822A22"/>
    <w:rsid w:val="00822DA4"/>
    <w:rsid w:val="00822DB0"/>
    <w:rsid w:val="00822F9B"/>
    <w:rsid w:val="008230ED"/>
    <w:rsid w:val="008233AB"/>
    <w:rsid w:val="008233BC"/>
    <w:rsid w:val="0082356D"/>
    <w:rsid w:val="0082363B"/>
    <w:rsid w:val="008237F8"/>
    <w:rsid w:val="008238C4"/>
    <w:rsid w:val="00823CDE"/>
    <w:rsid w:val="00823D96"/>
    <w:rsid w:val="00823DFE"/>
    <w:rsid w:val="00823EDD"/>
    <w:rsid w:val="00823EEC"/>
    <w:rsid w:val="008240D9"/>
    <w:rsid w:val="00824111"/>
    <w:rsid w:val="00824253"/>
    <w:rsid w:val="0082432C"/>
    <w:rsid w:val="0082441E"/>
    <w:rsid w:val="008245C8"/>
    <w:rsid w:val="00824638"/>
    <w:rsid w:val="00824731"/>
    <w:rsid w:val="00824737"/>
    <w:rsid w:val="008248E2"/>
    <w:rsid w:val="00824A89"/>
    <w:rsid w:val="00824D3D"/>
    <w:rsid w:val="00824F49"/>
    <w:rsid w:val="00824FC9"/>
    <w:rsid w:val="0082511F"/>
    <w:rsid w:val="008253B1"/>
    <w:rsid w:val="008258E9"/>
    <w:rsid w:val="008259D6"/>
    <w:rsid w:val="00825FE8"/>
    <w:rsid w:val="008264A5"/>
    <w:rsid w:val="0082683B"/>
    <w:rsid w:val="008269C6"/>
    <w:rsid w:val="008269CA"/>
    <w:rsid w:val="008269D7"/>
    <w:rsid w:val="008269E9"/>
    <w:rsid w:val="00826C5D"/>
    <w:rsid w:val="00826EF4"/>
    <w:rsid w:val="00826F6F"/>
    <w:rsid w:val="00826F8C"/>
    <w:rsid w:val="00826FEB"/>
    <w:rsid w:val="008272BE"/>
    <w:rsid w:val="0082792B"/>
    <w:rsid w:val="00827DA1"/>
    <w:rsid w:val="00827E42"/>
    <w:rsid w:val="00827FF7"/>
    <w:rsid w:val="008300E8"/>
    <w:rsid w:val="008301C2"/>
    <w:rsid w:val="008303A5"/>
    <w:rsid w:val="008304AC"/>
    <w:rsid w:val="00830581"/>
    <w:rsid w:val="00830636"/>
    <w:rsid w:val="00830A9C"/>
    <w:rsid w:val="00830B81"/>
    <w:rsid w:val="00830C27"/>
    <w:rsid w:val="00830C47"/>
    <w:rsid w:val="00831025"/>
    <w:rsid w:val="00831213"/>
    <w:rsid w:val="00831266"/>
    <w:rsid w:val="00831307"/>
    <w:rsid w:val="00831513"/>
    <w:rsid w:val="0083191E"/>
    <w:rsid w:val="00831A80"/>
    <w:rsid w:val="00831A83"/>
    <w:rsid w:val="00831C40"/>
    <w:rsid w:val="00831CF2"/>
    <w:rsid w:val="00831FE3"/>
    <w:rsid w:val="00832003"/>
    <w:rsid w:val="008322FE"/>
    <w:rsid w:val="00832582"/>
    <w:rsid w:val="0083276E"/>
    <w:rsid w:val="0083277E"/>
    <w:rsid w:val="00832876"/>
    <w:rsid w:val="008328D6"/>
    <w:rsid w:val="008329D5"/>
    <w:rsid w:val="00832BAA"/>
    <w:rsid w:val="00832C7B"/>
    <w:rsid w:val="00832DD1"/>
    <w:rsid w:val="00832FDE"/>
    <w:rsid w:val="00832FE1"/>
    <w:rsid w:val="00832FF3"/>
    <w:rsid w:val="00833168"/>
    <w:rsid w:val="00833367"/>
    <w:rsid w:val="0083353B"/>
    <w:rsid w:val="00833684"/>
    <w:rsid w:val="0083391B"/>
    <w:rsid w:val="00833AA8"/>
    <w:rsid w:val="00833B8B"/>
    <w:rsid w:val="00833B95"/>
    <w:rsid w:val="00833DFD"/>
    <w:rsid w:val="00833E06"/>
    <w:rsid w:val="008340F8"/>
    <w:rsid w:val="008342C5"/>
    <w:rsid w:val="00834344"/>
    <w:rsid w:val="0083465B"/>
    <w:rsid w:val="00834829"/>
    <w:rsid w:val="0083494A"/>
    <w:rsid w:val="0083499F"/>
    <w:rsid w:val="00834BA9"/>
    <w:rsid w:val="00834C66"/>
    <w:rsid w:val="00834D23"/>
    <w:rsid w:val="00834DE4"/>
    <w:rsid w:val="00834E74"/>
    <w:rsid w:val="00834EBA"/>
    <w:rsid w:val="00834F8D"/>
    <w:rsid w:val="00835002"/>
    <w:rsid w:val="00835401"/>
    <w:rsid w:val="00835436"/>
    <w:rsid w:val="0083567A"/>
    <w:rsid w:val="008359A4"/>
    <w:rsid w:val="00835CD6"/>
    <w:rsid w:val="00835E2E"/>
    <w:rsid w:val="00835E58"/>
    <w:rsid w:val="00836381"/>
    <w:rsid w:val="008363C2"/>
    <w:rsid w:val="00836576"/>
    <w:rsid w:val="00836968"/>
    <w:rsid w:val="00836BD1"/>
    <w:rsid w:val="00836D17"/>
    <w:rsid w:val="00836ECC"/>
    <w:rsid w:val="00836EE8"/>
    <w:rsid w:val="00837062"/>
    <w:rsid w:val="00837081"/>
    <w:rsid w:val="00837129"/>
    <w:rsid w:val="0083713F"/>
    <w:rsid w:val="0083720C"/>
    <w:rsid w:val="00837287"/>
    <w:rsid w:val="0083748E"/>
    <w:rsid w:val="00837554"/>
    <w:rsid w:val="008376D6"/>
    <w:rsid w:val="008378BB"/>
    <w:rsid w:val="008379E1"/>
    <w:rsid w:val="00837D49"/>
    <w:rsid w:val="00837EF0"/>
    <w:rsid w:val="00837F41"/>
    <w:rsid w:val="00837F71"/>
    <w:rsid w:val="008400F7"/>
    <w:rsid w:val="0084019A"/>
    <w:rsid w:val="00840254"/>
    <w:rsid w:val="008408DB"/>
    <w:rsid w:val="008409D3"/>
    <w:rsid w:val="00840AF4"/>
    <w:rsid w:val="00840E42"/>
    <w:rsid w:val="00840F02"/>
    <w:rsid w:val="008412C3"/>
    <w:rsid w:val="00841502"/>
    <w:rsid w:val="00841540"/>
    <w:rsid w:val="008415C1"/>
    <w:rsid w:val="008416CD"/>
    <w:rsid w:val="00841942"/>
    <w:rsid w:val="00841BD6"/>
    <w:rsid w:val="00841C9A"/>
    <w:rsid w:val="00841C9E"/>
    <w:rsid w:val="00841D50"/>
    <w:rsid w:val="00841D74"/>
    <w:rsid w:val="00841E07"/>
    <w:rsid w:val="00841F99"/>
    <w:rsid w:val="0084243E"/>
    <w:rsid w:val="0084251F"/>
    <w:rsid w:val="00842779"/>
    <w:rsid w:val="00842BA3"/>
    <w:rsid w:val="00842DAA"/>
    <w:rsid w:val="008430FA"/>
    <w:rsid w:val="008431CF"/>
    <w:rsid w:val="008434B0"/>
    <w:rsid w:val="008435B9"/>
    <w:rsid w:val="008436E6"/>
    <w:rsid w:val="0084379F"/>
    <w:rsid w:val="00843AA0"/>
    <w:rsid w:val="00843ACC"/>
    <w:rsid w:val="00843D12"/>
    <w:rsid w:val="00843EC5"/>
    <w:rsid w:val="00843FB2"/>
    <w:rsid w:val="008442F5"/>
    <w:rsid w:val="008443D7"/>
    <w:rsid w:val="008448A0"/>
    <w:rsid w:val="00844D63"/>
    <w:rsid w:val="0084518C"/>
    <w:rsid w:val="00845228"/>
    <w:rsid w:val="008452A7"/>
    <w:rsid w:val="00845622"/>
    <w:rsid w:val="008457C1"/>
    <w:rsid w:val="00845830"/>
    <w:rsid w:val="00845AF4"/>
    <w:rsid w:val="00846117"/>
    <w:rsid w:val="00846127"/>
    <w:rsid w:val="008461DD"/>
    <w:rsid w:val="008463A6"/>
    <w:rsid w:val="008466C4"/>
    <w:rsid w:val="008466F4"/>
    <w:rsid w:val="008467CB"/>
    <w:rsid w:val="00846DBA"/>
    <w:rsid w:val="00847046"/>
    <w:rsid w:val="0084708C"/>
    <w:rsid w:val="0084715C"/>
    <w:rsid w:val="00847706"/>
    <w:rsid w:val="00847867"/>
    <w:rsid w:val="00847A81"/>
    <w:rsid w:val="00847B48"/>
    <w:rsid w:val="00847C91"/>
    <w:rsid w:val="00847EBF"/>
    <w:rsid w:val="0085007A"/>
    <w:rsid w:val="00850B02"/>
    <w:rsid w:val="00850BAD"/>
    <w:rsid w:val="00850C2F"/>
    <w:rsid w:val="00850C86"/>
    <w:rsid w:val="00850ED1"/>
    <w:rsid w:val="00851594"/>
    <w:rsid w:val="008515AF"/>
    <w:rsid w:val="008516A9"/>
    <w:rsid w:val="008516B2"/>
    <w:rsid w:val="008517C7"/>
    <w:rsid w:val="00851A7C"/>
    <w:rsid w:val="00851CD2"/>
    <w:rsid w:val="00851FC0"/>
    <w:rsid w:val="00852169"/>
    <w:rsid w:val="008522A8"/>
    <w:rsid w:val="00852381"/>
    <w:rsid w:val="008524B5"/>
    <w:rsid w:val="0085268A"/>
    <w:rsid w:val="008527BA"/>
    <w:rsid w:val="008527E5"/>
    <w:rsid w:val="00852813"/>
    <w:rsid w:val="0085291F"/>
    <w:rsid w:val="00852979"/>
    <w:rsid w:val="00852A73"/>
    <w:rsid w:val="00852A7A"/>
    <w:rsid w:val="00852AC0"/>
    <w:rsid w:val="00852EA2"/>
    <w:rsid w:val="008531BD"/>
    <w:rsid w:val="0085323F"/>
    <w:rsid w:val="00853514"/>
    <w:rsid w:val="008536BD"/>
    <w:rsid w:val="0085398C"/>
    <w:rsid w:val="00853C7F"/>
    <w:rsid w:val="00853D57"/>
    <w:rsid w:val="00853D58"/>
    <w:rsid w:val="008540C3"/>
    <w:rsid w:val="0085446C"/>
    <w:rsid w:val="00854511"/>
    <w:rsid w:val="00854671"/>
    <w:rsid w:val="008547F0"/>
    <w:rsid w:val="00854A16"/>
    <w:rsid w:val="00854C56"/>
    <w:rsid w:val="00854D94"/>
    <w:rsid w:val="008556DE"/>
    <w:rsid w:val="00855712"/>
    <w:rsid w:val="008557EA"/>
    <w:rsid w:val="00855E60"/>
    <w:rsid w:val="00856098"/>
    <w:rsid w:val="008560A7"/>
    <w:rsid w:val="008562B8"/>
    <w:rsid w:val="008564D8"/>
    <w:rsid w:val="008567CB"/>
    <w:rsid w:val="0085696B"/>
    <w:rsid w:val="008569F6"/>
    <w:rsid w:val="00856B0C"/>
    <w:rsid w:val="00856B91"/>
    <w:rsid w:val="00856C14"/>
    <w:rsid w:val="00856C86"/>
    <w:rsid w:val="00856C9E"/>
    <w:rsid w:val="00856DD2"/>
    <w:rsid w:val="00856E03"/>
    <w:rsid w:val="00856FAD"/>
    <w:rsid w:val="00857143"/>
    <w:rsid w:val="0085741B"/>
    <w:rsid w:val="008575B0"/>
    <w:rsid w:val="00857673"/>
    <w:rsid w:val="008576D9"/>
    <w:rsid w:val="0085792E"/>
    <w:rsid w:val="00857933"/>
    <w:rsid w:val="0085797C"/>
    <w:rsid w:val="00857BFE"/>
    <w:rsid w:val="00857CAB"/>
    <w:rsid w:val="00857E94"/>
    <w:rsid w:val="00860253"/>
    <w:rsid w:val="0086053C"/>
    <w:rsid w:val="008607E7"/>
    <w:rsid w:val="00860E75"/>
    <w:rsid w:val="00860F1C"/>
    <w:rsid w:val="00861055"/>
    <w:rsid w:val="0086108C"/>
    <w:rsid w:val="008611D7"/>
    <w:rsid w:val="008612EF"/>
    <w:rsid w:val="0086186F"/>
    <w:rsid w:val="00861AC5"/>
    <w:rsid w:val="00861AF7"/>
    <w:rsid w:val="00861D72"/>
    <w:rsid w:val="00861D7D"/>
    <w:rsid w:val="00861D85"/>
    <w:rsid w:val="00861E76"/>
    <w:rsid w:val="00861F9D"/>
    <w:rsid w:val="008621ED"/>
    <w:rsid w:val="008621F6"/>
    <w:rsid w:val="0086248E"/>
    <w:rsid w:val="00862510"/>
    <w:rsid w:val="00862615"/>
    <w:rsid w:val="00862681"/>
    <w:rsid w:val="00862C5F"/>
    <w:rsid w:val="00862E52"/>
    <w:rsid w:val="00862EDA"/>
    <w:rsid w:val="00862F1A"/>
    <w:rsid w:val="00862F21"/>
    <w:rsid w:val="00862F84"/>
    <w:rsid w:val="00862FE1"/>
    <w:rsid w:val="0086332B"/>
    <w:rsid w:val="008633FC"/>
    <w:rsid w:val="00863473"/>
    <w:rsid w:val="008638A5"/>
    <w:rsid w:val="00863985"/>
    <w:rsid w:val="008639AC"/>
    <w:rsid w:val="00863F4E"/>
    <w:rsid w:val="00863F54"/>
    <w:rsid w:val="00863FED"/>
    <w:rsid w:val="00864048"/>
    <w:rsid w:val="0086450A"/>
    <w:rsid w:val="00864949"/>
    <w:rsid w:val="00864A62"/>
    <w:rsid w:val="00864C48"/>
    <w:rsid w:val="00864EF6"/>
    <w:rsid w:val="00864F66"/>
    <w:rsid w:val="008651EA"/>
    <w:rsid w:val="00865354"/>
    <w:rsid w:val="008654C5"/>
    <w:rsid w:val="00865526"/>
    <w:rsid w:val="00865536"/>
    <w:rsid w:val="008656EF"/>
    <w:rsid w:val="00865B55"/>
    <w:rsid w:val="00865BD8"/>
    <w:rsid w:val="00865FB6"/>
    <w:rsid w:val="00866042"/>
    <w:rsid w:val="008660DC"/>
    <w:rsid w:val="008660F3"/>
    <w:rsid w:val="008663D6"/>
    <w:rsid w:val="00866544"/>
    <w:rsid w:val="008668F6"/>
    <w:rsid w:val="00866B14"/>
    <w:rsid w:val="00866E48"/>
    <w:rsid w:val="0086719C"/>
    <w:rsid w:val="008671BA"/>
    <w:rsid w:val="008671E7"/>
    <w:rsid w:val="008672C8"/>
    <w:rsid w:val="00867375"/>
    <w:rsid w:val="008673E3"/>
    <w:rsid w:val="0086741F"/>
    <w:rsid w:val="008677EB"/>
    <w:rsid w:val="008678A1"/>
    <w:rsid w:val="008678BD"/>
    <w:rsid w:val="0086792B"/>
    <w:rsid w:val="0086792E"/>
    <w:rsid w:val="00867BE9"/>
    <w:rsid w:val="00867C72"/>
    <w:rsid w:val="00867C75"/>
    <w:rsid w:val="00867DE0"/>
    <w:rsid w:val="008700AB"/>
    <w:rsid w:val="0087030C"/>
    <w:rsid w:val="00870536"/>
    <w:rsid w:val="0087054F"/>
    <w:rsid w:val="008706C4"/>
    <w:rsid w:val="00870772"/>
    <w:rsid w:val="008707A7"/>
    <w:rsid w:val="00870A9F"/>
    <w:rsid w:val="00870CC9"/>
    <w:rsid w:val="00870E1C"/>
    <w:rsid w:val="00870EDA"/>
    <w:rsid w:val="00870F3D"/>
    <w:rsid w:val="008711EA"/>
    <w:rsid w:val="008712EA"/>
    <w:rsid w:val="0087144E"/>
    <w:rsid w:val="008714AA"/>
    <w:rsid w:val="008715BF"/>
    <w:rsid w:val="008719F7"/>
    <w:rsid w:val="00871BE8"/>
    <w:rsid w:val="00871CF8"/>
    <w:rsid w:val="00871D9E"/>
    <w:rsid w:val="00871DDF"/>
    <w:rsid w:val="00871F2B"/>
    <w:rsid w:val="00871FD2"/>
    <w:rsid w:val="00872055"/>
    <w:rsid w:val="00872174"/>
    <w:rsid w:val="00872323"/>
    <w:rsid w:val="00872349"/>
    <w:rsid w:val="00872359"/>
    <w:rsid w:val="00872633"/>
    <w:rsid w:val="00872945"/>
    <w:rsid w:val="00872C8B"/>
    <w:rsid w:val="00872CA6"/>
    <w:rsid w:val="00872DF4"/>
    <w:rsid w:val="008731CE"/>
    <w:rsid w:val="008733AF"/>
    <w:rsid w:val="008733B4"/>
    <w:rsid w:val="008733BD"/>
    <w:rsid w:val="00873483"/>
    <w:rsid w:val="0087357A"/>
    <w:rsid w:val="008735F7"/>
    <w:rsid w:val="00873672"/>
    <w:rsid w:val="00873894"/>
    <w:rsid w:val="00873BB7"/>
    <w:rsid w:val="00873DD7"/>
    <w:rsid w:val="00873EE0"/>
    <w:rsid w:val="00873FDC"/>
    <w:rsid w:val="0087425A"/>
    <w:rsid w:val="008744E3"/>
    <w:rsid w:val="008746FF"/>
    <w:rsid w:val="00874756"/>
    <w:rsid w:val="00874A60"/>
    <w:rsid w:val="00874A6E"/>
    <w:rsid w:val="00874F10"/>
    <w:rsid w:val="00875193"/>
    <w:rsid w:val="00875924"/>
    <w:rsid w:val="00875CE2"/>
    <w:rsid w:val="00875D2C"/>
    <w:rsid w:val="008761F5"/>
    <w:rsid w:val="008764F4"/>
    <w:rsid w:val="008766E6"/>
    <w:rsid w:val="00876A3C"/>
    <w:rsid w:val="00876FB8"/>
    <w:rsid w:val="00877011"/>
    <w:rsid w:val="008770E7"/>
    <w:rsid w:val="00877197"/>
    <w:rsid w:val="00877275"/>
    <w:rsid w:val="008776BF"/>
    <w:rsid w:val="0087780C"/>
    <w:rsid w:val="00877946"/>
    <w:rsid w:val="00877999"/>
    <w:rsid w:val="00877B6D"/>
    <w:rsid w:val="00877D29"/>
    <w:rsid w:val="00877F90"/>
    <w:rsid w:val="00877FE1"/>
    <w:rsid w:val="008801D7"/>
    <w:rsid w:val="0088074D"/>
    <w:rsid w:val="00880A8F"/>
    <w:rsid w:val="00880AC3"/>
    <w:rsid w:val="00880BC0"/>
    <w:rsid w:val="00880E02"/>
    <w:rsid w:val="00880EB4"/>
    <w:rsid w:val="00881109"/>
    <w:rsid w:val="008811E2"/>
    <w:rsid w:val="008815DB"/>
    <w:rsid w:val="0088162D"/>
    <w:rsid w:val="00881800"/>
    <w:rsid w:val="008819F2"/>
    <w:rsid w:val="00881A14"/>
    <w:rsid w:val="00881FFD"/>
    <w:rsid w:val="00882592"/>
    <w:rsid w:val="008825EB"/>
    <w:rsid w:val="0088266A"/>
    <w:rsid w:val="008826C9"/>
    <w:rsid w:val="00882886"/>
    <w:rsid w:val="00882DCB"/>
    <w:rsid w:val="00883003"/>
    <w:rsid w:val="008832A1"/>
    <w:rsid w:val="00883340"/>
    <w:rsid w:val="008834D3"/>
    <w:rsid w:val="00883549"/>
    <w:rsid w:val="00883554"/>
    <w:rsid w:val="00883726"/>
    <w:rsid w:val="00883A0C"/>
    <w:rsid w:val="00883B62"/>
    <w:rsid w:val="00883BF7"/>
    <w:rsid w:val="00883DA2"/>
    <w:rsid w:val="00883DBB"/>
    <w:rsid w:val="00884111"/>
    <w:rsid w:val="00884126"/>
    <w:rsid w:val="0088427B"/>
    <w:rsid w:val="0088432C"/>
    <w:rsid w:val="00884419"/>
    <w:rsid w:val="00884580"/>
    <w:rsid w:val="00884627"/>
    <w:rsid w:val="008848AD"/>
    <w:rsid w:val="00884AFE"/>
    <w:rsid w:val="00884DF9"/>
    <w:rsid w:val="00884F31"/>
    <w:rsid w:val="00884F57"/>
    <w:rsid w:val="00884FCF"/>
    <w:rsid w:val="00885004"/>
    <w:rsid w:val="00885073"/>
    <w:rsid w:val="008852D9"/>
    <w:rsid w:val="00885499"/>
    <w:rsid w:val="008857ED"/>
    <w:rsid w:val="00885929"/>
    <w:rsid w:val="00885959"/>
    <w:rsid w:val="00885980"/>
    <w:rsid w:val="00885A14"/>
    <w:rsid w:val="00885A8B"/>
    <w:rsid w:val="00885AA1"/>
    <w:rsid w:val="00885B03"/>
    <w:rsid w:val="00885B21"/>
    <w:rsid w:val="00885BC2"/>
    <w:rsid w:val="00885CA2"/>
    <w:rsid w:val="00885CEC"/>
    <w:rsid w:val="00885DB3"/>
    <w:rsid w:val="00885E5E"/>
    <w:rsid w:val="008862FF"/>
    <w:rsid w:val="00886497"/>
    <w:rsid w:val="008868CF"/>
    <w:rsid w:val="00886BD9"/>
    <w:rsid w:val="00886BEB"/>
    <w:rsid w:val="00886DD2"/>
    <w:rsid w:val="00886FDE"/>
    <w:rsid w:val="008870EC"/>
    <w:rsid w:val="00887186"/>
    <w:rsid w:val="008871BD"/>
    <w:rsid w:val="00887315"/>
    <w:rsid w:val="00887761"/>
    <w:rsid w:val="0088783F"/>
    <w:rsid w:val="00887A6E"/>
    <w:rsid w:val="00887B64"/>
    <w:rsid w:val="00887E05"/>
    <w:rsid w:val="008901DC"/>
    <w:rsid w:val="008902C7"/>
    <w:rsid w:val="00890326"/>
    <w:rsid w:val="008903EB"/>
    <w:rsid w:val="008904C1"/>
    <w:rsid w:val="00890A64"/>
    <w:rsid w:val="00890B50"/>
    <w:rsid w:val="00890C84"/>
    <w:rsid w:val="00890D6D"/>
    <w:rsid w:val="008910BA"/>
    <w:rsid w:val="008912AA"/>
    <w:rsid w:val="0089158C"/>
    <w:rsid w:val="0089180C"/>
    <w:rsid w:val="00891935"/>
    <w:rsid w:val="00891A91"/>
    <w:rsid w:val="00891C49"/>
    <w:rsid w:val="00891F11"/>
    <w:rsid w:val="00892000"/>
    <w:rsid w:val="00892032"/>
    <w:rsid w:val="008922B0"/>
    <w:rsid w:val="0089230D"/>
    <w:rsid w:val="008925EE"/>
    <w:rsid w:val="008927FE"/>
    <w:rsid w:val="008928C1"/>
    <w:rsid w:val="00892A47"/>
    <w:rsid w:val="00892AE2"/>
    <w:rsid w:val="00892BD5"/>
    <w:rsid w:val="00892CC6"/>
    <w:rsid w:val="00892CC9"/>
    <w:rsid w:val="008931E9"/>
    <w:rsid w:val="008932E6"/>
    <w:rsid w:val="008934C6"/>
    <w:rsid w:val="008935DF"/>
    <w:rsid w:val="00893862"/>
    <w:rsid w:val="00893CEB"/>
    <w:rsid w:val="00893D25"/>
    <w:rsid w:val="00893D7E"/>
    <w:rsid w:val="00893EE8"/>
    <w:rsid w:val="00894162"/>
    <w:rsid w:val="008941A2"/>
    <w:rsid w:val="00894760"/>
    <w:rsid w:val="00894C25"/>
    <w:rsid w:val="00894DA8"/>
    <w:rsid w:val="00894E63"/>
    <w:rsid w:val="008950CC"/>
    <w:rsid w:val="00895169"/>
    <w:rsid w:val="00895475"/>
    <w:rsid w:val="00895661"/>
    <w:rsid w:val="008956D3"/>
    <w:rsid w:val="008958E8"/>
    <w:rsid w:val="00895A11"/>
    <w:rsid w:val="00895BDD"/>
    <w:rsid w:val="00895DB8"/>
    <w:rsid w:val="00895F0D"/>
    <w:rsid w:val="00895FD1"/>
    <w:rsid w:val="008960A0"/>
    <w:rsid w:val="008965B2"/>
    <w:rsid w:val="00896949"/>
    <w:rsid w:val="008969CC"/>
    <w:rsid w:val="00896B5A"/>
    <w:rsid w:val="00896C64"/>
    <w:rsid w:val="00896D21"/>
    <w:rsid w:val="00896F47"/>
    <w:rsid w:val="008973FE"/>
    <w:rsid w:val="0089752D"/>
    <w:rsid w:val="00897877"/>
    <w:rsid w:val="0089791C"/>
    <w:rsid w:val="00897BA4"/>
    <w:rsid w:val="00897CC7"/>
    <w:rsid w:val="00897EF3"/>
    <w:rsid w:val="00897FCB"/>
    <w:rsid w:val="008A020F"/>
    <w:rsid w:val="008A0403"/>
    <w:rsid w:val="008A08AA"/>
    <w:rsid w:val="008A0958"/>
    <w:rsid w:val="008A0CDF"/>
    <w:rsid w:val="008A0D1F"/>
    <w:rsid w:val="008A1285"/>
    <w:rsid w:val="008A1455"/>
    <w:rsid w:val="008A151F"/>
    <w:rsid w:val="008A165A"/>
    <w:rsid w:val="008A1748"/>
    <w:rsid w:val="008A17CB"/>
    <w:rsid w:val="008A193D"/>
    <w:rsid w:val="008A1C11"/>
    <w:rsid w:val="008A1E15"/>
    <w:rsid w:val="008A221C"/>
    <w:rsid w:val="008A227B"/>
    <w:rsid w:val="008A231A"/>
    <w:rsid w:val="008A268C"/>
    <w:rsid w:val="008A2729"/>
    <w:rsid w:val="008A2884"/>
    <w:rsid w:val="008A29A1"/>
    <w:rsid w:val="008A2B96"/>
    <w:rsid w:val="008A2DDD"/>
    <w:rsid w:val="008A2E29"/>
    <w:rsid w:val="008A2EC2"/>
    <w:rsid w:val="008A30DD"/>
    <w:rsid w:val="008A316E"/>
    <w:rsid w:val="008A3183"/>
    <w:rsid w:val="008A31F8"/>
    <w:rsid w:val="008A32C8"/>
    <w:rsid w:val="008A32F3"/>
    <w:rsid w:val="008A3426"/>
    <w:rsid w:val="008A389C"/>
    <w:rsid w:val="008A39AF"/>
    <w:rsid w:val="008A39B2"/>
    <w:rsid w:val="008A39E1"/>
    <w:rsid w:val="008A3A01"/>
    <w:rsid w:val="008A3C86"/>
    <w:rsid w:val="008A3CB5"/>
    <w:rsid w:val="008A3DD6"/>
    <w:rsid w:val="008A3E78"/>
    <w:rsid w:val="008A3EB5"/>
    <w:rsid w:val="008A3F8F"/>
    <w:rsid w:val="008A3FB8"/>
    <w:rsid w:val="008A3FD9"/>
    <w:rsid w:val="008A4041"/>
    <w:rsid w:val="008A40CD"/>
    <w:rsid w:val="008A4461"/>
    <w:rsid w:val="008A4492"/>
    <w:rsid w:val="008A4585"/>
    <w:rsid w:val="008A4740"/>
    <w:rsid w:val="008A480F"/>
    <w:rsid w:val="008A4A2C"/>
    <w:rsid w:val="008A4B49"/>
    <w:rsid w:val="008A4CE6"/>
    <w:rsid w:val="008A4E1D"/>
    <w:rsid w:val="008A5111"/>
    <w:rsid w:val="008A5389"/>
    <w:rsid w:val="008A540C"/>
    <w:rsid w:val="008A55A6"/>
    <w:rsid w:val="008A561E"/>
    <w:rsid w:val="008A597F"/>
    <w:rsid w:val="008A5AAA"/>
    <w:rsid w:val="008A5FB3"/>
    <w:rsid w:val="008A6323"/>
    <w:rsid w:val="008A653C"/>
    <w:rsid w:val="008A6896"/>
    <w:rsid w:val="008A6949"/>
    <w:rsid w:val="008A6C49"/>
    <w:rsid w:val="008A6C9F"/>
    <w:rsid w:val="008A6CA0"/>
    <w:rsid w:val="008A6CC9"/>
    <w:rsid w:val="008A6F1B"/>
    <w:rsid w:val="008A72AC"/>
    <w:rsid w:val="008A7555"/>
    <w:rsid w:val="008A772E"/>
    <w:rsid w:val="008A7870"/>
    <w:rsid w:val="008A7A98"/>
    <w:rsid w:val="008A7B72"/>
    <w:rsid w:val="008A7DD8"/>
    <w:rsid w:val="008A7E60"/>
    <w:rsid w:val="008A7F79"/>
    <w:rsid w:val="008B0284"/>
    <w:rsid w:val="008B063A"/>
    <w:rsid w:val="008B06AE"/>
    <w:rsid w:val="008B0725"/>
    <w:rsid w:val="008B0753"/>
    <w:rsid w:val="008B0865"/>
    <w:rsid w:val="008B08B7"/>
    <w:rsid w:val="008B0A67"/>
    <w:rsid w:val="008B0B3F"/>
    <w:rsid w:val="008B0BFC"/>
    <w:rsid w:val="008B0D61"/>
    <w:rsid w:val="008B11C8"/>
    <w:rsid w:val="008B11F1"/>
    <w:rsid w:val="008B1582"/>
    <w:rsid w:val="008B162F"/>
    <w:rsid w:val="008B1681"/>
    <w:rsid w:val="008B1A88"/>
    <w:rsid w:val="008B1A94"/>
    <w:rsid w:val="008B1A9D"/>
    <w:rsid w:val="008B1B2F"/>
    <w:rsid w:val="008B1B73"/>
    <w:rsid w:val="008B20C4"/>
    <w:rsid w:val="008B2106"/>
    <w:rsid w:val="008B218C"/>
    <w:rsid w:val="008B2307"/>
    <w:rsid w:val="008B234A"/>
    <w:rsid w:val="008B2568"/>
    <w:rsid w:val="008B271E"/>
    <w:rsid w:val="008B2752"/>
    <w:rsid w:val="008B28C2"/>
    <w:rsid w:val="008B2A39"/>
    <w:rsid w:val="008B2C2D"/>
    <w:rsid w:val="008B2C4C"/>
    <w:rsid w:val="008B2C5B"/>
    <w:rsid w:val="008B2D31"/>
    <w:rsid w:val="008B2D49"/>
    <w:rsid w:val="008B2E84"/>
    <w:rsid w:val="008B2F8B"/>
    <w:rsid w:val="008B2FBA"/>
    <w:rsid w:val="008B325C"/>
    <w:rsid w:val="008B33AD"/>
    <w:rsid w:val="008B33D5"/>
    <w:rsid w:val="008B34C8"/>
    <w:rsid w:val="008B3627"/>
    <w:rsid w:val="008B3845"/>
    <w:rsid w:val="008B3BB6"/>
    <w:rsid w:val="008B3D37"/>
    <w:rsid w:val="008B3E10"/>
    <w:rsid w:val="008B3E94"/>
    <w:rsid w:val="008B3F50"/>
    <w:rsid w:val="008B3FAC"/>
    <w:rsid w:val="008B4112"/>
    <w:rsid w:val="008B4291"/>
    <w:rsid w:val="008B458B"/>
    <w:rsid w:val="008B45C4"/>
    <w:rsid w:val="008B46D7"/>
    <w:rsid w:val="008B477F"/>
    <w:rsid w:val="008B496B"/>
    <w:rsid w:val="008B498C"/>
    <w:rsid w:val="008B5197"/>
    <w:rsid w:val="008B51F6"/>
    <w:rsid w:val="008B5208"/>
    <w:rsid w:val="008B559B"/>
    <w:rsid w:val="008B559E"/>
    <w:rsid w:val="008B566F"/>
    <w:rsid w:val="008B5842"/>
    <w:rsid w:val="008B58ED"/>
    <w:rsid w:val="008B5BC5"/>
    <w:rsid w:val="008B5C07"/>
    <w:rsid w:val="008B5D2F"/>
    <w:rsid w:val="008B5E83"/>
    <w:rsid w:val="008B65C9"/>
    <w:rsid w:val="008B66F5"/>
    <w:rsid w:val="008B6782"/>
    <w:rsid w:val="008B6A41"/>
    <w:rsid w:val="008B6B0D"/>
    <w:rsid w:val="008B6B79"/>
    <w:rsid w:val="008B6CFE"/>
    <w:rsid w:val="008B6D19"/>
    <w:rsid w:val="008B6D4C"/>
    <w:rsid w:val="008B6E02"/>
    <w:rsid w:val="008B6EBE"/>
    <w:rsid w:val="008B6EDC"/>
    <w:rsid w:val="008B6F3F"/>
    <w:rsid w:val="008B7202"/>
    <w:rsid w:val="008B74F9"/>
    <w:rsid w:val="008B7599"/>
    <w:rsid w:val="008B77C0"/>
    <w:rsid w:val="008B7D11"/>
    <w:rsid w:val="008B7D2E"/>
    <w:rsid w:val="008B7E96"/>
    <w:rsid w:val="008C026C"/>
    <w:rsid w:val="008C0440"/>
    <w:rsid w:val="008C05CE"/>
    <w:rsid w:val="008C05F3"/>
    <w:rsid w:val="008C09E0"/>
    <w:rsid w:val="008C0B3E"/>
    <w:rsid w:val="008C0B4C"/>
    <w:rsid w:val="008C0C06"/>
    <w:rsid w:val="008C0E4D"/>
    <w:rsid w:val="008C0F47"/>
    <w:rsid w:val="008C1145"/>
    <w:rsid w:val="008C124E"/>
    <w:rsid w:val="008C12C7"/>
    <w:rsid w:val="008C1361"/>
    <w:rsid w:val="008C13C8"/>
    <w:rsid w:val="008C14CA"/>
    <w:rsid w:val="008C15D2"/>
    <w:rsid w:val="008C17C1"/>
    <w:rsid w:val="008C1847"/>
    <w:rsid w:val="008C1949"/>
    <w:rsid w:val="008C1C8F"/>
    <w:rsid w:val="008C1D83"/>
    <w:rsid w:val="008C1E06"/>
    <w:rsid w:val="008C1E18"/>
    <w:rsid w:val="008C1EA3"/>
    <w:rsid w:val="008C27D2"/>
    <w:rsid w:val="008C2996"/>
    <w:rsid w:val="008C2A84"/>
    <w:rsid w:val="008C2A9F"/>
    <w:rsid w:val="008C2B5D"/>
    <w:rsid w:val="008C2B93"/>
    <w:rsid w:val="008C2C2F"/>
    <w:rsid w:val="008C2CC2"/>
    <w:rsid w:val="008C2EEF"/>
    <w:rsid w:val="008C3143"/>
    <w:rsid w:val="008C320D"/>
    <w:rsid w:val="008C3377"/>
    <w:rsid w:val="008C35C7"/>
    <w:rsid w:val="008C35CF"/>
    <w:rsid w:val="008C383C"/>
    <w:rsid w:val="008C39C6"/>
    <w:rsid w:val="008C3A3A"/>
    <w:rsid w:val="008C3B3F"/>
    <w:rsid w:val="008C3D02"/>
    <w:rsid w:val="008C409C"/>
    <w:rsid w:val="008C4209"/>
    <w:rsid w:val="008C427C"/>
    <w:rsid w:val="008C44F2"/>
    <w:rsid w:val="008C456C"/>
    <w:rsid w:val="008C458F"/>
    <w:rsid w:val="008C493D"/>
    <w:rsid w:val="008C4A14"/>
    <w:rsid w:val="008C4D91"/>
    <w:rsid w:val="008C5094"/>
    <w:rsid w:val="008C52C5"/>
    <w:rsid w:val="008C53BC"/>
    <w:rsid w:val="008C544C"/>
    <w:rsid w:val="008C577A"/>
    <w:rsid w:val="008C580A"/>
    <w:rsid w:val="008C58C7"/>
    <w:rsid w:val="008C5C17"/>
    <w:rsid w:val="008C6017"/>
    <w:rsid w:val="008C6145"/>
    <w:rsid w:val="008C62AA"/>
    <w:rsid w:val="008C64D3"/>
    <w:rsid w:val="008C66FB"/>
    <w:rsid w:val="008C6880"/>
    <w:rsid w:val="008C6C90"/>
    <w:rsid w:val="008C6D02"/>
    <w:rsid w:val="008C6DEC"/>
    <w:rsid w:val="008C6F7A"/>
    <w:rsid w:val="008C70C8"/>
    <w:rsid w:val="008C7163"/>
    <w:rsid w:val="008C71CE"/>
    <w:rsid w:val="008C72FB"/>
    <w:rsid w:val="008C733B"/>
    <w:rsid w:val="008C744E"/>
    <w:rsid w:val="008C7471"/>
    <w:rsid w:val="008C7537"/>
    <w:rsid w:val="008C763F"/>
    <w:rsid w:val="008C7826"/>
    <w:rsid w:val="008C79EA"/>
    <w:rsid w:val="008C7D5A"/>
    <w:rsid w:val="008C7F54"/>
    <w:rsid w:val="008D002B"/>
    <w:rsid w:val="008D00FB"/>
    <w:rsid w:val="008D0275"/>
    <w:rsid w:val="008D057E"/>
    <w:rsid w:val="008D0730"/>
    <w:rsid w:val="008D0944"/>
    <w:rsid w:val="008D0969"/>
    <w:rsid w:val="008D09E1"/>
    <w:rsid w:val="008D0C75"/>
    <w:rsid w:val="008D0CC6"/>
    <w:rsid w:val="008D0DCD"/>
    <w:rsid w:val="008D0DFD"/>
    <w:rsid w:val="008D0E1A"/>
    <w:rsid w:val="008D0F85"/>
    <w:rsid w:val="008D1266"/>
    <w:rsid w:val="008D13C6"/>
    <w:rsid w:val="008D142B"/>
    <w:rsid w:val="008D1514"/>
    <w:rsid w:val="008D15E8"/>
    <w:rsid w:val="008D1721"/>
    <w:rsid w:val="008D19EB"/>
    <w:rsid w:val="008D1ACB"/>
    <w:rsid w:val="008D1B61"/>
    <w:rsid w:val="008D1CDA"/>
    <w:rsid w:val="008D1E57"/>
    <w:rsid w:val="008D1F62"/>
    <w:rsid w:val="008D20E8"/>
    <w:rsid w:val="008D2141"/>
    <w:rsid w:val="008D21E0"/>
    <w:rsid w:val="008D259C"/>
    <w:rsid w:val="008D29E8"/>
    <w:rsid w:val="008D2C6D"/>
    <w:rsid w:val="008D2DD4"/>
    <w:rsid w:val="008D2DF5"/>
    <w:rsid w:val="008D2FA1"/>
    <w:rsid w:val="008D2FF9"/>
    <w:rsid w:val="008D3125"/>
    <w:rsid w:val="008D3156"/>
    <w:rsid w:val="008D3165"/>
    <w:rsid w:val="008D333D"/>
    <w:rsid w:val="008D3749"/>
    <w:rsid w:val="008D39C2"/>
    <w:rsid w:val="008D3E15"/>
    <w:rsid w:val="008D3E6C"/>
    <w:rsid w:val="008D3FD8"/>
    <w:rsid w:val="008D40BE"/>
    <w:rsid w:val="008D44F2"/>
    <w:rsid w:val="008D45CA"/>
    <w:rsid w:val="008D4612"/>
    <w:rsid w:val="008D4C8B"/>
    <w:rsid w:val="008D4F51"/>
    <w:rsid w:val="008D5032"/>
    <w:rsid w:val="008D505B"/>
    <w:rsid w:val="008D5266"/>
    <w:rsid w:val="008D540F"/>
    <w:rsid w:val="008D5523"/>
    <w:rsid w:val="008D556F"/>
    <w:rsid w:val="008D55E0"/>
    <w:rsid w:val="008D5602"/>
    <w:rsid w:val="008D58FC"/>
    <w:rsid w:val="008D5983"/>
    <w:rsid w:val="008D5A3B"/>
    <w:rsid w:val="008D5CB1"/>
    <w:rsid w:val="008D5D33"/>
    <w:rsid w:val="008D5E7C"/>
    <w:rsid w:val="008D66EE"/>
    <w:rsid w:val="008D6859"/>
    <w:rsid w:val="008D69CE"/>
    <w:rsid w:val="008D6A76"/>
    <w:rsid w:val="008D6D5C"/>
    <w:rsid w:val="008D6F64"/>
    <w:rsid w:val="008D71CD"/>
    <w:rsid w:val="008D76ED"/>
    <w:rsid w:val="008D79F6"/>
    <w:rsid w:val="008D7AF0"/>
    <w:rsid w:val="008D7C26"/>
    <w:rsid w:val="008D7DD8"/>
    <w:rsid w:val="008E02CC"/>
    <w:rsid w:val="008E0598"/>
    <w:rsid w:val="008E0730"/>
    <w:rsid w:val="008E07CC"/>
    <w:rsid w:val="008E0B66"/>
    <w:rsid w:val="008E0E15"/>
    <w:rsid w:val="008E0E47"/>
    <w:rsid w:val="008E0E5D"/>
    <w:rsid w:val="008E16DB"/>
    <w:rsid w:val="008E183B"/>
    <w:rsid w:val="008E1889"/>
    <w:rsid w:val="008E1BC6"/>
    <w:rsid w:val="008E2257"/>
    <w:rsid w:val="008E26F5"/>
    <w:rsid w:val="008E297B"/>
    <w:rsid w:val="008E2997"/>
    <w:rsid w:val="008E2AD5"/>
    <w:rsid w:val="008E2E10"/>
    <w:rsid w:val="008E3215"/>
    <w:rsid w:val="008E344A"/>
    <w:rsid w:val="008E383F"/>
    <w:rsid w:val="008E384F"/>
    <w:rsid w:val="008E3853"/>
    <w:rsid w:val="008E393B"/>
    <w:rsid w:val="008E3C40"/>
    <w:rsid w:val="008E3D5E"/>
    <w:rsid w:val="008E411A"/>
    <w:rsid w:val="008E426A"/>
    <w:rsid w:val="008E4281"/>
    <w:rsid w:val="008E4354"/>
    <w:rsid w:val="008E4678"/>
    <w:rsid w:val="008E4741"/>
    <w:rsid w:val="008E4984"/>
    <w:rsid w:val="008E4988"/>
    <w:rsid w:val="008E49EE"/>
    <w:rsid w:val="008E4C53"/>
    <w:rsid w:val="008E4E49"/>
    <w:rsid w:val="008E4EAD"/>
    <w:rsid w:val="008E50A3"/>
    <w:rsid w:val="008E5106"/>
    <w:rsid w:val="008E5123"/>
    <w:rsid w:val="008E52EB"/>
    <w:rsid w:val="008E56FD"/>
    <w:rsid w:val="008E5896"/>
    <w:rsid w:val="008E5ABA"/>
    <w:rsid w:val="008E5C9D"/>
    <w:rsid w:val="008E5CC1"/>
    <w:rsid w:val="008E5CE9"/>
    <w:rsid w:val="008E5D61"/>
    <w:rsid w:val="008E5EDD"/>
    <w:rsid w:val="008E609A"/>
    <w:rsid w:val="008E6154"/>
    <w:rsid w:val="008E6176"/>
    <w:rsid w:val="008E637E"/>
    <w:rsid w:val="008E660C"/>
    <w:rsid w:val="008E6623"/>
    <w:rsid w:val="008E67AA"/>
    <w:rsid w:val="008E6BF5"/>
    <w:rsid w:val="008E6D9A"/>
    <w:rsid w:val="008E7140"/>
    <w:rsid w:val="008E7195"/>
    <w:rsid w:val="008E71B5"/>
    <w:rsid w:val="008E71F1"/>
    <w:rsid w:val="008E740F"/>
    <w:rsid w:val="008E7456"/>
    <w:rsid w:val="008E78A3"/>
    <w:rsid w:val="008E7D4A"/>
    <w:rsid w:val="008E7DD8"/>
    <w:rsid w:val="008E7FF9"/>
    <w:rsid w:val="008F03CF"/>
    <w:rsid w:val="008F0494"/>
    <w:rsid w:val="008F077B"/>
    <w:rsid w:val="008F0B3A"/>
    <w:rsid w:val="008F0BFF"/>
    <w:rsid w:val="008F0CA5"/>
    <w:rsid w:val="008F0CBA"/>
    <w:rsid w:val="008F0EBF"/>
    <w:rsid w:val="008F0F27"/>
    <w:rsid w:val="008F0F99"/>
    <w:rsid w:val="008F1052"/>
    <w:rsid w:val="008F1122"/>
    <w:rsid w:val="008F11B9"/>
    <w:rsid w:val="008F1518"/>
    <w:rsid w:val="008F19CC"/>
    <w:rsid w:val="008F2158"/>
    <w:rsid w:val="008F225D"/>
    <w:rsid w:val="008F2305"/>
    <w:rsid w:val="008F2384"/>
    <w:rsid w:val="008F2555"/>
    <w:rsid w:val="008F2773"/>
    <w:rsid w:val="008F27E0"/>
    <w:rsid w:val="008F28A3"/>
    <w:rsid w:val="008F2AFD"/>
    <w:rsid w:val="008F2B58"/>
    <w:rsid w:val="008F2B93"/>
    <w:rsid w:val="008F2D59"/>
    <w:rsid w:val="008F2E0D"/>
    <w:rsid w:val="008F2E1F"/>
    <w:rsid w:val="008F2E99"/>
    <w:rsid w:val="008F301A"/>
    <w:rsid w:val="008F30E6"/>
    <w:rsid w:val="008F3173"/>
    <w:rsid w:val="008F3291"/>
    <w:rsid w:val="008F356F"/>
    <w:rsid w:val="008F364E"/>
    <w:rsid w:val="008F3899"/>
    <w:rsid w:val="008F3BF7"/>
    <w:rsid w:val="008F3DAE"/>
    <w:rsid w:val="008F3FC3"/>
    <w:rsid w:val="008F4014"/>
    <w:rsid w:val="008F4189"/>
    <w:rsid w:val="008F479D"/>
    <w:rsid w:val="008F48CC"/>
    <w:rsid w:val="008F4A17"/>
    <w:rsid w:val="008F4B22"/>
    <w:rsid w:val="008F4E97"/>
    <w:rsid w:val="008F50C9"/>
    <w:rsid w:val="008F510E"/>
    <w:rsid w:val="008F526D"/>
    <w:rsid w:val="008F5298"/>
    <w:rsid w:val="008F532F"/>
    <w:rsid w:val="008F5401"/>
    <w:rsid w:val="008F5491"/>
    <w:rsid w:val="008F549B"/>
    <w:rsid w:val="008F55CD"/>
    <w:rsid w:val="008F57EF"/>
    <w:rsid w:val="008F58E2"/>
    <w:rsid w:val="008F6061"/>
    <w:rsid w:val="008F626D"/>
    <w:rsid w:val="008F62C1"/>
    <w:rsid w:val="008F65E0"/>
    <w:rsid w:val="008F66F1"/>
    <w:rsid w:val="008F6A19"/>
    <w:rsid w:val="008F6AA8"/>
    <w:rsid w:val="008F6B42"/>
    <w:rsid w:val="008F6BD5"/>
    <w:rsid w:val="008F6D55"/>
    <w:rsid w:val="008F6F78"/>
    <w:rsid w:val="008F7400"/>
    <w:rsid w:val="008F7441"/>
    <w:rsid w:val="008F765C"/>
    <w:rsid w:val="008F7688"/>
    <w:rsid w:val="008F7775"/>
    <w:rsid w:val="008F7973"/>
    <w:rsid w:val="008F7B5C"/>
    <w:rsid w:val="008F7C8B"/>
    <w:rsid w:val="00900229"/>
    <w:rsid w:val="009005FD"/>
    <w:rsid w:val="00900725"/>
    <w:rsid w:val="00900803"/>
    <w:rsid w:val="00900912"/>
    <w:rsid w:val="00900CAC"/>
    <w:rsid w:val="00900D29"/>
    <w:rsid w:val="00901192"/>
    <w:rsid w:val="009014F5"/>
    <w:rsid w:val="009016EE"/>
    <w:rsid w:val="009017F7"/>
    <w:rsid w:val="00901B1A"/>
    <w:rsid w:val="00901D11"/>
    <w:rsid w:val="00901E23"/>
    <w:rsid w:val="00901ED8"/>
    <w:rsid w:val="00901F33"/>
    <w:rsid w:val="00901FCD"/>
    <w:rsid w:val="009020A2"/>
    <w:rsid w:val="00902234"/>
    <w:rsid w:val="009023C5"/>
    <w:rsid w:val="00902488"/>
    <w:rsid w:val="009024A7"/>
    <w:rsid w:val="00902502"/>
    <w:rsid w:val="00902542"/>
    <w:rsid w:val="00902547"/>
    <w:rsid w:val="00902576"/>
    <w:rsid w:val="009028FE"/>
    <w:rsid w:val="009029E0"/>
    <w:rsid w:val="00902B99"/>
    <w:rsid w:val="00902F4D"/>
    <w:rsid w:val="00902FC2"/>
    <w:rsid w:val="0090303D"/>
    <w:rsid w:val="00903078"/>
    <w:rsid w:val="0090315C"/>
    <w:rsid w:val="00903370"/>
    <w:rsid w:val="009033CD"/>
    <w:rsid w:val="009033FC"/>
    <w:rsid w:val="0090343E"/>
    <w:rsid w:val="0090352B"/>
    <w:rsid w:val="0090360C"/>
    <w:rsid w:val="00903644"/>
    <w:rsid w:val="009036E7"/>
    <w:rsid w:val="00903740"/>
    <w:rsid w:val="009039A9"/>
    <w:rsid w:val="00903BAF"/>
    <w:rsid w:val="00903BDD"/>
    <w:rsid w:val="00903DB3"/>
    <w:rsid w:val="00903EB7"/>
    <w:rsid w:val="00904057"/>
    <w:rsid w:val="009040E1"/>
    <w:rsid w:val="00904195"/>
    <w:rsid w:val="00904236"/>
    <w:rsid w:val="00904336"/>
    <w:rsid w:val="00904420"/>
    <w:rsid w:val="00904882"/>
    <w:rsid w:val="009048F4"/>
    <w:rsid w:val="00904B74"/>
    <w:rsid w:val="00904BDC"/>
    <w:rsid w:val="0090519C"/>
    <w:rsid w:val="00905234"/>
    <w:rsid w:val="00905399"/>
    <w:rsid w:val="00905DFB"/>
    <w:rsid w:val="00905F23"/>
    <w:rsid w:val="00905FD2"/>
    <w:rsid w:val="00906426"/>
    <w:rsid w:val="0090659B"/>
    <w:rsid w:val="00906769"/>
    <w:rsid w:val="009067D1"/>
    <w:rsid w:val="00906A76"/>
    <w:rsid w:val="00906A7F"/>
    <w:rsid w:val="00906AB5"/>
    <w:rsid w:val="00906C04"/>
    <w:rsid w:val="00906C50"/>
    <w:rsid w:val="00906C76"/>
    <w:rsid w:val="00906CF4"/>
    <w:rsid w:val="00906F5E"/>
    <w:rsid w:val="0090728D"/>
    <w:rsid w:val="009075D2"/>
    <w:rsid w:val="0090779D"/>
    <w:rsid w:val="00907864"/>
    <w:rsid w:val="0090786C"/>
    <w:rsid w:val="00907A3F"/>
    <w:rsid w:val="00907A7D"/>
    <w:rsid w:val="00907D05"/>
    <w:rsid w:val="00907E7C"/>
    <w:rsid w:val="00907F91"/>
    <w:rsid w:val="00910129"/>
    <w:rsid w:val="00910533"/>
    <w:rsid w:val="009108CB"/>
    <w:rsid w:val="00911000"/>
    <w:rsid w:val="009110A8"/>
    <w:rsid w:val="00911225"/>
    <w:rsid w:val="00911257"/>
    <w:rsid w:val="009113BC"/>
    <w:rsid w:val="00911613"/>
    <w:rsid w:val="0091182A"/>
    <w:rsid w:val="009119F1"/>
    <w:rsid w:val="00911B25"/>
    <w:rsid w:val="00911F1A"/>
    <w:rsid w:val="00911F90"/>
    <w:rsid w:val="00912127"/>
    <w:rsid w:val="009121E3"/>
    <w:rsid w:val="0091266E"/>
    <w:rsid w:val="0091272E"/>
    <w:rsid w:val="00912779"/>
    <w:rsid w:val="00912820"/>
    <w:rsid w:val="00912901"/>
    <w:rsid w:val="00912926"/>
    <w:rsid w:val="00912942"/>
    <w:rsid w:val="00912A7F"/>
    <w:rsid w:val="00912BCB"/>
    <w:rsid w:val="00912BD6"/>
    <w:rsid w:val="00912C62"/>
    <w:rsid w:val="00913249"/>
    <w:rsid w:val="009133BF"/>
    <w:rsid w:val="00913C04"/>
    <w:rsid w:val="00913DCA"/>
    <w:rsid w:val="00913E2F"/>
    <w:rsid w:val="009141F8"/>
    <w:rsid w:val="0091433B"/>
    <w:rsid w:val="009144FA"/>
    <w:rsid w:val="00914660"/>
    <w:rsid w:val="00914A65"/>
    <w:rsid w:val="00914B0E"/>
    <w:rsid w:val="00914B8E"/>
    <w:rsid w:val="00914CAC"/>
    <w:rsid w:val="00914CD4"/>
    <w:rsid w:val="00914DCB"/>
    <w:rsid w:val="009150A7"/>
    <w:rsid w:val="00915597"/>
    <w:rsid w:val="00915670"/>
    <w:rsid w:val="0091571C"/>
    <w:rsid w:val="00915937"/>
    <w:rsid w:val="00915A8E"/>
    <w:rsid w:val="00915AD1"/>
    <w:rsid w:val="00915C83"/>
    <w:rsid w:val="00915D1E"/>
    <w:rsid w:val="00916219"/>
    <w:rsid w:val="009165CF"/>
    <w:rsid w:val="00916828"/>
    <w:rsid w:val="00916C3C"/>
    <w:rsid w:val="00916DDD"/>
    <w:rsid w:val="00916F40"/>
    <w:rsid w:val="00917075"/>
    <w:rsid w:val="009170CA"/>
    <w:rsid w:val="00917775"/>
    <w:rsid w:val="0091798A"/>
    <w:rsid w:val="00917B28"/>
    <w:rsid w:val="00917F29"/>
    <w:rsid w:val="00917FCB"/>
    <w:rsid w:val="00920093"/>
    <w:rsid w:val="009200C4"/>
    <w:rsid w:val="009201EC"/>
    <w:rsid w:val="009201F4"/>
    <w:rsid w:val="00920775"/>
    <w:rsid w:val="00920840"/>
    <w:rsid w:val="00920915"/>
    <w:rsid w:val="00920A10"/>
    <w:rsid w:val="00920A23"/>
    <w:rsid w:val="00920ADA"/>
    <w:rsid w:val="00920F65"/>
    <w:rsid w:val="00921126"/>
    <w:rsid w:val="00921316"/>
    <w:rsid w:val="009213AB"/>
    <w:rsid w:val="009217FB"/>
    <w:rsid w:val="00921AB8"/>
    <w:rsid w:val="00921AD9"/>
    <w:rsid w:val="00921ECA"/>
    <w:rsid w:val="00922107"/>
    <w:rsid w:val="00922148"/>
    <w:rsid w:val="009223C6"/>
    <w:rsid w:val="009224AE"/>
    <w:rsid w:val="00922505"/>
    <w:rsid w:val="0092263B"/>
    <w:rsid w:val="009226F5"/>
    <w:rsid w:val="00922B66"/>
    <w:rsid w:val="00922FE7"/>
    <w:rsid w:val="009231D2"/>
    <w:rsid w:val="00923552"/>
    <w:rsid w:val="00923680"/>
    <w:rsid w:val="00923BDB"/>
    <w:rsid w:val="00923E49"/>
    <w:rsid w:val="00923EE5"/>
    <w:rsid w:val="00923FE9"/>
    <w:rsid w:val="0092414D"/>
    <w:rsid w:val="009241E7"/>
    <w:rsid w:val="00924334"/>
    <w:rsid w:val="009243B4"/>
    <w:rsid w:val="0092450C"/>
    <w:rsid w:val="0092458D"/>
    <w:rsid w:val="009245DA"/>
    <w:rsid w:val="009246B7"/>
    <w:rsid w:val="00924740"/>
    <w:rsid w:val="009248A0"/>
    <w:rsid w:val="009248FD"/>
    <w:rsid w:val="00924A43"/>
    <w:rsid w:val="00924AF8"/>
    <w:rsid w:val="00924CCA"/>
    <w:rsid w:val="00924E5A"/>
    <w:rsid w:val="009250BC"/>
    <w:rsid w:val="0092510E"/>
    <w:rsid w:val="00925238"/>
    <w:rsid w:val="0092538F"/>
    <w:rsid w:val="009254E6"/>
    <w:rsid w:val="00925591"/>
    <w:rsid w:val="00925A43"/>
    <w:rsid w:val="00925DE7"/>
    <w:rsid w:val="00925E92"/>
    <w:rsid w:val="00925F53"/>
    <w:rsid w:val="00925F87"/>
    <w:rsid w:val="00925FD5"/>
    <w:rsid w:val="009261AF"/>
    <w:rsid w:val="009262B7"/>
    <w:rsid w:val="00926539"/>
    <w:rsid w:val="00926771"/>
    <w:rsid w:val="0092677D"/>
    <w:rsid w:val="00926878"/>
    <w:rsid w:val="00926C77"/>
    <w:rsid w:val="00926FAE"/>
    <w:rsid w:val="009271A9"/>
    <w:rsid w:val="00927342"/>
    <w:rsid w:val="0092765F"/>
    <w:rsid w:val="009278DC"/>
    <w:rsid w:val="00927971"/>
    <w:rsid w:val="00927A4E"/>
    <w:rsid w:val="00927AFF"/>
    <w:rsid w:val="00927B98"/>
    <w:rsid w:val="00927CF2"/>
    <w:rsid w:val="00927E6D"/>
    <w:rsid w:val="00927FAF"/>
    <w:rsid w:val="0093008C"/>
    <w:rsid w:val="0093047E"/>
    <w:rsid w:val="009304E2"/>
    <w:rsid w:val="009305EA"/>
    <w:rsid w:val="00930947"/>
    <w:rsid w:val="00930A28"/>
    <w:rsid w:val="009310A1"/>
    <w:rsid w:val="009311D0"/>
    <w:rsid w:val="00931322"/>
    <w:rsid w:val="00931352"/>
    <w:rsid w:val="00931443"/>
    <w:rsid w:val="00931834"/>
    <w:rsid w:val="00931A0B"/>
    <w:rsid w:val="00931A69"/>
    <w:rsid w:val="00931A6E"/>
    <w:rsid w:val="00931F54"/>
    <w:rsid w:val="00931FC1"/>
    <w:rsid w:val="00932091"/>
    <w:rsid w:val="00932202"/>
    <w:rsid w:val="00932223"/>
    <w:rsid w:val="0093254E"/>
    <w:rsid w:val="00932603"/>
    <w:rsid w:val="00932694"/>
    <w:rsid w:val="009326CF"/>
    <w:rsid w:val="00932723"/>
    <w:rsid w:val="0093298C"/>
    <w:rsid w:val="00932A70"/>
    <w:rsid w:val="00932C44"/>
    <w:rsid w:val="00933558"/>
    <w:rsid w:val="009335D3"/>
    <w:rsid w:val="0093362B"/>
    <w:rsid w:val="009337B9"/>
    <w:rsid w:val="0093381F"/>
    <w:rsid w:val="00933921"/>
    <w:rsid w:val="00933B3D"/>
    <w:rsid w:val="00933BB5"/>
    <w:rsid w:val="00933C13"/>
    <w:rsid w:val="00933DBB"/>
    <w:rsid w:val="009341CD"/>
    <w:rsid w:val="00934320"/>
    <w:rsid w:val="0093446E"/>
    <w:rsid w:val="00934647"/>
    <w:rsid w:val="00934688"/>
    <w:rsid w:val="009346DC"/>
    <w:rsid w:val="00934705"/>
    <w:rsid w:val="00934AAA"/>
    <w:rsid w:val="00934C5E"/>
    <w:rsid w:val="00934D1A"/>
    <w:rsid w:val="0093517F"/>
    <w:rsid w:val="0093529B"/>
    <w:rsid w:val="009354AD"/>
    <w:rsid w:val="0093554B"/>
    <w:rsid w:val="00935577"/>
    <w:rsid w:val="009356CE"/>
    <w:rsid w:val="0093580E"/>
    <w:rsid w:val="00935A11"/>
    <w:rsid w:val="00935B27"/>
    <w:rsid w:val="00935B2C"/>
    <w:rsid w:val="00935DEA"/>
    <w:rsid w:val="00935E88"/>
    <w:rsid w:val="009360D5"/>
    <w:rsid w:val="009360DD"/>
    <w:rsid w:val="00936189"/>
    <w:rsid w:val="009361ED"/>
    <w:rsid w:val="00936398"/>
    <w:rsid w:val="00936571"/>
    <w:rsid w:val="009369A5"/>
    <w:rsid w:val="00936A37"/>
    <w:rsid w:val="00936C97"/>
    <w:rsid w:val="00936D4C"/>
    <w:rsid w:val="00936EE7"/>
    <w:rsid w:val="00936F57"/>
    <w:rsid w:val="009371D4"/>
    <w:rsid w:val="0093724E"/>
    <w:rsid w:val="0093758F"/>
    <w:rsid w:val="009378CB"/>
    <w:rsid w:val="00937978"/>
    <w:rsid w:val="00937C54"/>
    <w:rsid w:val="00937D96"/>
    <w:rsid w:val="00940213"/>
    <w:rsid w:val="0094027F"/>
    <w:rsid w:val="009402F3"/>
    <w:rsid w:val="009403CD"/>
    <w:rsid w:val="0094057C"/>
    <w:rsid w:val="00940DED"/>
    <w:rsid w:val="00940EBA"/>
    <w:rsid w:val="00940F92"/>
    <w:rsid w:val="00941008"/>
    <w:rsid w:val="00941049"/>
    <w:rsid w:val="00941082"/>
    <w:rsid w:val="00941183"/>
    <w:rsid w:val="0094127E"/>
    <w:rsid w:val="009412B9"/>
    <w:rsid w:val="009413C6"/>
    <w:rsid w:val="0094158A"/>
    <w:rsid w:val="009417C2"/>
    <w:rsid w:val="00941803"/>
    <w:rsid w:val="00941A07"/>
    <w:rsid w:val="00941A13"/>
    <w:rsid w:val="0094204D"/>
    <w:rsid w:val="009422AC"/>
    <w:rsid w:val="00942307"/>
    <w:rsid w:val="00942370"/>
    <w:rsid w:val="009425F7"/>
    <w:rsid w:val="00942CA4"/>
    <w:rsid w:val="00943302"/>
    <w:rsid w:val="009433DC"/>
    <w:rsid w:val="00943400"/>
    <w:rsid w:val="009435AA"/>
    <w:rsid w:val="0094366B"/>
    <w:rsid w:val="0094387D"/>
    <w:rsid w:val="00943993"/>
    <w:rsid w:val="009439EE"/>
    <w:rsid w:val="00943D98"/>
    <w:rsid w:val="00943F15"/>
    <w:rsid w:val="00943FFC"/>
    <w:rsid w:val="009441C0"/>
    <w:rsid w:val="009442CF"/>
    <w:rsid w:val="009443BF"/>
    <w:rsid w:val="00944591"/>
    <w:rsid w:val="00944B0C"/>
    <w:rsid w:val="00944DF6"/>
    <w:rsid w:val="009450CC"/>
    <w:rsid w:val="009450D5"/>
    <w:rsid w:val="00945312"/>
    <w:rsid w:val="0094579C"/>
    <w:rsid w:val="009458DC"/>
    <w:rsid w:val="009461EC"/>
    <w:rsid w:val="0094620F"/>
    <w:rsid w:val="00946265"/>
    <w:rsid w:val="00946611"/>
    <w:rsid w:val="0094680D"/>
    <w:rsid w:val="00946A29"/>
    <w:rsid w:val="00946DD5"/>
    <w:rsid w:val="0094721D"/>
    <w:rsid w:val="009472AB"/>
    <w:rsid w:val="009474E0"/>
    <w:rsid w:val="00947670"/>
    <w:rsid w:val="0094769B"/>
    <w:rsid w:val="009476C6"/>
    <w:rsid w:val="00947777"/>
    <w:rsid w:val="00947867"/>
    <w:rsid w:val="00947CBA"/>
    <w:rsid w:val="00947F6B"/>
    <w:rsid w:val="0094C445"/>
    <w:rsid w:val="0095000B"/>
    <w:rsid w:val="009503CA"/>
    <w:rsid w:val="009503F9"/>
    <w:rsid w:val="00950657"/>
    <w:rsid w:val="00950A65"/>
    <w:rsid w:val="00950AE3"/>
    <w:rsid w:val="00950DFD"/>
    <w:rsid w:val="00950E6C"/>
    <w:rsid w:val="00950FC0"/>
    <w:rsid w:val="00950FD8"/>
    <w:rsid w:val="00951440"/>
    <w:rsid w:val="00951652"/>
    <w:rsid w:val="009519C6"/>
    <w:rsid w:val="00951BAC"/>
    <w:rsid w:val="00951D68"/>
    <w:rsid w:val="00951E0A"/>
    <w:rsid w:val="0095238A"/>
    <w:rsid w:val="0095238E"/>
    <w:rsid w:val="009525D5"/>
    <w:rsid w:val="009528B8"/>
    <w:rsid w:val="0095293B"/>
    <w:rsid w:val="00952BAF"/>
    <w:rsid w:val="00952BDE"/>
    <w:rsid w:val="00952DA8"/>
    <w:rsid w:val="00952FF6"/>
    <w:rsid w:val="0095356E"/>
    <w:rsid w:val="0095359B"/>
    <w:rsid w:val="00953772"/>
    <w:rsid w:val="00953AAD"/>
    <w:rsid w:val="00953CA1"/>
    <w:rsid w:val="009546FD"/>
    <w:rsid w:val="0095483D"/>
    <w:rsid w:val="00954A3E"/>
    <w:rsid w:val="00954B1E"/>
    <w:rsid w:val="00954BD7"/>
    <w:rsid w:val="00954D99"/>
    <w:rsid w:val="00954E3E"/>
    <w:rsid w:val="00954F17"/>
    <w:rsid w:val="009550A8"/>
    <w:rsid w:val="00955143"/>
    <w:rsid w:val="00955413"/>
    <w:rsid w:val="00955628"/>
    <w:rsid w:val="009557C0"/>
    <w:rsid w:val="009558CF"/>
    <w:rsid w:val="00955A37"/>
    <w:rsid w:val="00955C8E"/>
    <w:rsid w:val="00955D45"/>
    <w:rsid w:val="00955DF7"/>
    <w:rsid w:val="00956054"/>
    <w:rsid w:val="009560F9"/>
    <w:rsid w:val="00956377"/>
    <w:rsid w:val="00956536"/>
    <w:rsid w:val="00956552"/>
    <w:rsid w:val="00956734"/>
    <w:rsid w:val="009568C2"/>
    <w:rsid w:val="0095691B"/>
    <w:rsid w:val="00956B48"/>
    <w:rsid w:val="00956F52"/>
    <w:rsid w:val="00957019"/>
    <w:rsid w:val="00957446"/>
    <w:rsid w:val="009574BE"/>
    <w:rsid w:val="0095772E"/>
    <w:rsid w:val="00957CF2"/>
    <w:rsid w:val="00960048"/>
    <w:rsid w:val="0096021E"/>
    <w:rsid w:val="009607F1"/>
    <w:rsid w:val="00960A53"/>
    <w:rsid w:val="00960A63"/>
    <w:rsid w:val="00960C0A"/>
    <w:rsid w:val="00960C11"/>
    <w:rsid w:val="00960D1D"/>
    <w:rsid w:val="00960DB2"/>
    <w:rsid w:val="00960E8F"/>
    <w:rsid w:val="00960F05"/>
    <w:rsid w:val="00960FA3"/>
    <w:rsid w:val="00960FD6"/>
    <w:rsid w:val="00961416"/>
    <w:rsid w:val="00961502"/>
    <w:rsid w:val="0096153C"/>
    <w:rsid w:val="009617D0"/>
    <w:rsid w:val="00961884"/>
    <w:rsid w:val="00961A2A"/>
    <w:rsid w:val="00961B27"/>
    <w:rsid w:val="00961D1A"/>
    <w:rsid w:val="00961D79"/>
    <w:rsid w:val="00961EF3"/>
    <w:rsid w:val="00961FC6"/>
    <w:rsid w:val="00962105"/>
    <w:rsid w:val="009622AE"/>
    <w:rsid w:val="0096235E"/>
    <w:rsid w:val="009624E7"/>
    <w:rsid w:val="00962552"/>
    <w:rsid w:val="00962D16"/>
    <w:rsid w:val="00962D8F"/>
    <w:rsid w:val="00962F9A"/>
    <w:rsid w:val="00962FC6"/>
    <w:rsid w:val="0096333E"/>
    <w:rsid w:val="00963419"/>
    <w:rsid w:val="00963581"/>
    <w:rsid w:val="00963600"/>
    <w:rsid w:val="009636E4"/>
    <w:rsid w:val="0096385D"/>
    <w:rsid w:val="00963C55"/>
    <w:rsid w:val="00963D19"/>
    <w:rsid w:val="00963DBB"/>
    <w:rsid w:val="00963FCE"/>
    <w:rsid w:val="0096402C"/>
    <w:rsid w:val="0096449A"/>
    <w:rsid w:val="00964513"/>
    <w:rsid w:val="00964534"/>
    <w:rsid w:val="009645D5"/>
    <w:rsid w:val="009647F2"/>
    <w:rsid w:val="009648CF"/>
    <w:rsid w:val="00964B0D"/>
    <w:rsid w:val="00964BA3"/>
    <w:rsid w:val="00964C87"/>
    <w:rsid w:val="00964D6A"/>
    <w:rsid w:val="00965114"/>
    <w:rsid w:val="00965237"/>
    <w:rsid w:val="00965325"/>
    <w:rsid w:val="009659D1"/>
    <w:rsid w:val="009659FD"/>
    <w:rsid w:val="00965A0B"/>
    <w:rsid w:val="00965A65"/>
    <w:rsid w:val="00965AD5"/>
    <w:rsid w:val="00965C57"/>
    <w:rsid w:val="00965C75"/>
    <w:rsid w:val="00965CF0"/>
    <w:rsid w:val="009663FE"/>
    <w:rsid w:val="009664E3"/>
    <w:rsid w:val="009665DD"/>
    <w:rsid w:val="0096670D"/>
    <w:rsid w:val="00966710"/>
    <w:rsid w:val="009667F8"/>
    <w:rsid w:val="0096697F"/>
    <w:rsid w:val="00966B8F"/>
    <w:rsid w:val="00966C59"/>
    <w:rsid w:val="00966D15"/>
    <w:rsid w:val="00966D42"/>
    <w:rsid w:val="00966DE4"/>
    <w:rsid w:val="00966F49"/>
    <w:rsid w:val="00966F81"/>
    <w:rsid w:val="00966FB6"/>
    <w:rsid w:val="00967006"/>
    <w:rsid w:val="00967073"/>
    <w:rsid w:val="0096713D"/>
    <w:rsid w:val="0096718F"/>
    <w:rsid w:val="009671AC"/>
    <w:rsid w:val="0096736B"/>
    <w:rsid w:val="009674B8"/>
    <w:rsid w:val="00967542"/>
    <w:rsid w:val="00967698"/>
    <w:rsid w:val="009676F7"/>
    <w:rsid w:val="00967B01"/>
    <w:rsid w:val="00967C8D"/>
    <w:rsid w:val="00967D2F"/>
    <w:rsid w:val="00967E45"/>
    <w:rsid w:val="00967F32"/>
    <w:rsid w:val="00970070"/>
    <w:rsid w:val="00970139"/>
    <w:rsid w:val="00970236"/>
    <w:rsid w:val="009705C7"/>
    <w:rsid w:val="0097085A"/>
    <w:rsid w:val="009709AA"/>
    <w:rsid w:val="00970A50"/>
    <w:rsid w:val="00970FE0"/>
    <w:rsid w:val="00971639"/>
    <w:rsid w:val="00971661"/>
    <w:rsid w:val="009719DA"/>
    <w:rsid w:val="00971BCF"/>
    <w:rsid w:val="00971ED7"/>
    <w:rsid w:val="00971F61"/>
    <w:rsid w:val="009720F7"/>
    <w:rsid w:val="00972216"/>
    <w:rsid w:val="0097243B"/>
    <w:rsid w:val="00972697"/>
    <w:rsid w:val="00972722"/>
    <w:rsid w:val="009727CE"/>
    <w:rsid w:val="00972801"/>
    <w:rsid w:val="0097285D"/>
    <w:rsid w:val="00972958"/>
    <w:rsid w:val="00972967"/>
    <w:rsid w:val="0097299E"/>
    <w:rsid w:val="00972ABD"/>
    <w:rsid w:val="00973038"/>
    <w:rsid w:val="00973573"/>
    <w:rsid w:val="009735F4"/>
    <w:rsid w:val="00973610"/>
    <w:rsid w:val="00973730"/>
    <w:rsid w:val="0097373C"/>
    <w:rsid w:val="009737D6"/>
    <w:rsid w:val="00973F77"/>
    <w:rsid w:val="00973FF5"/>
    <w:rsid w:val="00974059"/>
    <w:rsid w:val="00974141"/>
    <w:rsid w:val="00974152"/>
    <w:rsid w:val="0097446E"/>
    <w:rsid w:val="0097449D"/>
    <w:rsid w:val="00974BCE"/>
    <w:rsid w:val="00974DA6"/>
    <w:rsid w:val="009753CE"/>
    <w:rsid w:val="0097559D"/>
    <w:rsid w:val="00975654"/>
    <w:rsid w:val="009756C2"/>
    <w:rsid w:val="0097589E"/>
    <w:rsid w:val="00975928"/>
    <w:rsid w:val="00975951"/>
    <w:rsid w:val="00975967"/>
    <w:rsid w:val="009759A5"/>
    <w:rsid w:val="00975B6F"/>
    <w:rsid w:val="00975BA2"/>
    <w:rsid w:val="00975BB4"/>
    <w:rsid w:val="00975C37"/>
    <w:rsid w:val="00975E7B"/>
    <w:rsid w:val="00975F13"/>
    <w:rsid w:val="00975FD4"/>
    <w:rsid w:val="0097609B"/>
    <w:rsid w:val="009761BC"/>
    <w:rsid w:val="0097635B"/>
    <w:rsid w:val="00976548"/>
    <w:rsid w:val="0097663B"/>
    <w:rsid w:val="00976956"/>
    <w:rsid w:val="00976A61"/>
    <w:rsid w:val="00976A63"/>
    <w:rsid w:val="00976BCC"/>
    <w:rsid w:val="00976C61"/>
    <w:rsid w:val="00976D59"/>
    <w:rsid w:val="00976E0D"/>
    <w:rsid w:val="009770F3"/>
    <w:rsid w:val="00977146"/>
    <w:rsid w:val="009773C5"/>
    <w:rsid w:val="009776E5"/>
    <w:rsid w:val="00977747"/>
    <w:rsid w:val="009777AF"/>
    <w:rsid w:val="009779C8"/>
    <w:rsid w:val="00977AE2"/>
    <w:rsid w:val="00977B56"/>
    <w:rsid w:val="00977BB7"/>
    <w:rsid w:val="00977BBD"/>
    <w:rsid w:val="00977CDB"/>
    <w:rsid w:val="00977EA4"/>
    <w:rsid w:val="00977ED8"/>
    <w:rsid w:val="00977F07"/>
    <w:rsid w:val="00977F46"/>
    <w:rsid w:val="0098004C"/>
    <w:rsid w:val="009801CD"/>
    <w:rsid w:val="009801DB"/>
    <w:rsid w:val="0098031F"/>
    <w:rsid w:val="0098036D"/>
    <w:rsid w:val="009804A2"/>
    <w:rsid w:val="00980603"/>
    <w:rsid w:val="0098075A"/>
    <w:rsid w:val="0098086F"/>
    <w:rsid w:val="00980A7F"/>
    <w:rsid w:val="00980C53"/>
    <w:rsid w:val="00980D20"/>
    <w:rsid w:val="00980E81"/>
    <w:rsid w:val="00981256"/>
    <w:rsid w:val="00981281"/>
    <w:rsid w:val="00981679"/>
    <w:rsid w:val="0098195D"/>
    <w:rsid w:val="00981A42"/>
    <w:rsid w:val="00981A57"/>
    <w:rsid w:val="00981AFB"/>
    <w:rsid w:val="00981BDF"/>
    <w:rsid w:val="00981C03"/>
    <w:rsid w:val="00981EDC"/>
    <w:rsid w:val="009820C5"/>
    <w:rsid w:val="00982196"/>
    <w:rsid w:val="00982238"/>
    <w:rsid w:val="009823A2"/>
    <w:rsid w:val="009828DF"/>
    <w:rsid w:val="00982A58"/>
    <w:rsid w:val="00982B35"/>
    <w:rsid w:val="00982BAA"/>
    <w:rsid w:val="00983081"/>
    <w:rsid w:val="009831BA"/>
    <w:rsid w:val="009833A9"/>
    <w:rsid w:val="00983466"/>
    <w:rsid w:val="00983BE8"/>
    <w:rsid w:val="00983BF2"/>
    <w:rsid w:val="00983E45"/>
    <w:rsid w:val="00983E94"/>
    <w:rsid w:val="00983F48"/>
    <w:rsid w:val="00983FA0"/>
    <w:rsid w:val="00984297"/>
    <w:rsid w:val="009842C0"/>
    <w:rsid w:val="009843B6"/>
    <w:rsid w:val="00984513"/>
    <w:rsid w:val="009849CD"/>
    <w:rsid w:val="00984D06"/>
    <w:rsid w:val="00984D92"/>
    <w:rsid w:val="0098504D"/>
    <w:rsid w:val="0098513A"/>
    <w:rsid w:val="009851B4"/>
    <w:rsid w:val="009858C4"/>
    <w:rsid w:val="00985CED"/>
    <w:rsid w:val="00985D0B"/>
    <w:rsid w:val="00985F5A"/>
    <w:rsid w:val="009860B7"/>
    <w:rsid w:val="009861B6"/>
    <w:rsid w:val="00986490"/>
    <w:rsid w:val="009865B3"/>
    <w:rsid w:val="009865DD"/>
    <w:rsid w:val="00986914"/>
    <w:rsid w:val="009869D5"/>
    <w:rsid w:val="00986A39"/>
    <w:rsid w:val="00986A9A"/>
    <w:rsid w:val="00986AB9"/>
    <w:rsid w:val="00986B6A"/>
    <w:rsid w:val="00986E5C"/>
    <w:rsid w:val="009875E0"/>
    <w:rsid w:val="00987A87"/>
    <w:rsid w:val="00987C3D"/>
    <w:rsid w:val="00987D03"/>
    <w:rsid w:val="00987D51"/>
    <w:rsid w:val="00987E9A"/>
    <w:rsid w:val="00987F95"/>
    <w:rsid w:val="00987FC8"/>
    <w:rsid w:val="009900CD"/>
    <w:rsid w:val="00990310"/>
    <w:rsid w:val="00990334"/>
    <w:rsid w:val="00990369"/>
    <w:rsid w:val="0099051E"/>
    <w:rsid w:val="009906C8"/>
    <w:rsid w:val="0099082C"/>
    <w:rsid w:val="00990A5F"/>
    <w:rsid w:val="00990D19"/>
    <w:rsid w:val="00990DF8"/>
    <w:rsid w:val="00990EC9"/>
    <w:rsid w:val="0099100C"/>
    <w:rsid w:val="00991026"/>
    <w:rsid w:val="0099124F"/>
    <w:rsid w:val="0099141C"/>
    <w:rsid w:val="009915F6"/>
    <w:rsid w:val="009915F8"/>
    <w:rsid w:val="00991692"/>
    <w:rsid w:val="00991A22"/>
    <w:rsid w:val="00991DAF"/>
    <w:rsid w:val="00992130"/>
    <w:rsid w:val="00992380"/>
    <w:rsid w:val="00992542"/>
    <w:rsid w:val="0099280D"/>
    <w:rsid w:val="00992A11"/>
    <w:rsid w:val="00992A1B"/>
    <w:rsid w:val="00992C43"/>
    <w:rsid w:val="00993117"/>
    <w:rsid w:val="0099324A"/>
    <w:rsid w:val="0099359E"/>
    <w:rsid w:val="009938FC"/>
    <w:rsid w:val="009939CD"/>
    <w:rsid w:val="00993BF4"/>
    <w:rsid w:val="00993CCC"/>
    <w:rsid w:val="00993F61"/>
    <w:rsid w:val="00994066"/>
    <w:rsid w:val="00994203"/>
    <w:rsid w:val="0099444B"/>
    <w:rsid w:val="00994674"/>
    <w:rsid w:val="0099467B"/>
    <w:rsid w:val="00994735"/>
    <w:rsid w:val="0099473F"/>
    <w:rsid w:val="009948E5"/>
    <w:rsid w:val="00994965"/>
    <w:rsid w:val="00994A7C"/>
    <w:rsid w:val="00994BE5"/>
    <w:rsid w:val="00994C95"/>
    <w:rsid w:val="00994E32"/>
    <w:rsid w:val="00995101"/>
    <w:rsid w:val="00995112"/>
    <w:rsid w:val="009952E5"/>
    <w:rsid w:val="00995398"/>
    <w:rsid w:val="00995480"/>
    <w:rsid w:val="00995997"/>
    <w:rsid w:val="009959A7"/>
    <w:rsid w:val="00995A05"/>
    <w:rsid w:val="00995C88"/>
    <w:rsid w:val="00995EBC"/>
    <w:rsid w:val="00995F00"/>
    <w:rsid w:val="00995F90"/>
    <w:rsid w:val="0099610F"/>
    <w:rsid w:val="0099645D"/>
    <w:rsid w:val="0099667B"/>
    <w:rsid w:val="009966E5"/>
    <w:rsid w:val="0099672E"/>
    <w:rsid w:val="00996792"/>
    <w:rsid w:val="009967DA"/>
    <w:rsid w:val="009969DD"/>
    <w:rsid w:val="00996A68"/>
    <w:rsid w:val="00996B45"/>
    <w:rsid w:val="00996BEC"/>
    <w:rsid w:val="00996E98"/>
    <w:rsid w:val="00996EE8"/>
    <w:rsid w:val="00997198"/>
    <w:rsid w:val="009971A6"/>
    <w:rsid w:val="00997221"/>
    <w:rsid w:val="00997266"/>
    <w:rsid w:val="0099730E"/>
    <w:rsid w:val="00997456"/>
    <w:rsid w:val="009978AA"/>
    <w:rsid w:val="009979DF"/>
    <w:rsid w:val="00997B50"/>
    <w:rsid w:val="00997D70"/>
    <w:rsid w:val="009A005A"/>
    <w:rsid w:val="009A0115"/>
    <w:rsid w:val="009A03B0"/>
    <w:rsid w:val="009A03C4"/>
    <w:rsid w:val="009A0A9E"/>
    <w:rsid w:val="009A0D05"/>
    <w:rsid w:val="009A0D6D"/>
    <w:rsid w:val="009A10EA"/>
    <w:rsid w:val="009A113C"/>
    <w:rsid w:val="009A1373"/>
    <w:rsid w:val="009A14D9"/>
    <w:rsid w:val="009A193F"/>
    <w:rsid w:val="009A1E03"/>
    <w:rsid w:val="009A1FB0"/>
    <w:rsid w:val="009A20CA"/>
    <w:rsid w:val="009A2126"/>
    <w:rsid w:val="009A216A"/>
    <w:rsid w:val="009A24F3"/>
    <w:rsid w:val="009A2585"/>
    <w:rsid w:val="009A2818"/>
    <w:rsid w:val="009A293D"/>
    <w:rsid w:val="009A2A54"/>
    <w:rsid w:val="009A2CE3"/>
    <w:rsid w:val="009A2E2F"/>
    <w:rsid w:val="009A304D"/>
    <w:rsid w:val="009A30E3"/>
    <w:rsid w:val="009A34EB"/>
    <w:rsid w:val="009A37C2"/>
    <w:rsid w:val="009A381E"/>
    <w:rsid w:val="009A38DC"/>
    <w:rsid w:val="009A3B70"/>
    <w:rsid w:val="009A3E3E"/>
    <w:rsid w:val="009A4372"/>
    <w:rsid w:val="009A4373"/>
    <w:rsid w:val="009A44A8"/>
    <w:rsid w:val="009A4647"/>
    <w:rsid w:val="009A4674"/>
    <w:rsid w:val="009A472D"/>
    <w:rsid w:val="009A4B47"/>
    <w:rsid w:val="009A4B6D"/>
    <w:rsid w:val="009A5530"/>
    <w:rsid w:val="009A5780"/>
    <w:rsid w:val="009A61BC"/>
    <w:rsid w:val="009A6236"/>
    <w:rsid w:val="009A6550"/>
    <w:rsid w:val="009A675E"/>
    <w:rsid w:val="009A6771"/>
    <w:rsid w:val="009A677E"/>
    <w:rsid w:val="009A683C"/>
    <w:rsid w:val="009A684B"/>
    <w:rsid w:val="009A6A11"/>
    <w:rsid w:val="009A6A63"/>
    <w:rsid w:val="009A6CCF"/>
    <w:rsid w:val="009A6CFE"/>
    <w:rsid w:val="009A6E2C"/>
    <w:rsid w:val="009A70AC"/>
    <w:rsid w:val="009A7347"/>
    <w:rsid w:val="009A73A3"/>
    <w:rsid w:val="009A73EB"/>
    <w:rsid w:val="009A7543"/>
    <w:rsid w:val="009A7567"/>
    <w:rsid w:val="009A77EF"/>
    <w:rsid w:val="009A7984"/>
    <w:rsid w:val="009A79FD"/>
    <w:rsid w:val="009A7BAF"/>
    <w:rsid w:val="009A7D7F"/>
    <w:rsid w:val="009B0048"/>
    <w:rsid w:val="009B00B8"/>
    <w:rsid w:val="009B0594"/>
    <w:rsid w:val="009B0638"/>
    <w:rsid w:val="009B0649"/>
    <w:rsid w:val="009B0BD5"/>
    <w:rsid w:val="009B0BF6"/>
    <w:rsid w:val="009B0D3F"/>
    <w:rsid w:val="009B0DD6"/>
    <w:rsid w:val="009B0F0F"/>
    <w:rsid w:val="009B0F42"/>
    <w:rsid w:val="009B0FC9"/>
    <w:rsid w:val="009B1153"/>
    <w:rsid w:val="009B11F6"/>
    <w:rsid w:val="009B127C"/>
    <w:rsid w:val="009B12F3"/>
    <w:rsid w:val="009B134E"/>
    <w:rsid w:val="009B136C"/>
    <w:rsid w:val="009B1384"/>
    <w:rsid w:val="009B1400"/>
    <w:rsid w:val="009B18A4"/>
    <w:rsid w:val="009B1A18"/>
    <w:rsid w:val="009B1B17"/>
    <w:rsid w:val="009B1C5A"/>
    <w:rsid w:val="009B1D80"/>
    <w:rsid w:val="009B1F11"/>
    <w:rsid w:val="009B1F4C"/>
    <w:rsid w:val="009B209B"/>
    <w:rsid w:val="009B2518"/>
    <w:rsid w:val="009B2597"/>
    <w:rsid w:val="009B2865"/>
    <w:rsid w:val="009B29F6"/>
    <w:rsid w:val="009B2A94"/>
    <w:rsid w:val="009B2FFC"/>
    <w:rsid w:val="009B30C7"/>
    <w:rsid w:val="009B3512"/>
    <w:rsid w:val="009B3814"/>
    <w:rsid w:val="009B38B3"/>
    <w:rsid w:val="009B3A73"/>
    <w:rsid w:val="009B3C6B"/>
    <w:rsid w:val="009B3C79"/>
    <w:rsid w:val="009B3C98"/>
    <w:rsid w:val="009B401C"/>
    <w:rsid w:val="009B415F"/>
    <w:rsid w:val="009B416C"/>
    <w:rsid w:val="009B4187"/>
    <w:rsid w:val="009B43E2"/>
    <w:rsid w:val="009B442A"/>
    <w:rsid w:val="009B4533"/>
    <w:rsid w:val="009B4598"/>
    <w:rsid w:val="009B4677"/>
    <w:rsid w:val="009B473F"/>
    <w:rsid w:val="009B4792"/>
    <w:rsid w:val="009B483A"/>
    <w:rsid w:val="009B4BA8"/>
    <w:rsid w:val="009B4D6D"/>
    <w:rsid w:val="009B4DCF"/>
    <w:rsid w:val="009B4E1A"/>
    <w:rsid w:val="009B5087"/>
    <w:rsid w:val="009B50D8"/>
    <w:rsid w:val="009B5206"/>
    <w:rsid w:val="009B52A8"/>
    <w:rsid w:val="009B53A0"/>
    <w:rsid w:val="009B560F"/>
    <w:rsid w:val="009B570E"/>
    <w:rsid w:val="009B571A"/>
    <w:rsid w:val="009B5885"/>
    <w:rsid w:val="009B588C"/>
    <w:rsid w:val="009B5988"/>
    <w:rsid w:val="009B598E"/>
    <w:rsid w:val="009B59A0"/>
    <w:rsid w:val="009B5C3C"/>
    <w:rsid w:val="009B5CF8"/>
    <w:rsid w:val="009B628F"/>
    <w:rsid w:val="009B6356"/>
    <w:rsid w:val="009B63CC"/>
    <w:rsid w:val="009B6470"/>
    <w:rsid w:val="009B6872"/>
    <w:rsid w:val="009B6907"/>
    <w:rsid w:val="009B6B3A"/>
    <w:rsid w:val="009B6BE1"/>
    <w:rsid w:val="009B6C83"/>
    <w:rsid w:val="009B7019"/>
    <w:rsid w:val="009B71CB"/>
    <w:rsid w:val="009B7310"/>
    <w:rsid w:val="009B7355"/>
    <w:rsid w:val="009B7385"/>
    <w:rsid w:val="009B747F"/>
    <w:rsid w:val="009B7499"/>
    <w:rsid w:val="009B74C1"/>
    <w:rsid w:val="009B7597"/>
    <w:rsid w:val="009B76F1"/>
    <w:rsid w:val="009B7806"/>
    <w:rsid w:val="009B7AC2"/>
    <w:rsid w:val="009B7C31"/>
    <w:rsid w:val="009B7D69"/>
    <w:rsid w:val="009B7D81"/>
    <w:rsid w:val="009B7E6E"/>
    <w:rsid w:val="009B8201"/>
    <w:rsid w:val="009C02E6"/>
    <w:rsid w:val="009C0795"/>
    <w:rsid w:val="009C0814"/>
    <w:rsid w:val="009C0D93"/>
    <w:rsid w:val="009C0DD9"/>
    <w:rsid w:val="009C0EA1"/>
    <w:rsid w:val="009C0EAB"/>
    <w:rsid w:val="009C0FA1"/>
    <w:rsid w:val="009C0FC6"/>
    <w:rsid w:val="009C11EE"/>
    <w:rsid w:val="009C18DE"/>
    <w:rsid w:val="009C1A45"/>
    <w:rsid w:val="009C1B36"/>
    <w:rsid w:val="009C1B70"/>
    <w:rsid w:val="009C1DB9"/>
    <w:rsid w:val="009C1E23"/>
    <w:rsid w:val="009C1E9D"/>
    <w:rsid w:val="009C1F4E"/>
    <w:rsid w:val="009C1F63"/>
    <w:rsid w:val="009C2228"/>
    <w:rsid w:val="009C22AC"/>
    <w:rsid w:val="009C27FF"/>
    <w:rsid w:val="009C2E05"/>
    <w:rsid w:val="009C2E54"/>
    <w:rsid w:val="009C3147"/>
    <w:rsid w:val="009C325F"/>
    <w:rsid w:val="009C3567"/>
    <w:rsid w:val="009C364E"/>
    <w:rsid w:val="009C3733"/>
    <w:rsid w:val="009C3923"/>
    <w:rsid w:val="009C3AEB"/>
    <w:rsid w:val="009C3C01"/>
    <w:rsid w:val="009C3D06"/>
    <w:rsid w:val="009C3E2D"/>
    <w:rsid w:val="009C3EBB"/>
    <w:rsid w:val="009C3F4B"/>
    <w:rsid w:val="009C3FC1"/>
    <w:rsid w:val="009C4203"/>
    <w:rsid w:val="009C44C9"/>
    <w:rsid w:val="009C451A"/>
    <w:rsid w:val="009C45AE"/>
    <w:rsid w:val="009C472F"/>
    <w:rsid w:val="009C4798"/>
    <w:rsid w:val="009C47F7"/>
    <w:rsid w:val="009C4BF8"/>
    <w:rsid w:val="009C4D7B"/>
    <w:rsid w:val="009C4D9B"/>
    <w:rsid w:val="009C4E45"/>
    <w:rsid w:val="009C5119"/>
    <w:rsid w:val="009C5122"/>
    <w:rsid w:val="009C52A5"/>
    <w:rsid w:val="009C5424"/>
    <w:rsid w:val="009C58A4"/>
    <w:rsid w:val="009C58D5"/>
    <w:rsid w:val="009C59B3"/>
    <w:rsid w:val="009C5B82"/>
    <w:rsid w:val="009C5C2B"/>
    <w:rsid w:val="009C5E5B"/>
    <w:rsid w:val="009C5EBA"/>
    <w:rsid w:val="009C62AC"/>
    <w:rsid w:val="009C62C1"/>
    <w:rsid w:val="009C631B"/>
    <w:rsid w:val="009C64AB"/>
    <w:rsid w:val="009C6508"/>
    <w:rsid w:val="009C6780"/>
    <w:rsid w:val="009C69E8"/>
    <w:rsid w:val="009C6B10"/>
    <w:rsid w:val="009C6B36"/>
    <w:rsid w:val="009C6F05"/>
    <w:rsid w:val="009C7279"/>
    <w:rsid w:val="009C72E3"/>
    <w:rsid w:val="009C73DD"/>
    <w:rsid w:val="009C7862"/>
    <w:rsid w:val="009C796A"/>
    <w:rsid w:val="009C7996"/>
    <w:rsid w:val="009C7B6B"/>
    <w:rsid w:val="009C7F57"/>
    <w:rsid w:val="009D0200"/>
    <w:rsid w:val="009D0451"/>
    <w:rsid w:val="009D074A"/>
    <w:rsid w:val="009D0C15"/>
    <w:rsid w:val="009D0CB7"/>
    <w:rsid w:val="009D0DDC"/>
    <w:rsid w:val="009D1430"/>
    <w:rsid w:val="009D149A"/>
    <w:rsid w:val="009D153F"/>
    <w:rsid w:val="009D164D"/>
    <w:rsid w:val="009D18B9"/>
    <w:rsid w:val="009D1D27"/>
    <w:rsid w:val="009D1F34"/>
    <w:rsid w:val="009D205F"/>
    <w:rsid w:val="009D20DC"/>
    <w:rsid w:val="009D2422"/>
    <w:rsid w:val="009D24D5"/>
    <w:rsid w:val="009D2562"/>
    <w:rsid w:val="009D25EE"/>
    <w:rsid w:val="009D2637"/>
    <w:rsid w:val="009D2E9E"/>
    <w:rsid w:val="009D3049"/>
    <w:rsid w:val="009D3253"/>
    <w:rsid w:val="009D3300"/>
    <w:rsid w:val="009D3433"/>
    <w:rsid w:val="009D3597"/>
    <w:rsid w:val="009D37E5"/>
    <w:rsid w:val="009D38B3"/>
    <w:rsid w:val="009D39A7"/>
    <w:rsid w:val="009D3A8A"/>
    <w:rsid w:val="009D3D47"/>
    <w:rsid w:val="009D3DAD"/>
    <w:rsid w:val="009D4028"/>
    <w:rsid w:val="009D42CD"/>
    <w:rsid w:val="009D42FC"/>
    <w:rsid w:val="009D449D"/>
    <w:rsid w:val="009D4A0D"/>
    <w:rsid w:val="009D4E92"/>
    <w:rsid w:val="009D4FAD"/>
    <w:rsid w:val="009D509E"/>
    <w:rsid w:val="009D50F5"/>
    <w:rsid w:val="009D5216"/>
    <w:rsid w:val="009D52CB"/>
    <w:rsid w:val="009D54EB"/>
    <w:rsid w:val="009D5826"/>
    <w:rsid w:val="009D5A60"/>
    <w:rsid w:val="009D5B5D"/>
    <w:rsid w:val="009D5CA6"/>
    <w:rsid w:val="009D5F4D"/>
    <w:rsid w:val="009D6094"/>
    <w:rsid w:val="009D6232"/>
    <w:rsid w:val="009D628A"/>
    <w:rsid w:val="009D62C3"/>
    <w:rsid w:val="009D63F7"/>
    <w:rsid w:val="009D6473"/>
    <w:rsid w:val="009D64D3"/>
    <w:rsid w:val="009D69C3"/>
    <w:rsid w:val="009D6D6E"/>
    <w:rsid w:val="009D6E87"/>
    <w:rsid w:val="009D7104"/>
    <w:rsid w:val="009D7238"/>
    <w:rsid w:val="009D73AD"/>
    <w:rsid w:val="009D7590"/>
    <w:rsid w:val="009D763D"/>
    <w:rsid w:val="009D7A1F"/>
    <w:rsid w:val="009D7B2A"/>
    <w:rsid w:val="009D7C04"/>
    <w:rsid w:val="009D7E04"/>
    <w:rsid w:val="009D7E4B"/>
    <w:rsid w:val="009D7EFC"/>
    <w:rsid w:val="009D7FE1"/>
    <w:rsid w:val="009E01CC"/>
    <w:rsid w:val="009E04B1"/>
    <w:rsid w:val="009E0A5C"/>
    <w:rsid w:val="009E0A83"/>
    <w:rsid w:val="009E0BA4"/>
    <w:rsid w:val="009E0C3C"/>
    <w:rsid w:val="009E0D8C"/>
    <w:rsid w:val="009E0DD8"/>
    <w:rsid w:val="009E0E53"/>
    <w:rsid w:val="009E0FBC"/>
    <w:rsid w:val="009E1206"/>
    <w:rsid w:val="009E15CF"/>
    <w:rsid w:val="009E15D6"/>
    <w:rsid w:val="009E166B"/>
    <w:rsid w:val="009E1786"/>
    <w:rsid w:val="009E17FC"/>
    <w:rsid w:val="009E19E8"/>
    <w:rsid w:val="009E1C75"/>
    <w:rsid w:val="009E1D1D"/>
    <w:rsid w:val="009E1D8B"/>
    <w:rsid w:val="009E2303"/>
    <w:rsid w:val="009E23C3"/>
    <w:rsid w:val="009E23EB"/>
    <w:rsid w:val="009E244F"/>
    <w:rsid w:val="009E25FE"/>
    <w:rsid w:val="009E26F2"/>
    <w:rsid w:val="009E2720"/>
    <w:rsid w:val="009E289F"/>
    <w:rsid w:val="009E2B4A"/>
    <w:rsid w:val="009E2C01"/>
    <w:rsid w:val="009E2CEB"/>
    <w:rsid w:val="009E2E7F"/>
    <w:rsid w:val="009E2E95"/>
    <w:rsid w:val="009E3187"/>
    <w:rsid w:val="009E32FB"/>
    <w:rsid w:val="009E345F"/>
    <w:rsid w:val="009E3572"/>
    <w:rsid w:val="009E3851"/>
    <w:rsid w:val="009E3BF5"/>
    <w:rsid w:val="009E3CF7"/>
    <w:rsid w:val="009E3D42"/>
    <w:rsid w:val="009E4132"/>
    <w:rsid w:val="009E42B4"/>
    <w:rsid w:val="009E433C"/>
    <w:rsid w:val="009E446F"/>
    <w:rsid w:val="009E4557"/>
    <w:rsid w:val="009E462D"/>
    <w:rsid w:val="009E4825"/>
    <w:rsid w:val="009E4A83"/>
    <w:rsid w:val="009E4ACB"/>
    <w:rsid w:val="009E4B1E"/>
    <w:rsid w:val="009E4D97"/>
    <w:rsid w:val="009E4DFF"/>
    <w:rsid w:val="009E5117"/>
    <w:rsid w:val="009E5208"/>
    <w:rsid w:val="009E528F"/>
    <w:rsid w:val="009E5650"/>
    <w:rsid w:val="009E5695"/>
    <w:rsid w:val="009E577D"/>
    <w:rsid w:val="009E578A"/>
    <w:rsid w:val="009E5871"/>
    <w:rsid w:val="009E58DB"/>
    <w:rsid w:val="009E5DF4"/>
    <w:rsid w:val="009E605E"/>
    <w:rsid w:val="009E60DB"/>
    <w:rsid w:val="009E60E0"/>
    <w:rsid w:val="009E6183"/>
    <w:rsid w:val="009E61D4"/>
    <w:rsid w:val="009E626C"/>
    <w:rsid w:val="009E626E"/>
    <w:rsid w:val="009E65A9"/>
    <w:rsid w:val="009E660E"/>
    <w:rsid w:val="009E67D6"/>
    <w:rsid w:val="009E69AB"/>
    <w:rsid w:val="009E6B0E"/>
    <w:rsid w:val="009E6B6A"/>
    <w:rsid w:val="009E6BCD"/>
    <w:rsid w:val="009E6CF5"/>
    <w:rsid w:val="009E6E17"/>
    <w:rsid w:val="009E6E45"/>
    <w:rsid w:val="009E6E86"/>
    <w:rsid w:val="009E6EEB"/>
    <w:rsid w:val="009E6EF9"/>
    <w:rsid w:val="009E7087"/>
    <w:rsid w:val="009E70BD"/>
    <w:rsid w:val="009E71A7"/>
    <w:rsid w:val="009E71D7"/>
    <w:rsid w:val="009E71F1"/>
    <w:rsid w:val="009E7436"/>
    <w:rsid w:val="009E7623"/>
    <w:rsid w:val="009E788C"/>
    <w:rsid w:val="009E7906"/>
    <w:rsid w:val="009E7B27"/>
    <w:rsid w:val="009E7B93"/>
    <w:rsid w:val="009E7E68"/>
    <w:rsid w:val="009F0482"/>
    <w:rsid w:val="009F04D3"/>
    <w:rsid w:val="009F0888"/>
    <w:rsid w:val="009F0A7C"/>
    <w:rsid w:val="009F0A96"/>
    <w:rsid w:val="009F0AA6"/>
    <w:rsid w:val="009F0F04"/>
    <w:rsid w:val="009F0F09"/>
    <w:rsid w:val="009F1295"/>
    <w:rsid w:val="009F14B1"/>
    <w:rsid w:val="009F160E"/>
    <w:rsid w:val="009F165C"/>
    <w:rsid w:val="009F17C0"/>
    <w:rsid w:val="009F197E"/>
    <w:rsid w:val="009F19AD"/>
    <w:rsid w:val="009F1AE4"/>
    <w:rsid w:val="009F1ECA"/>
    <w:rsid w:val="009F1F22"/>
    <w:rsid w:val="009F1FF8"/>
    <w:rsid w:val="009F2159"/>
    <w:rsid w:val="009F22D9"/>
    <w:rsid w:val="009F261E"/>
    <w:rsid w:val="009F276E"/>
    <w:rsid w:val="009F27A3"/>
    <w:rsid w:val="009F3174"/>
    <w:rsid w:val="009F3328"/>
    <w:rsid w:val="009F36AB"/>
    <w:rsid w:val="009F38A1"/>
    <w:rsid w:val="009F3B62"/>
    <w:rsid w:val="009F3B7B"/>
    <w:rsid w:val="009F3BE7"/>
    <w:rsid w:val="009F3C91"/>
    <w:rsid w:val="009F3CCC"/>
    <w:rsid w:val="009F3DA4"/>
    <w:rsid w:val="009F4453"/>
    <w:rsid w:val="009F448F"/>
    <w:rsid w:val="009F44AF"/>
    <w:rsid w:val="009F467C"/>
    <w:rsid w:val="009F4697"/>
    <w:rsid w:val="009F4706"/>
    <w:rsid w:val="009F48ED"/>
    <w:rsid w:val="009F4A61"/>
    <w:rsid w:val="009F4BCE"/>
    <w:rsid w:val="009F4D44"/>
    <w:rsid w:val="009F4EB6"/>
    <w:rsid w:val="009F4EFF"/>
    <w:rsid w:val="009F5081"/>
    <w:rsid w:val="009F51EF"/>
    <w:rsid w:val="009F5434"/>
    <w:rsid w:val="009F5591"/>
    <w:rsid w:val="009F580C"/>
    <w:rsid w:val="009F58C5"/>
    <w:rsid w:val="009F5C2C"/>
    <w:rsid w:val="009F5E29"/>
    <w:rsid w:val="009F5E99"/>
    <w:rsid w:val="009F5F49"/>
    <w:rsid w:val="009F603A"/>
    <w:rsid w:val="009F60BE"/>
    <w:rsid w:val="009F622D"/>
    <w:rsid w:val="009F637B"/>
    <w:rsid w:val="009F63CB"/>
    <w:rsid w:val="009F6496"/>
    <w:rsid w:val="009F64DC"/>
    <w:rsid w:val="009F6660"/>
    <w:rsid w:val="009F6AB6"/>
    <w:rsid w:val="009F6B52"/>
    <w:rsid w:val="009F6BC1"/>
    <w:rsid w:val="009F6D4A"/>
    <w:rsid w:val="009F6EF1"/>
    <w:rsid w:val="009F7071"/>
    <w:rsid w:val="009F7148"/>
    <w:rsid w:val="009F7170"/>
    <w:rsid w:val="009F7277"/>
    <w:rsid w:val="009F74A6"/>
    <w:rsid w:val="009F76E5"/>
    <w:rsid w:val="009F78D4"/>
    <w:rsid w:val="009F7BB2"/>
    <w:rsid w:val="009F7BDD"/>
    <w:rsid w:val="009F7BF1"/>
    <w:rsid w:val="009F7C66"/>
    <w:rsid w:val="00A0010F"/>
    <w:rsid w:val="00A00328"/>
    <w:rsid w:val="00A00383"/>
    <w:rsid w:val="00A0039A"/>
    <w:rsid w:val="00A006D7"/>
    <w:rsid w:val="00A00963"/>
    <w:rsid w:val="00A00B45"/>
    <w:rsid w:val="00A00CA9"/>
    <w:rsid w:val="00A00FA4"/>
    <w:rsid w:val="00A0103B"/>
    <w:rsid w:val="00A013A5"/>
    <w:rsid w:val="00A01657"/>
    <w:rsid w:val="00A018DD"/>
    <w:rsid w:val="00A018F8"/>
    <w:rsid w:val="00A019F0"/>
    <w:rsid w:val="00A01CED"/>
    <w:rsid w:val="00A01D27"/>
    <w:rsid w:val="00A02576"/>
    <w:rsid w:val="00A028C7"/>
    <w:rsid w:val="00A02A15"/>
    <w:rsid w:val="00A02A5B"/>
    <w:rsid w:val="00A02F5E"/>
    <w:rsid w:val="00A02FCD"/>
    <w:rsid w:val="00A02FED"/>
    <w:rsid w:val="00A03089"/>
    <w:rsid w:val="00A03126"/>
    <w:rsid w:val="00A03250"/>
    <w:rsid w:val="00A03253"/>
    <w:rsid w:val="00A033CD"/>
    <w:rsid w:val="00A037A2"/>
    <w:rsid w:val="00A03806"/>
    <w:rsid w:val="00A03AEE"/>
    <w:rsid w:val="00A03D87"/>
    <w:rsid w:val="00A03DF5"/>
    <w:rsid w:val="00A03FCF"/>
    <w:rsid w:val="00A043F5"/>
    <w:rsid w:val="00A044E7"/>
    <w:rsid w:val="00A047B5"/>
    <w:rsid w:val="00A047CA"/>
    <w:rsid w:val="00A04918"/>
    <w:rsid w:val="00A04BE3"/>
    <w:rsid w:val="00A04BFB"/>
    <w:rsid w:val="00A04EEB"/>
    <w:rsid w:val="00A04FD1"/>
    <w:rsid w:val="00A050E2"/>
    <w:rsid w:val="00A051CE"/>
    <w:rsid w:val="00A051E2"/>
    <w:rsid w:val="00A055F8"/>
    <w:rsid w:val="00A0567B"/>
    <w:rsid w:val="00A056C4"/>
    <w:rsid w:val="00A058F9"/>
    <w:rsid w:val="00A05ABE"/>
    <w:rsid w:val="00A05DE7"/>
    <w:rsid w:val="00A05DFE"/>
    <w:rsid w:val="00A0606E"/>
    <w:rsid w:val="00A0647E"/>
    <w:rsid w:val="00A06826"/>
    <w:rsid w:val="00A06BB2"/>
    <w:rsid w:val="00A06C94"/>
    <w:rsid w:val="00A06D05"/>
    <w:rsid w:val="00A06F06"/>
    <w:rsid w:val="00A06F84"/>
    <w:rsid w:val="00A0753B"/>
    <w:rsid w:val="00A076F7"/>
    <w:rsid w:val="00A077CC"/>
    <w:rsid w:val="00A0799E"/>
    <w:rsid w:val="00A101C0"/>
    <w:rsid w:val="00A10341"/>
    <w:rsid w:val="00A105C2"/>
    <w:rsid w:val="00A107FF"/>
    <w:rsid w:val="00A1095F"/>
    <w:rsid w:val="00A109DD"/>
    <w:rsid w:val="00A109F8"/>
    <w:rsid w:val="00A10A1B"/>
    <w:rsid w:val="00A11160"/>
    <w:rsid w:val="00A114F7"/>
    <w:rsid w:val="00A11617"/>
    <w:rsid w:val="00A116DD"/>
    <w:rsid w:val="00A118B0"/>
    <w:rsid w:val="00A11900"/>
    <w:rsid w:val="00A11909"/>
    <w:rsid w:val="00A11E3F"/>
    <w:rsid w:val="00A11EEA"/>
    <w:rsid w:val="00A121C5"/>
    <w:rsid w:val="00A121E3"/>
    <w:rsid w:val="00A1223B"/>
    <w:rsid w:val="00A12457"/>
    <w:rsid w:val="00A12528"/>
    <w:rsid w:val="00A127DF"/>
    <w:rsid w:val="00A128C3"/>
    <w:rsid w:val="00A12C10"/>
    <w:rsid w:val="00A130D7"/>
    <w:rsid w:val="00A1318A"/>
    <w:rsid w:val="00A13226"/>
    <w:rsid w:val="00A13431"/>
    <w:rsid w:val="00A13976"/>
    <w:rsid w:val="00A1399C"/>
    <w:rsid w:val="00A13B29"/>
    <w:rsid w:val="00A13D3D"/>
    <w:rsid w:val="00A13D9E"/>
    <w:rsid w:val="00A13F1F"/>
    <w:rsid w:val="00A14077"/>
    <w:rsid w:val="00A140B4"/>
    <w:rsid w:val="00A14137"/>
    <w:rsid w:val="00A14225"/>
    <w:rsid w:val="00A1422A"/>
    <w:rsid w:val="00A14332"/>
    <w:rsid w:val="00A14480"/>
    <w:rsid w:val="00A145EA"/>
    <w:rsid w:val="00A14798"/>
    <w:rsid w:val="00A147E4"/>
    <w:rsid w:val="00A14C55"/>
    <w:rsid w:val="00A14E61"/>
    <w:rsid w:val="00A15134"/>
    <w:rsid w:val="00A154EA"/>
    <w:rsid w:val="00A15669"/>
    <w:rsid w:val="00A1576D"/>
    <w:rsid w:val="00A15949"/>
    <w:rsid w:val="00A15A64"/>
    <w:rsid w:val="00A15CE2"/>
    <w:rsid w:val="00A15D07"/>
    <w:rsid w:val="00A16471"/>
    <w:rsid w:val="00A16499"/>
    <w:rsid w:val="00A164E5"/>
    <w:rsid w:val="00A1668E"/>
    <w:rsid w:val="00A166A3"/>
    <w:rsid w:val="00A167CD"/>
    <w:rsid w:val="00A16BD7"/>
    <w:rsid w:val="00A16DFC"/>
    <w:rsid w:val="00A1752F"/>
    <w:rsid w:val="00A17748"/>
    <w:rsid w:val="00A17924"/>
    <w:rsid w:val="00A17A28"/>
    <w:rsid w:val="00A17C1C"/>
    <w:rsid w:val="00A17C8B"/>
    <w:rsid w:val="00A17D30"/>
    <w:rsid w:val="00A20051"/>
    <w:rsid w:val="00A200BB"/>
    <w:rsid w:val="00A200CF"/>
    <w:rsid w:val="00A20224"/>
    <w:rsid w:val="00A2032C"/>
    <w:rsid w:val="00A203A4"/>
    <w:rsid w:val="00A203AA"/>
    <w:rsid w:val="00A20493"/>
    <w:rsid w:val="00A205CD"/>
    <w:rsid w:val="00A20913"/>
    <w:rsid w:val="00A20C58"/>
    <w:rsid w:val="00A20C7D"/>
    <w:rsid w:val="00A20D20"/>
    <w:rsid w:val="00A20DB6"/>
    <w:rsid w:val="00A20EC2"/>
    <w:rsid w:val="00A213CC"/>
    <w:rsid w:val="00A216D8"/>
    <w:rsid w:val="00A2192F"/>
    <w:rsid w:val="00A21953"/>
    <w:rsid w:val="00A21EB2"/>
    <w:rsid w:val="00A22052"/>
    <w:rsid w:val="00A220C3"/>
    <w:rsid w:val="00A2218B"/>
    <w:rsid w:val="00A22208"/>
    <w:rsid w:val="00A222CA"/>
    <w:rsid w:val="00A2235A"/>
    <w:rsid w:val="00A2235F"/>
    <w:rsid w:val="00A2240B"/>
    <w:rsid w:val="00A22725"/>
    <w:rsid w:val="00A22843"/>
    <w:rsid w:val="00A22B35"/>
    <w:rsid w:val="00A22D4E"/>
    <w:rsid w:val="00A22FE8"/>
    <w:rsid w:val="00A23070"/>
    <w:rsid w:val="00A231E9"/>
    <w:rsid w:val="00A2335D"/>
    <w:rsid w:val="00A2341D"/>
    <w:rsid w:val="00A2342C"/>
    <w:rsid w:val="00A23467"/>
    <w:rsid w:val="00A236B6"/>
    <w:rsid w:val="00A237A0"/>
    <w:rsid w:val="00A23A93"/>
    <w:rsid w:val="00A23B80"/>
    <w:rsid w:val="00A23C5A"/>
    <w:rsid w:val="00A23C87"/>
    <w:rsid w:val="00A23CF5"/>
    <w:rsid w:val="00A23D89"/>
    <w:rsid w:val="00A23DBA"/>
    <w:rsid w:val="00A23ED2"/>
    <w:rsid w:val="00A23F16"/>
    <w:rsid w:val="00A23F67"/>
    <w:rsid w:val="00A24183"/>
    <w:rsid w:val="00A24308"/>
    <w:rsid w:val="00A244C7"/>
    <w:rsid w:val="00A2451F"/>
    <w:rsid w:val="00A246D3"/>
    <w:rsid w:val="00A24AFC"/>
    <w:rsid w:val="00A24B7C"/>
    <w:rsid w:val="00A24B91"/>
    <w:rsid w:val="00A24CAE"/>
    <w:rsid w:val="00A25338"/>
    <w:rsid w:val="00A25503"/>
    <w:rsid w:val="00A25827"/>
    <w:rsid w:val="00A259DB"/>
    <w:rsid w:val="00A261A8"/>
    <w:rsid w:val="00A262C9"/>
    <w:rsid w:val="00A2686F"/>
    <w:rsid w:val="00A268BF"/>
    <w:rsid w:val="00A268FB"/>
    <w:rsid w:val="00A26EF9"/>
    <w:rsid w:val="00A271D0"/>
    <w:rsid w:val="00A272AA"/>
    <w:rsid w:val="00A273E5"/>
    <w:rsid w:val="00A273F2"/>
    <w:rsid w:val="00A27407"/>
    <w:rsid w:val="00A27408"/>
    <w:rsid w:val="00A27683"/>
    <w:rsid w:val="00A276A4"/>
    <w:rsid w:val="00A276F2"/>
    <w:rsid w:val="00A27B7D"/>
    <w:rsid w:val="00A27E49"/>
    <w:rsid w:val="00A30030"/>
    <w:rsid w:val="00A3007C"/>
    <w:rsid w:val="00A300C6"/>
    <w:rsid w:val="00A301AC"/>
    <w:rsid w:val="00A30378"/>
    <w:rsid w:val="00A303B8"/>
    <w:rsid w:val="00A309AF"/>
    <w:rsid w:val="00A30A51"/>
    <w:rsid w:val="00A30D13"/>
    <w:rsid w:val="00A30DC5"/>
    <w:rsid w:val="00A30F8F"/>
    <w:rsid w:val="00A31188"/>
    <w:rsid w:val="00A3143B"/>
    <w:rsid w:val="00A3190A"/>
    <w:rsid w:val="00A31A76"/>
    <w:rsid w:val="00A31DB8"/>
    <w:rsid w:val="00A31DE2"/>
    <w:rsid w:val="00A31F45"/>
    <w:rsid w:val="00A32099"/>
    <w:rsid w:val="00A323C7"/>
    <w:rsid w:val="00A3252D"/>
    <w:rsid w:val="00A32712"/>
    <w:rsid w:val="00A327BD"/>
    <w:rsid w:val="00A328D3"/>
    <w:rsid w:val="00A3315A"/>
    <w:rsid w:val="00A3337B"/>
    <w:rsid w:val="00A335DD"/>
    <w:rsid w:val="00A33730"/>
    <w:rsid w:val="00A338C9"/>
    <w:rsid w:val="00A33A0A"/>
    <w:rsid w:val="00A33B51"/>
    <w:rsid w:val="00A33B87"/>
    <w:rsid w:val="00A33D59"/>
    <w:rsid w:val="00A3416F"/>
    <w:rsid w:val="00A342EE"/>
    <w:rsid w:val="00A3431B"/>
    <w:rsid w:val="00A3434E"/>
    <w:rsid w:val="00A3445C"/>
    <w:rsid w:val="00A344B8"/>
    <w:rsid w:val="00A346A8"/>
    <w:rsid w:val="00A346D4"/>
    <w:rsid w:val="00A348E9"/>
    <w:rsid w:val="00A34E15"/>
    <w:rsid w:val="00A350B9"/>
    <w:rsid w:val="00A350E8"/>
    <w:rsid w:val="00A35555"/>
    <w:rsid w:val="00A3585C"/>
    <w:rsid w:val="00A35958"/>
    <w:rsid w:val="00A35A74"/>
    <w:rsid w:val="00A35A7B"/>
    <w:rsid w:val="00A35CAE"/>
    <w:rsid w:val="00A35DAD"/>
    <w:rsid w:val="00A36073"/>
    <w:rsid w:val="00A36241"/>
    <w:rsid w:val="00A364D8"/>
    <w:rsid w:val="00A36983"/>
    <w:rsid w:val="00A369CD"/>
    <w:rsid w:val="00A36C7A"/>
    <w:rsid w:val="00A36C99"/>
    <w:rsid w:val="00A36D8A"/>
    <w:rsid w:val="00A370CB"/>
    <w:rsid w:val="00A37463"/>
    <w:rsid w:val="00A3753B"/>
    <w:rsid w:val="00A3754D"/>
    <w:rsid w:val="00A375EC"/>
    <w:rsid w:val="00A376AC"/>
    <w:rsid w:val="00A37B5D"/>
    <w:rsid w:val="00A37E09"/>
    <w:rsid w:val="00A37E25"/>
    <w:rsid w:val="00A37F28"/>
    <w:rsid w:val="00A4015B"/>
    <w:rsid w:val="00A40197"/>
    <w:rsid w:val="00A40211"/>
    <w:rsid w:val="00A40467"/>
    <w:rsid w:val="00A404B3"/>
    <w:rsid w:val="00A404D9"/>
    <w:rsid w:val="00A4064A"/>
    <w:rsid w:val="00A40697"/>
    <w:rsid w:val="00A408F3"/>
    <w:rsid w:val="00A40BCF"/>
    <w:rsid w:val="00A40C27"/>
    <w:rsid w:val="00A40DEA"/>
    <w:rsid w:val="00A40E65"/>
    <w:rsid w:val="00A40F32"/>
    <w:rsid w:val="00A40FD2"/>
    <w:rsid w:val="00A40FE5"/>
    <w:rsid w:val="00A41735"/>
    <w:rsid w:val="00A4187D"/>
    <w:rsid w:val="00A41B38"/>
    <w:rsid w:val="00A41D3E"/>
    <w:rsid w:val="00A41DF1"/>
    <w:rsid w:val="00A41FE6"/>
    <w:rsid w:val="00A41FED"/>
    <w:rsid w:val="00A42176"/>
    <w:rsid w:val="00A422F7"/>
    <w:rsid w:val="00A424E4"/>
    <w:rsid w:val="00A42529"/>
    <w:rsid w:val="00A4262D"/>
    <w:rsid w:val="00A42735"/>
    <w:rsid w:val="00A42908"/>
    <w:rsid w:val="00A42974"/>
    <w:rsid w:val="00A42B7B"/>
    <w:rsid w:val="00A4334E"/>
    <w:rsid w:val="00A433E0"/>
    <w:rsid w:val="00A434A8"/>
    <w:rsid w:val="00A434C0"/>
    <w:rsid w:val="00A43668"/>
    <w:rsid w:val="00A4371E"/>
    <w:rsid w:val="00A439A4"/>
    <w:rsid w:val="00A43AC3"/>
    <w:rsid w:val="00A43F63"/>
    <w:rsid w:val="00A43F84"/>
    <w:rsid w:val="00A43FA0"/>
    <w:rsid w:val="00A44265"/>
    <w:rsid w:val="00A4454E"/>
    <w:rsid w:val="00A4465C"/>
    <w:rsid w:val="00A44A05"/>
    <w:rsid w:val="00A44B2F"/>
    <w:rsid w:val="00A45287"/>
    <w:rsid w:val="00A4554A"/>
    <w:rsid w:val="00A4559C"/>
    <w:rsid w:val="00A45800"/>
    <w:rsid w:val="00A4594A"/>
    <w:rsid w:val="00A45C9F"/>
    <w:rsid w:val="00A45E00"/>
    <w:rsid w:val="00A45FA2"/>
    <w:rsid w:val="00A4608B"/>
    <w:rsid w:val="00A46791"/>
    <w:rsid w:val="00A46C74"/>
    <w:rsid w:val="00A46CC3"/>
    <w:rsid w:val="00A46D0B"/>
    <w:rsid w:val="00A46E6B"/>
    <w:rsid w:val="00A46E82"/>
    <w:rsid w:val="00A47069"/>
    <w:rsid w:val="00A471ED"/>
    <w:rsid w:val="00A472BC"/>
    <w:rsid w:val="00A4734C"/>
    <w:rsid w:val="00A47542"/>
    <w:rsid w:val="00A47545"/>
    <w:rsid w:val="00A47692"/>
    <w:rsid w:val="00A476C1"/>
    <w:rsid w:val="00A476F5"/>
    <w:rsid w:val="00A47815"/>
    <w:rsid w:val="00A47A12"/>
    <w:rsid w:val="00A47DC0"/>
    <w:rsid w:val="00A47E6D"/>
    <w:rsid w:val="00A5001C"/>
    <w:rsid w:val="00A5008B"/>
    <w:rsid w:val="00A50491"/>
    <w:rsid w:val="00A5057C"/>
    <w:rsid w:val="00A505A4"/>
    <w:rsid w:val="00A50B4F"/>
    <w:rsid w:val="00A50E5F"/>
    <w:rsid w:val="00A51206"/>
    <w:rsid w:val="00A5139A"/>
    <w:rsid w:val="00A514B5"/>
    <w:rsid w:val="00A517BC"/>
    <w:rsid w:val="00A51AFF"/>
    <w:rsid w:val="00A51B0A"/>
    <w:rsid w:val="00A51B4C"/>
    <w:rsid w:val="00A51BD8"/>
    <w:rsid w:val="00A51C69"/>
    <w:rsid w:val="00A51D19"/>
    <w:rsid w:val="00A51D5D"/>
    <w:rsid w:val="00A51F69"/>
    <w:rsid w:val="00A52316"/>
    <w:rsid w:val="00A523B7"/>
    <w:rsid w:val="00A52A4B"/>
    <w:rsid w:val="00A52A53"/>
    <w:rsid w:val="00A52CB1"/>
    <w:rsid w:val="00A5305B"/>
    <w:rsid w:val="00A530AC"/>
    <w:rsid w:val="00A53420"/>
    <w:rsid w:val="00A534EC"/>
    <w:rsid w:val="00A537CF"/>
    <w:rsid w:val="00A539FE"/>
    <w:rsid w:val="00A53CD3"/>
    <w:rsid w:val="00A53CD4"/>
    <w:rsid w:val="00A53E70"/>
    <w:rsid w:val="00A53E9A"/>
    <w:rsid w:val="00A53EA3"/>
    <w:rsid w:val="00A53FF2"/>
    <w:rsid w:val="00A54000"/>
    <w:rsid w:val="00A5408B"/>
    <w:rsid w:val="00A54232"/>
    <w:rsid w:val="00A543EB"/>
    <w:rsid w:val="00A54885"/>
    <w:rsid w:val="00A54BDA"/>
    <w:rsid w:val="00A54BEC"/>
    <w:rsid w:val="00A54C4D"/>
    <w:rsid w:val="00A54E22"/>
    <w:rsid w:val="00A54F3A"/>
    <w:rsid w:val="00A55038"/>
    <w:rsid w:val="00A551B1"/>
    <w:rsid w:val="00A551F7"/>
    <w:rsid w:val="00A551F8"/>
    <w:rsid w:val="00A5541C"/>
    <w:rsid w:val="00A55602"/>
    <w:rsid w:val="00A5561A"/>
    <w:rsid w:val="00A5564A"/>
    <w:rsid w:val="00A55656"/>
    <w:rsid w:val="00A558B7"/>
    <w:rsid w:val="00A55E54"/>
    <w:rsid w:val="00A56183"/>
    <w:rsid w:val="00A562B0"/>
    <w:rsid w:val="00A5630D"/>
    <w:rsid w:val="00A56463"/>
    <w:rsid w:val="00A566E6"/>
    <w:rsid w:val="00A56849"/>
    <w:rsid w:val="00A568F1"/>
    <w:rsid w:val="00A56A40"/>
    <w:rsid w:val="00A56A85"/>
    <w:rsid w:val="00A56EAA"/>
    <w:rsid w:val="00A56F73"/>
    <w:rsid w:val="00A57030"/>
    <w:rsid w:val="00A5703F"/>
    <w:rsid w:val="00A5772D"/>
    <w:rsid w:val="00A5774B"/>
    <w:rsid w:val="00A57A8C"/>
    <w:rsid w:val="00A57D75"/>
    <w:rsid w:val="00A57E5F"/>
    <w:rsid w:val="00A602AD"/>
    <w:rsid w:val="00A603B3"/>
    <w:rsid w:val="00A603C8"/>
    <w:rsid w:val="00A60620"/>
    <w:rsid w:val="00A60673"/>
    <w:rsid w:val="00A6078C"/>
    <w:rsid w:val="00A6081B"/>
    <w:rsid w:val="00A60AC4"/>
    <w:rsid w:val="00A60BCD"/>
    <w:rsid w:val="00A60DF9"/>
    <w:rsid w:val="00A60F5A"/>
    <w:rsid w:val="00A60FE3"/>
    <w:rsid w:val="00A611E5"/>
    <w:rsid w:val="00A614A6"/>
    <w:rsid w:val="00A614C3"/>
    <w:rsid w:val="00A616BE"/>
    <w:rsid w:val="00A61A5B"/>
    <w:rsid w:val="00A61B97"/>
    <w:rsid w:val="00A61BBF"/>
    <w:rsid w:val="00A61DAE"/>
    <w:rsid w:val="00A61E52"/>
    <w:rsid w:val="00A61F1D"/>
    <w:rsid w:val="00A6265D"/>
    <w:rsid w:val="00A62691"/>
    <w:rsid w:val="00A628D8"/>
    <w:rsid w:val="00A62A1F"/>
    <w:rsid w:val="00A62B2E"/>
    <w:rsid w:val="00A62C00"/>
    <w:rsid w:val="00A62C73"/>
    <w:rsid w:val="00A62DA7"/>
    <w:rsid w:val="00A62F56"/>
    <w:rsid w:val="00A632B9"/>
    <w:rsid w:val="00A63332"/>
    <w:rsid w:val="00A633B0"/>
    <w:rsid w:val="00A635AF"/>
    <w:rsid w:val="00A63814"/>
    <w:rsid w:val="00A63B3F"/>
    <w:rsid w:val="00A63BAB"/>
    <w:rsid w:val="00A63BDD"/>
    <w:rsid w:val="00A63DE4"/>
    <w:rsid w:val="00A63EFA"/>
    <w:rsid w:val="00A63F65"/>
    <w:rsid w:val="00A6404D"/>
    <w:rsid w:val="00A64269"/>
    <w:rsid w:val="00A64408"/>
    <w:rsid w:val="00A644B3"/>
    <w:rsid w:val="00A64519"/>
    <w:rsid w:val="00A646BF"/>
    <w:rsid w:val="00A647A8"/>
    <w:rsid w:val="00A64D3C"/>
    <w:rsid w:val="00A64D53"/>
    <w:rsid w:val="00A64E6D"/>
    <w:rsid w:val="00A64F05"/>
    <w:rsid w:val="00A64FEE"/>
    <w:rsid w:val="00A6513C"/>
    <w:rsid w:val="00A6522C"/>
    <w:rsid w:val="00A653CE"/>
    <w:rsid w:val="00A65453"/>
    <w:rsid w:val="00A6546E"/>
    <w:rsid w:val="00A6548F"/>
    <w:rsid w:val="00A654C6"/>
    <w:rsid w:val="00A656A6"/>
    <w:rsid w:val="00A6589E"/>
    <w:rsid w:val="00A65992"/>
    <w:rsid w:val="00A65B2B"/>
    <w:rsid w:val="00A65D52"/>
    <w:rsid w:val="00A65DAF"/>
    <w:rsid w:val="00A65EB3"/>
    <w:rsid w:val="00A65F49"/>
    <w:rsid w:val="00A65F60"/>
    <w:rsid w:val="00A66074"/>
    <w:rsid w:val="00A6616C"/>
    <w:rsid w:val="00A66239"/>
    <w:rsid w:val="00A662CD"/>
    <w:rsid w:val="00A6633D"/>
    <w:rsid w:val="00A66401"/>
    <w:rsid w:val="00A66580"/>
    <w:rsid w:val="00A66782"/>
    <w:rsid w:val="00A6680B"/>
    <w:rsid w:val="00A66810"/>
    <w:rsid w:val="00A66A46"/>
    <w:rsid w:val="00A66ACE"/>
    <w:rsid w:val="00A66AE8"/>
    <w:rsid w:val="00A66C26"/>
    <w:rsid w:val="00A66D2F"/>
    <w:rsid w:val="00A66E06"/>
    <w:rsid w:val="00A67181"/>
    <w:rsid w:val="00A6734B"/>
    <w:rsid w:val="00A67518"/>
    <w:rsid w:val="00A675BD"/>
    <w:rsid w:val="00A676E6"/>
    <w:rsid w:val="00A67790"/>
    <w:rsid w:val="00A701C9"/>
    <w:rsid w:val="00A704DA"/>
    <w:rsid w:val="00A7059C"/>
    <w:rsid w:val="00A705FF"/>
    <w:rsid w:val="00A70697"/>
    <w:rsid w:val="00A70ADB"/>
    <w:rsid w:val="00A70CED"/>
    <w:rsid w:val="00A70EDA"/>
    <w:rsid w:val="00A71353"/>
    <w:rsid w:val="00A7146B"/>
    <w:rsid w:val="00A71472"/>
    <w:rsid w:val="00A714DC"/>
    <w:rsid w:val="00A717FD"/>
    <w:rsid w:val="00A71A1C"/>
    <w:rsid w:val="00A71D2F"/>
    <w:rsid w:val="00A71D80"/>
    <w:rsid w:val="00A71DD9"/>
    <w:rsid w:val="00A72285"/>
    <w:rsid w:val="00A723A6"/>
    <w:rsid w:val="00A72424"/>
    <w:rsid w:val="00A7299A"/>
    <w:rsid w:val="00A72A09"/>
    <w:rsid w:val="00A72EB2"/>
    <w:rsid w:val="00A73507"/>
    <w:rsid w:val="00A7354A"/>
    <w:rsid w:val="00A7356B"/>
    <w:rsid w:val="00A735CA"/>
    <w:rsid w:val="00A73857"/>
    <w:rsid w:val="00A7390E"/>
    <w:rsid w:val="00A73B0A"/>
    <w:rsid w:val="00A73E44"/>
    <w:rsid w:val="00A73ED4"/>
    <w:rsid w:val="00A7438A"/>
    <w:rsid w:val="00A74407"/>
    <w:rsid w:val="00A74689"/>
    <w:rsid w:val="00A74732"/>
    <w:rsid w:val="00A74734"/>
    <w:rsid w:val="00A7476A"/>
    <w:rsid w:val="00A747E2"/>
    <w:rsid w:val="00A74953"/>
    <w:rsid w:val="00A74D1B"/>
    <w:rsid w:val="00A74D3D"/>
    <w:rsid w:val="00A75147"/>
    <w:rsid w:val="00A75379"/>
    <w:rsid w:val="00A75893"/>
    <w:rsid w:val="00A75AC2"/>
    <w:rsid w:val="00A75B7D"/>
    <w:rsid w:val="00A75C7C"/>
    <w:rsid w:val="00A75EE6"/>
    <w:rsid w:val="00A75F62"/>
    <w:rsid w:val="00A75FA5"/>
    <w:rsid w:val="00A76260"/>
    <w:rsid w:val="00A7629A"/>
    <w:rsid w:val="00A762B7"/>
    <w:rsid w:val="00A76479"/>
    <w:rsid w:val="00A76551"/>
    <w:rsid w:val="00A76562"/>
    <w:rsid w:val="00A76594"/>
    <w:rsid w:val="00A76637"/>
    <w:rsid w:val="00A767E4"/>
    <w:rsid w:val="00A76817"/>
    <w:rsid w:val="00A76918"/>
    <w:rsid w:val="00A769DA"/>
    <w:rsid w:val="00A76CD0"/>
    <w:rsid w:val="00A7710D"/>
    <w:rsid w:val="00A771C4"/>
    <w:rsid w:val="00A7747B"/>
    <w:rsid w:val="00A7756C"/>
    <w:rsid w:val="00A779C7"/>
    <w:rsid w:val="00A77AE3"/>
    <w:rsid w:val="00A77B6E"/>
    <w:rsid w:val="00A77C7E"/>
    <w:rsid w:val="00A77E00"/>
    <w:rsid w:val="00A77E5B"/>
    <w:rsid w:val="00A80153"/>
    <w:rsid w:val="00A80345"/>
    <w:rsid w:val="00A8094F"/>
    <w:rsid w:val="00A80A47"/>
    <w:rsid w:val="00A80AD6"/>
    <w:rsid w:val="00A80CD8"/>
    <w:rsid w:val="00A80D4C"/>
    <w:rsid w:val="00A81272"/>
    <w:rsid w:val="00A8133C"/>
    <w:rsid w:val="00A815E0"/>
    <w:rsid w:val="00A819A4"/>
    <w:rsid w:val="00A81C8E"/>
    <w:rsid w:val="00A820C2"/>
    <w:rsid w:val="00A82229"/>
    <w:rsid w:val="00A8236B"/>
    <w:rsid w:val="00A825B4"/>
    <w:rsid w:val="00A82610"/>
    <w:rsid w:val="00A826AA"/>
    <w:rsid w:val="00A8296A"/>
    <w:rsid w:val="00A82A5F"/>
    <w:rsid w:val="00A82AEA"/>
    <w:rsid w:val="00A82BE7"/>
    <w:rsid w:val="00A82CB6"/>
    <w:rsid w:val="00A82D64"/>
    <w:rsid w:val="00A82EE1"/>
    <w:rsid w:val="00A83153"/>
    <w:rsid w:val="00A832FF"/>
    <w:rsid w:val="00A83300"/>
    <w:rsid w:val="00A83477"/>
    <w:rsid w:val="00A835DE"/>
    <w:rsid w:val="00A837F5"/>
    <w:rsid w:val="00A838B5"/>
    <w:rsid w:val="00A83A41"/>
    <w:rsid w:val="00A83B55"/>
    <w:rsid w:val="00A83CEB"/>
    <w:rsid w:val="00A83EDA"/>
    <w:rsid w:val="00A840AD"/>
    <w:rsid w:val="00A840F7"/>
    <w:rsid w:val="00A84363"/>
    <w:rsid w:val="00A843C1"/>
    <w:rsid w:val="00A8469C"/>
    <w:rsid w:val="00A849BA"/>
    <w:rsid w:val="00A84AE1"/>
    <w:rsid w:val="00A84B36"/>
    <w:rsid w:val="00A84CC4"/>
    <w:rsid w:val="00A850BA"/>
    <w:rsid w:val="00A8517C"/>
    <w:rsid w:val="00A8522F"/>
    <w:rsid w:val="00A85244"/>
    <w:rsid w:val="00A853AC"/>
    <w:rsid w:val="00A85413"/>
    <w:rsid w:val="00A85462"/>
    <w:rsid w:val="00A856C3"/>
    <w:rsid w:val="00A8576C"/>
    <w:rsid w:val="00A8579B"/>
    <w:rsid w:val="00A859F1"/>
    <w:rsid w:val="00A85A31"/>
    <w:rsid w:val="00A85C95"/>
    <w:rsid w:val="00A85CD8"/>
    <w:rsid w:val="00A85E18"/>
    <w:rsid w:val="00A85E28"/>
    <w:rsid w:val="00A85F0A"/>
    <w:rsid w:val="00A85F11"/>
    <w:rsid w:val="00A85F1F"/>
    <w:rsid w:val="00A86072"/>
    <w:rsid w:val="00A8611B"/>
    <w:rsid w:val="00A86414"/>
    <w:rsid w:val="00A864E5"/>
    <w:rsid w:val="00A86521"/>
    <w:rsid w:val="00A86A0C"/>
    <w:rsid w:val="00A86A45"/>
    <w:rsid w:val="00A86B75"/>
    <w:rsid w:val="00A86CB2"/>
    <w:rsid w:val="00A86E02"/>
    <w:rsid w:val="00A86EA6"/>
    <w:rsid w:val="00A87118"/>
    <w:rsid w:val="00A8745F"/>
    <w:rsid w:val="00A874B6"/>
    <w:rsid w:val="00A879D0"/>
    <w:rsid w:val="00A87BAD"/>
    <w:rsid w:val="00A87E96"/>
    <w:rsid w:val="00A87ED0"/>
    <w:rsid w:val="00A87ED4"/>
    <w:rsid w:val="00A87F47"/>
    <w:rsid w:val="00A8BAF1"/>
    <w:rsid w:val="00A9006C"/>
    <w:rsid w:val="00A901A9"/>
    <w:rsid w:val="00A90203"/>
    <w:rsid w:val="00A9029B"/>
    <w:rsid w:val="00A90530"/>
    <w:rsid w:val="00A90675"/>
    <w:rsid w:val="00A90752"/>
    <w:rsid w:val="00A907A1"/>
    <w:rsid w:val="00A90A5B"/>
    <w:rsid w:val="00A90C02"/>
    <w:rsid w:val="00A90DE2"/>
    <w:rsid w:val="00A90ED6"/>
    <w:rsid w:val="00A911A1"/>
    <w:rsid w:val="00A913E8"/>
    <w:rsid w:val="00A91486"/>
    <w:rsid w:val="00A91571"/>
    <w:rsid w:val="00A915C2"/>
    <w:rsid w:val="00A9175F"/>
    <w:rsid w:val="00A918D9"/>
    <w:rsid w:val="00A91A78"/>
    <w:rsid w:val="00A91D85"/>
    <w:rsid w:val="00A91DA5"/>
    <w:rsid w:val="00A91DF7"/>
    <w:rsid w:val="00A91E6E"/>
    <w:rsid w:val="00A92017"/>
    <w:rsid w:val="00A92140"/>
    <w:rsid w:val="00A923F5"/>
    <w:rsid w:val="00A92413"/>
    <w:rsid w:val="00A924DA"/>
    <w:rsid w:val="00A9252B"/>
    <w:rsid w:val="00A92676"/>
    <w:rsid w:val="00A9280F"/>
    <w:rsid w:val="00A9283A"/>
    <w:rsid w:val="00A92A07"/>
    <w:rsid w:val="00A92CCF"/>
    <w:rsid w:val="00A92DE8"/>
    <w:rsid w:val="00A931D3"/>
    <w:rsid w:val="00A931F8"/>
    <w:rsid w:val="00A934BB"/>
    <w:rsid w:val="00A938B3"/>
    <w:rsid w:val="00A93A67"/>
    <w:rsid w:val="00A93D13"/>
    <w:rsid w:val="00A93E87"/>
    <w:rsid w:val="00A93F4A"/>
    <w:rsid w:val="00A93FF9"/>
    <w:rsid w:val="00A941D7"/>
    <w:rsid w:val="00A94252"/>
    <w:rsid w:val="00A943A2"/>
    <w:rsid w:val="00A9448C"/>
    <w:rsid w:val="00A944AE"/>
    <w:rsid w:val="00A94611"/>
    <w:rsid w:val="00A947AD"/>
    <w:rsid w:val="00A947E7"/>
    <w:rsid w:val="00A94918"/>
    <w:rsid w:val="00A949DF"/>
    <w:rsid w:val="00A94BF6"/>
    <w:rsid w:val="00A94D90"/>
    <w:rsid w:val="00A94DE9"/>
    <w:rsid w:val="00A94F3E"/>
    <w:rsid w:val="00A94FDF"/>
    <w:rsid w:val="00A950C0"/>
    <w:rsid w:val="00A95114"/>
    <w:rsid w:val="00A95216"/>
    <w:rsid w:val="00A9523E"/>
    <w:rsid w:val="00A953B9"/>
    <w:rsid w:val="00A9542F"/>
    <w:rsid w:val="00A955A0"/>
    <w:rsid w:val="00A955BE"/>
    <w:rsid w:val="00A959CC"/>
    <w:rsid w:val="00A95A1F"/>
    <w:rsid w:val="00A95AB4"/>
    <w:rsid w:val="00A95B76"/>
    <w:rsid w:val="00A95B9A"/>
    <w:rsid w:val="00A95EE5"/>
    <w:rsid w:val="00A95FB1"/>
    <w:rsid w:val="00A961EE"/>
    <w:rsid w:val="00A963F0"/>
    <w:rsid w:val="00A964A6"/>
    <w:rsid w:val="00A964E2"/>
    <w:rsid w:val="00A96626"/>
    <w:rsid w:val="00A96990"/>
    <w:rsid w:val="00A969A2"/>
    <w:rsid w:val="00A969B1"/>
    <w:rsid w:val="00A969E5"/>
    <w:rsid w:val="00A96BDB"/>
    <w:rsid w:val="00A96C5F"/>
    <w:rsid w:val="00A96CA0"/>
    <w:rsid w:val="00A96D77"/>
    <w:rsid w:val="00A96DCD"/>
    <w:rsid w:val="00A96DD3"/>
    <w:rsid w:val="00A96EE6"/>
    <w:rsid w:val="00A96F06"/>
    <w:rsid w:val="00A96F1B"/>
    <w:rsid w:val="00A97006"/>
    <w:rsid w:val="00A97886"/>
    <w:rsid w:val="00A97909"/>
    <w:rsid w:val="00A97A50"/>
    <w:rsid w:val="00A97F07"/>
    <w:rsid w:val="00A97F7C"/>
    <w:rsid w:val="00A97FE5"/>
    <w:rsid w:val="00AA010D"/>
    <w:rsid w:val="00AA012D"/>
    <w:rsid w:val="00AA0277"/>
    <w:rsid w:val="00AA0550"/>
    <w:rsid w:val="00AA0734"/>
    <w:rsid w:val="00AA0741"/>
    <w:rsid w:val="00AA099E"/>
    <w:rsid w:val="00AA09B0"/>
    <w:rsid w:val="00AA0AAE"/>
    <w:rsid w:val="00AA0B07"/>
    <w:rsid w:val="00AA0BFB"/>
    <w:rsid w:val="00AA0D22"/>
    <w:rsid w:val="00AA0E1E"/>
    <w:rsid w:val="00AA0FE1"/>
    <w:rsid w:val="00AA0FF6"/>
    <w:rsid w:val="00AA10A4"/>
    <w:rsid w:val="00AA172E"/>
    <w:rsid w:val="00AA1940"/>
    <w:rsid w:val="00AA1C20"/>
    <w:rsid w:val="00AA1CF0"/>
    <w:rsid w:val="00AA1D8A"/>
    <w:rsid w:val="00AA1E01"/>
    <w:rsid w:val="00AA1E71"/>
    <w:rsid w:val="00AA1F06"/>
    <w:rsid w:val="00AA2040"/>
    <w:rsid w:val="00AA2227"/>
    <w:rsid w:val="00AA2267"/>
    <w:rsid w:val="00AA235C"/>
    <w:rsid w:val="00AA2408"/>
    <w:rsid w:val="00AA2632"/>
    <w:rsid w:val="00AA266E"/>
    <w:rsid w:val="00AA271F"/>
    <w:rsid w:val="00AA2C44"/>
    <w:rsid w:val="00AA2CB6"/>
    <w:rsid w:val="00AA2CD8"/>
    <w:rsid w:val="00AA2D8F"/>
    <w:rsid w:val="00AA2FC4"/>
    <w:rsid w:val="00AA2FDD"/>
    <w:rsid w:val="00AA30C6"/>
    <w:rsid w:val="00AA3108"/>
    <w:rsid w:val="00AA316A"/>
    <w:rsid w:val="00AA3647"/>
    <w:rsid w:val="00AA373E"/>
    <w:rsid w:val="00AA3928"/>
    <w:rsid w:val="00AA3B50"/>
    <w:rsid w:val="00AA3BFF"/>
    <w:rsid w:val="00AA3D4C"/>
    <w:rsid w:val="00AA3EBA"/>
    <w:rsid w:val="00AA3F74"/>
    <w:rsid w:val="00AA41F8"/>
    <w:rsid w:val="00AA4379"/>
    <w:rsid w:val="00AA461C"/>
    <w:rsid w:val="00AA47D5"/>
    <w:rsid w:val="00AA47F0"/>
    <w:rsid w:val="00AA4841"/>
    <w:rsid w:val="00AA4A48"/>
    <w:rsid w:val="00AA4B70"/>
    <w:rsid w:val="00AA4B91"/>
    <w:rsid w:val="00AA4B9F"/>
    <w:rsid w:val="00AA4C1C"/>
    <w:rsid w:val="00AA4C77"/>
    <w:rsid w:val="00AA4D32"/>
    <w:rsid w:val="00AA5017"/>
    <w:rsid w:val="00AA5248"/>
    <w:rsid w:val="00AA52AC"/>
    <w:rsid w:val="00AA53EC"/>
    <w:rsid w:val="00AA5407"/>
    <w:rsid w:val="00AA54FE"/>
    <w:rsid w:val="00AA566E"/>
    <w:rsid w:val="00AA58DF"/>
    <w:rsid w:val="00AA5907"/>
    <w:rsid w:val="00AA5A81"/>
    <w:rsid w:val="00AA5AA9"/>
    <w:rsid w:val="00AA5CC4"/>
    <w:rsid w:val="00AA5E08"/>
    <w:rsid w:val="00AA6338"/>
    <w:rsid w:val="00AA63C7"/>
    <w:rsid w:val="00AA647B"/>
    <w:rsid w:val="00AA6504"/>
    <w:rsid w:val="00AA656C"/>
    <w:rsid w:val="00AA6571"/>
    <w:rsid w:val="00AA6768"/>
    <w:rsid w:val="00AA67CF"/>
    <w:rsid w:val="00AA6893"/>
    <w:rsid w:val="00AA6A7E"/>
    <w:rsid w:val="00AA6E93"/>
    <w:rsid w:val="00AA6F52"/>
    <w:rsid w:val="00AA705F"/>
    <w:rsid w:val="00AA72AA"/>
    <w:rsid w:val="00AA733B"/>
    <w:rsid w:val="00AA7457"/>
    <w:rsid w:val="00AA748A"/>
    <w:rsid w:val="00AA77B6"/>
    <w:rsid w:val="00AA7A12"/>
    <w:rsid w:val="00AA7F78"/>
    <w:rsid w:val="00AB0161"/>
    <w:rsid w:val="00AB017F"/>
    <w:rsid w:val="00AB02BE"/>
    <w:rsid w:val="00AB04F6"/>
    <w:rsid w:val="00AB059B"/>
    <w:rsid w:val="00AB0781"/>
    <w:rsid w:val="00AB0900"/>
    <w:rsid w:val="00AB0A4D"/>
    <w:rsid w:val="00AB0B99"/>
    <w:rsid w:val="00AB0D99"/>
    <w:rsid w:val="00AB0D9F"/>
    <w:rsid w:val="00AB0ED3"/>
    <w:rsid w:val="00AB11A4"/>
    <w:rsid w:val="00AB1236"/>
    <w:rsid w:val="00AB134A"/>
    <w:rsid w:val="00AB1479"/>
    <w:rsid w:val="00AB14C6"/>
    <w:rsid w:val="00AB1654"/>
    <w:rsid w:val="00AB172E"/>
    <w:rsid w:val="00AB1943"/>
    <w:rsid w:val="00AB1D83"/>
    <w:rsid w:val="00AB1DB2"/>
    <w:rsid w:val="00AB244E"/>
    <w:rsid w:val="00AB24EE"/>
    <w:rsid w:val="00AB266E"/>
    <w:rsid w:val="00AB26BF"/>
    <w:rsid w:val="00AB26D1"/>
    <w:rsid w:val="00AB27D5"/>
    <w:rsid w:val="00AB2994"/>
    <w:rsid w:val="00AB29F0"/>
    <w:rsid w:val="00AB2A09"/>
    <w:rsid w:val="00AB2B1D"/>
    <w:rsid w:val="00AB2D7D"/>
    <w:rsid w:val="00AB2E20"/>
    <w:rsid w:val="00AB2EBB"/>
    <w:rsid w:val="00AB2FB8"/>
    <w:rsid w:val="00AB3181"/>
    <w:rsid w:val="00AB3418"/>
    <w:rsid w:val="00AB345D"/>
    <w:rsid w:val="00AB3495"/>
    <w:rsid w:val="00AB366D"/>
    <w:rsid w:val="00AB36F5"/>
    <w:rsid w:val="00AB3806"/>
    <w:rsid w:val="00AB3DA8"/>
    <w:rsid w:val="00AB3EF0"/>
    <w:rsid w:val="00AB3F5A"/>
    <w:rsid w:val="00AB43D8"/>
    <w:rsid w:val="00AB4586"/>
    <w:rsid w:val="00AB4743"/>
    <w:rsid w:val="00AB47B5"/>
    <w:rsid w:val="00AB4865"/>
    <w:rsid w:val="00AB4905"/>
    <w:rsid w:val="00AB4B5E"/>
    <w:rsid w:val="00AB4B75"/>
    <w:rsid w:val="00AB4BA2"/>
    <w:rsid w:val="00AB4EED"/>
    <w:rsid w:val="00AB51EF"/>
    <w:rsid w:val="00AB5249"/>
    <w:rsid w:val="00AB530C"/>
    <w:rsid w:val="00AB55CC"/>
    <w:rsid w:val="00AB592F"/>
    <w:rsid w:val="00AB5B3C"/>
    <w:rsid w:val="00AB5CFF"/>
    <w:rsid w:val="00AB5FD7"/>
    <w:rsid w:val="00AB6352"/>
    <w:rsid w:val="00AB648B"/>
    <w:rsid w:val="00AB6A54"/>
    <w:rsid w:val="00AB6BCA"/>
    <w:rsid w:val="00AB6C70"/>
    <w:rsid w:val="00AB6DEF"/>
    <w:rsid w:val="00AB7259"/>
    <w:rsid w:val="00AB7315"/>
    <w:rsid w:val="00AB77B0"/>
    <w:rsid w:val="00AB78AF"/>
    <w:rsid w:val="00AB7909"/>
    <w:rsid w:val="00AB7F07"/>
    <w:rsid w:val="00AB7F69"/>
    <w:rsid w:val="00AB7FC7"/>
    <w:rsid w:val="00AC01C4"/>
    <w:rsid w:val="00AC0676"/>
    <w:rsid w:val="00AC06F3"/>
    <w:rsid w:val="00AC0B1A"/>
    <w:rsid w:val="00AC0D2C"/>
    <w:rsid w:val="00AC10C0"/>
    <w:rsid w:val="00AC1516"/>
    <w:rsid w:val="00AC170C"/>
    <w:rsid w:val="00AC1920"/>
    <w:rsid w:val="00AC19ED"/>
    <w:rsid w:val="00AC19F2"/>
    <w:rsid w:val="00AC1B3A"/>
    <w:rsid w:val="00AC21A8"/>
    <w:rsid w:val="00AC2252"/>
    <w:rsid w:val="00AC240B"/>
    <w:rsid w:val="00AC2432"/>
    <w:rsid w:val="00AC2471"/>
    <w:rsid w:val="00AC2475"/>
    <w:rsid w:val="00AC2480"/>
    <w:rsid w:val="00AC2A0A"/>
    <w:rsid w:val="00AC2A6D"/>
    <w:rsid w:val="00AC2D42"/>
    <w:rsid w:val="00AC2E0E"/>
    <w:rsid w:val="00AC2EF9"/>
    <w:rsid w:val="00AC2FF9"/>
    <w:rsid w:val="00AC319F"/>
    <w:rsid w:val="00AC323B"/>
    <w:rsid w:val="00AC355A"/>
    <w:rsid w:val="00AC367F"/>
    <w:rsid w:val="00AC37C9"/>
    <w:rsid w:val="00AC38F8"/>
    <w:rsid w:val="00AC3A48"/>
    <w:rsid w:val="00AC3DC5"/>
    <w:rsid w:val="00AC3EE3"/>
    <w:rsid w:val="00AC48FF"/>
    <w:rsid w:val="00AC490A"/>
    <w:rsid w:val="00AC4A68"/>
    <w:rsid w:val="00AC4A6B"/>
    <w:rsid w:val="00AC4BE0"/>
    <w:rsid w:val="00AC4C64"/>
    <w:rsid w:val="00AC4E32"/>
    <w:rsid w:val="00AC4E55"/>
    <w:rsid w:val="00AC4FB9"/>
    <w:rsid w:val="00AC507E"/>
    <w:rsid w:val="00AC535B"/>
    <w:rsid w:val="00AC5441"/>
    <w:rsid w:val="00AC548D"/>
    <w:rsid w:val="00AC54F4"/>
    <w:rsid w:val="00AC5630"/>
    <w:rsid w:val="00AC5ACE"/>
    <w:rsid w:val="00AC5C5E"/>
    <w:rsid w:val="00AC5DD8"/>
    <w:rsid w:val="00AC6054"/>
    <w:rsid w:val="00AC613E"/>
    <w:rsid w:val="00AC6181"/>
    <w:rsid w:val="00AC61CB"/>
    <w:rsid w:val="00AC62AA"/>
    <w:rsid w:val="00AC64B0"/>
    <w:rsid w:val="00AC6961"/>
    <w:rsid w:val="00AC6E21"/>
    <w:rsid w:val="00AC6E48"/>
    <w:rsid w:val="00AC6FE2"/>
    <w:rsid w:val="00AC7313"/>
    <w:rsid w:val="00AC7468"/>
    <w:rsid w:val="00AC7630"/>
    <w:rsid w:val="00AC7760"/>
    <w:rsid w:val="00AC7BF8"/>
    <w:rsid w:val="00AC7CEE"/>
    <w:rsid w:val="00AC7E82"/>
    <w:rsid w:val="00AD0007"/>
    <w:rsid w:val="00AD04C7"/>
    <w:rsid w:val="00AD0647"/>
    <w:rsid w:val="00AD075F"/>
    <w:rsid w:val="00AD0C8A"/>
    <w:rsid w:val="00AD0F9E"/>
    <w:rsid w:val="00AD15A1"/>
    <w:rsid w:val="00AD1818"/>
    <w:rsid w:val="00AD1C24"/>
    <w:rsid w:val="00AD1C4B"/>
    <w:rsid w:val="00AD1C81"/>
    <w:rsid w:val="00AD212E"/>
    <w:rsid w:val="00AD2463"/>
    <w:rsid w:val="00AD24CF"/>
    <w:rsid w:val="00AD2C89"/>
    <w:rsid w:val="00AD2CE5"/>
    <w:rsid w:val="00AD2F46"/>
    <w:rsid w:val="00AD2F9C"/>
    <w:rsid w:val="00AD3315"/>
    <w:rsid w:val="00AD3764"/>
    <w:rsid w:val="00AD37EC"/>
    <w:rsid w:val="00AD39A3"/>
    <w:rsid w:val="00AD39B0"/>
    <w:rsid w:val="00AD3C3E"/>
    <w:rsid w:val="00AD3D47"/>
    <w:rsid w:val="00AD3DA3"/>
    <w:rsid w:val="00AD3FA2"/>
    <w:rsid w:val="00AD4330"/>
    <w:rsid w:val="00AD4423"/>
    <w:rsid w:val="00AD45DB"/>
    <w:rsid w:val="00AD45E9"/>
    <w:rsid w:val="00AD46E2"/>
    <w:rsid w:val="00AD47D6"/>
    <w:rsid w:val="00AD4848"/>
    <w:rsid w:val="00AD4940"/>
    <w:rsid w:val="00AD4BF9"/>
    <w:rsid w:val="00AD4C73"/>
    <w:rsid w:val="00AD4FD5"/>
    <w:rsid w:val="00AD5181"/>
    <w:rsid w:val="00AD5210"/>
    <w:rsid w:val="00AD5408"/>
    <w:rsid w:val="00AD54EB"/>
    <w:rsid w:val="00AD5647"/>
    <w:rsid w:val="00AD5756"/>
    <w:rsid w:val="00AD57D0"/>
    <w:rsid w:val="00AD5A13"/>
    <w:rsid w:val="00AD5B24"/>
    <w:rsid w:val="00AD5B30"/>
    <w:rsid w:val="00AD5EE1"/>
    <w:rsid w:val="00AD5F3F"/>
    <w:rsid w:val="00AD5FDC"/>
    <w:rsid w:val="00AD601E"/>
    <w:rsid w:val="00AD60FB"/>
    <w:rsid w:val="00AD647B"/>
    <w:rsid w:val="00AD6845"/>
    <w:rsid w:val="00AD6B54"/>
    <w:rsid w:val="00AD6B61"/>
    <w:rsid w:val="00AD6B75"/>
    <w:rsid w:val="00AD6E3C"/>
    <w:rsid w:val="00AD7131"/>
    <w:rsid w:val="00AD7C84"/>
    <w:rsid w:val="00AD7E18"/>
    <w:rsid w:val="00AD7EDE"/>
    <w:rsid w:val="00ADB2D6"/>
    <w:rsid w:val="00ADD956"/>
    <w:rsid w:val="00AE0236"/>
    <w:rsid w:val="00AE05E1"/>
    <w:rsid w:val="00AE0908"/>
    <w:rsid w:val="00AE0920"/>
    <w:rsid w:val="00AE0943"/>
    <w:rsid w:val="00AE0C0B"/>
    <w:rsid w:val="00AE0F04"/>
    <w:rsid w:val="00AE1090"/>
    <w:rsid w:val="00AE11E4"/>
    <w:rsid w:val="00AE18B5"/>
    <w:rsid w:val="00AE199B"/>
    <w:rsid w:val="00AE1A77"/>
    <w:rsid w:val="00AE1A91"/>
    <w:rsid w:val="00AE1B5B"/>
    <w:rsid w:val="00AE1C80"/>
    <w:rsid w:val="00AE1EFD"/>
    <w:rsid w:val="00AE218F"/>
    <w:rsid w:val="00AE241B"/>
    <w:rsid w:val="00AE2421"/>
    <w:rsid w:val="00AE277A"/>
    <w:rsid w:val="00AE27CD"/>
    <w:rsid w:val="00AE285A"/>
    <w:rsid w:val="00AE2911"/>
    <w:rsid w:val="00AE2930"/>
    <w:rsid w:val="00AE2E17"/>
    <w:rsid w:val="00AE2EAD"/>
    <w:rsid w:val="00AE2F9A"/>
    <w:rsid w:val="00AE30CD"/>
    <w:rsid w:val="00AE3103"/>
    <w:rsid w:val="00AE3387"/>
    <w:rsid w:val="00AE3458"/>
    <w:rsid w:val="00AE34A7"/>
    <w:rsid w:val="00AE3611"/>
    <w:rsid w:val="00AE36ED"/>
    <w:rsid w:val="00AE3807"/>
    <w:rsid w:val="00AE3989"/>
    <w:rsid w:val="00AE3DD1"/>
    <w:rsid w:val="00AE4051"/>
    <w:rsid w:val="00AE41E2"/>
    <w:rsid w:val="00AE448F"/>
    <w:rsid w:val="00AE4745"/>
    <w:rsid w:val="00AE4856"/>
    <w:rsid w:val="00AE4A44"/>
    <w:rsid w:val="00AE4A7B"/>
    <w:rsid w:val="00AE4B68"/>
    <w:rsid w:val="00AE4C86"/>
    <w:rsid w:val="00AE4D3F"/>
    <w:rsid w:val="00AE5633"/>
    <w:rsid w:val="00AE5700"/>
    <w:rsid w:val="00AE5776"/>
    <w:rsid w:val="00AE5943"/>
    <w:rsid w:val="00AE5A8F"/>
    <w:rsid w:val="00AE5B7E"/>
    <w:rsid w:val="00AE5C45"/>
    <w:rsid w:val="00AE5CFF"/>
    <w:rsid w:val="00AE5DD2"/>
    <w:rsid w:val="00AE5F60"/>
    <w:rsid w:val="00AE62BD"/>
    <w:rsid w:val="00AE6705"/>
    <w:rsid w:val="00AE67E6"/>
    <w:rsid w:val="00AE699D"/>
    <w:rsid w:val="00AE6A04"/>
    <w:rsid w:val="00AE6B07"/>
    <w:rsid w:val="00AE6B58"/>
    <w:rsid w:val="00AE6B78"/>
    <w:rsid w:val="00AE6BC3"/>
    <w:rsid w:val="00AE6D82"/>
    <w:rsid w:val="00AE6EF3"/>
    <w:rsid w:val="00AE7081"/>
    <w:rsid w:val="00AE7135"/>
    <w:rsid w:val="00AE74F8"/>
    <w:rsid w:val="00AE7B99"/>
    <w:rsid w:val="00AF0003"/>
    <w:rsid w:val="00AF0058"/>
    <w:rsid w:val="00AF00DE"/>
    <w:rsid w:val="00AF01FE"/>
    <w:rsid w:val="00AF023E"/>
    <w:rsid w:val="00AF034A"/>
    <w:rsid w:val="00AF03B2"/>
    <w:rsid w:val="00AF03F3"/>
    <w:rsid w:val="00AF0654"/>
    <w:rsid w:val="00AF0700"/>
    <w:rsid w:val="00AF08A5"/>
    <w:rsid w:val="00AF08F9"/>
    <w:rsid w:val="00AF0902"/>
    <w:rsid w:val="00AF091F"/>
    <w:rsid w:val="00AF0980"/>
    <w:rsid w:val="00AF0C97"/>
    <w:rsid w:val="00AF1483"/>
    <w:rsid w:val="00AF1B31"/>
    <w:rsid w:val="00AF1C38"/>
    <w:rsid w:val="00AF1C73"/>
    <w:rsid w:val="00AF1CCC"/>
    <w:rsid w:val="00AF1D28"/>
    <w:rsid w:val="00AF1DE5"/>
    <w:rsid w:val="00AF1EC1"/>
    <w:rsid w:val="00AF1F1D"/>
    <w:rsid w:val="00AF210D"/>
    <w:rsid w:val="00AF22D6"/>
    <w:rsid w:val="00AF2889"/>
    <w:rsid w:val="00AF2CAF"/>
    <w:rsid w:val="00AF2D8D"/>
    <w:rsid w:val="00AF2DD9"/>
    <w:rsid w:val="00AF2E90"/>
    <w:rsid w:val="00AF3099"/>
    <w:rsid w:val="00AF318C"/>
    <w:rsid w:val="00AF323D"/>
    <w:rsid w:val="00AF325B"/>
    <w:rsid w:val="00AF330D"/>
    <w:rsid w:val="00AF346E"/>
    <w:rsid w:val="00AF35E1"/>
    <w:rsid w:val="00AF37B6"/>
    <w:rsid w:val="00AF38C4"/>
    <w:rsid w:val="00AF3A46"/>
    <w:rsid w:val="00AF3BBA"/>
    <w:rsid w:val="00AF3BD3"/>
    <w:rsid w:val="00AF3C15"/>
    <w:rsid w:val="00AF3C98"/>
    <w:rsid w:val="00AF3D65"/>
    <w:rsid w:val="00AF3DF3"/>
    <w:rsid w:val="00AF3DFC"/>
    <w:rsid w:val="00AF3F5C"/>
    <w:rsid w:val="00AF408D"/>
    <w:rsid w:val="00AF425A"/>
    <w:rsid w:val="00AF4602"/>
    <w:rsid w:val="00AF4641"/>
    <w:rsid w:val="00AF4667"/>
    <w:rsid w:val="00AF4AFF"/>
    <w:rsid w:val="00AF4E55"/>
    <w:rsid w:val="00AF539E"/>
    <w:rsid w:val="00AF5504"/>
    <w:rsid w:val="00AF5585"/>
    <w:rsid w:val="00AF568C"/>
    <w:rsid w:val="00AF5D4B"/>
    <w:rsid w:val="00AF5F31"/>
    <w:rsid w:val="00AF603A"/>
    <w:rsid w:val="00AF609E"/>
    <w:rsid w:val="00AF611C"/>
    <w:rsid w:val="00AF6276"/>
    <w:rsid w:val="00AF63FD"/>
    <w:rsid w:val="00AF64D5"/>
    <w:rsid w:val="00AF66D3"/>
    <w:rsid w:val="00AF6C11"/>
    <w:rsid w:val="00AF6D52"/>
    <w:rsid w:val="00AF6DB5"/>
    <w:rsid w:val="00AF6E2C"/>
    <w:rsid w:val="00AF6FA1"/>
    <w:rsid w:val="00AF70FA"/>
    <w:rsid w:val="00AF70FF"/>
    <w:rsid w:val="00AF738C"/>
    <w:rsid w:val="00AF7580"/>
    <w:rsid w:val="00AF7963"/>
    <w:rsid w:val="00AF7980"/>
    <w:rsid w:val="00AF7C01"/>
    <w:rsid w:val="00AF7E41"/>
    <w:rsid w:val="00AF7F40"/>
    <w:rsid w:val="00B00036"/>
    <w:rsid w:val="00B001AC"/>
    <w:rsid w:val="00B00889"/>
    <w:rsid w:val="00B00A75"/>
    <w:rsid w:val="00B00A8E"/>
    <w:rsid w:val="00B00AA3"/>
    <w:rsid w:val="00B00AD5"/>
    <w:rsid w:val="00B00C6E"/>
    <w:rsid w:val="00B00E75"/>
    <w:rsid w:val="00B00F82"/>
    <w:rsid w:val="00B00F85"/>
    <w:rsid w:val="00B01113"/>
    <w:rsid w:val="00B01153"/>
    <w:rsid w:val="00B01375"/>
    <w:rsid w:val="00B01422"/>
    <w:rsid w:val="00B0180D"/>
    <w:rsid w:val="00B01A01"/>
    <w:rsid w:val="00B01B80"/>
    <w:rsid w:val="00B01EFB"/>
    <w:rsid w:val="00B0207F"/>
    <w:rsid w:val="00B020F5"/>
    <w:rsid w:val="00B02276"/>
    <w:rsid w:val="00B023AF"/>
    <w:rsid w:val="00B023FC"/>
    <w:rsid w:val="00B02450"/>
    <w:rsid w:val="00B0246B"/>
    <w:rsid w:val="00B026BC"/>
    <w:rsid w:val="00B0272E"/>
    <w:rsid w:val="00B02AE5"/>
    <w:rsid w:val="00B02E10"/>
    <w:rsid w:val="00B02E61"/>
    <w:rsid w:val="00B02F2A"/>
    <w:rsid w:val="00B03116"/>
    <w:rsid w:val="00B031D5"/>
    <w:rsid w:val="00B033B8"/>
    <w:rsid w:val="00B03446"/>
    <w:rsid w:val="00B0345A"/>
    <w:rsid w:val="00B03498"/>
    <w:rsid w:val="00B0351C"/>
    <w:rsid w:val="00B03531"/>
    <w:rsid w:val="00B03765"/>
    <w:rsid w:val="00B03892"/>
    <w:rsid w:val="00B038E6"/>
    <w:rsid w:val="00B03AAB"/>
    <w:rsid w:val="00B03ABC"/>
    <w:rsid w:val="00B03C3A"/>
    <w:rsid w:val="00B03C85"/>
    <w:rsid w:val="00B03E4C"/>
    <w:rsid w:val="00B03EBD"/>
    <w:rsid w:val="00B03FE4"/>
    <w:rsid w:val="00B04058"/>
    <w:rsid w:val="00B040B1"/>
    <w:rsid w:val="00B043C5"/>
    <w:rsid w:val="00B045F8"/>
    <w:rsid w:val="00B046B0"/>
    <w:rsid w:val="00B049B7"/>
    <w:rsid w:val="00B04CEA"/>
    <w:rsid w:val="00B04F7B"/>
    <w:rsid w:val="00B05047"/>
    <w:rsid w:val="00B05102"/>
    <w:rsid w:val="00B052AF"/>
    <w:rsid w:val="00B053B2"/>
    <w:rsid w:val="00B0540E"/>
    <w:rsid w:val="00B056C1"/>
    <w:rsid w:val="00B058F7"/>
    <w:rsid w:val="00B05941"/>
    <w:rsid w:val="00B0597C"/>
    <w:rsid w:val="00B059BD"/>
    <w:rsid w:val="00B06146"/>
    <w:rsid w:val="00B061BF"/>
    <w:rsid w:val="00B06368"/>
    <w:rsid w:val="00B0665F"/>
    <w:rsid w:val="00B06711"/>
    <w:rsid w:val="00B067BF"/>
    <w:rsid w:val="00B0684D"/>
    <w:rsid w:val="00B0687C"/>
    <w:rsid w:val="00B0699D"/>
    <w:rsid w:val="00B06B79"/>
    <w:rsid w:val="00B06CBD"/>
    <w:rsid w:val="00B06EE3"/>
    <w:rsid w:val="00B07020"/>
    <w:rsid w:val="00B07061"/>
    <w:rsid w:val="00B0708C"/>
    <w:rsid w:val="00B073A8"/>
    <w:rsid w:val="00B07513"/>
    <w:rsid w:val="00B0756B"/>
    <w:rsid w:val="00B07666"/>
    <w:rsid w:val="00B07962"/>
    <w:rsid w:val="00B07A50"/>
    <w:rsid w:val="00B07FA8"/>
    <w:rsid w:val="00B101E1"/>
    <w:rsid w:val="00B1052A"/>
    <w:rsid w:val="00B109CD"/>
    <w:rsid w:val="00B10B26"/>
    <w:rsid w:val="00B10F13"/>
    <w:rsid w:val="00B10F4B"/>
    <w:rsid w:val="00B1102A"/>
    <w:rsid w:val="00B11075"/>
    <w:rsid w:val="00B11082"/>
    <w:rsid w:val="00B117E8"/>
    <w:rsid w:val="00B11BE1"/>
    <w:rsid w:val="00B11F79"/>
    <w:rsid w:val="00B12578"/>
    <w:rsid w:val="00B12647"/>
    <w:rsid w:val="00B129AC"/>
    <w:rsid w:val="00B12ABB"/>
    <w:rsid w:val="00B12B5C"/>
    <w:rsid w:val="00B12BF2"/>
    <w:rsid w:val="00B12CA5"/>
    <w:rsid w:val="00B12DA9"/>
    <w:rsid w:val="00B13019"/>
    <w:rsid w:val="00B13301"/>
    <w:rsid w:val="00B134D8"/>
    <w:rsid w:val="00B136B0"/>
    <w:rsid w:val="00B1386B"/>
    <w:rsid w:val="00B13EC6"/>
    <w:rsid w:val="00B144F1"/>
    <w:rsid w:val="00B14523"/>
    <w:rsid w:val="00B1476C"/>
    <w:rsid w:val="00B14841"/>
    <w:rsid w:val="00B14A81"/>
    <w:rsid w:val="00B14C6B"/>
    <w:rsid w:val="00B1507B"/>
    <w:rsid w:val="00B1530A"/>
    <w:rsid w:val="00B15480"/>
    <w:rsid w:val="00B1549F"/>
    <w:rsid w:val="00B15585"/>
    <w:rsid w:val="00B156B4"/>
    <w:rsid w:val="00B156F0"/>
    <w:rsid w:val="00B15868"/>
    <w:rsid w:val="00B15D3F"/>
    <w:rsid w:val="00B1608B"/>
    <w:rsid w:val="00B1609B"/>
    <w:rsid w:val="00B1610E"/>
    <w:rsid w:val="00B1625F"/>
    <w:rsid w:val="00B1630D"/>
    <w:rsid w:val="00B164B7"/>
    <w:rsid w:val="00B167A8"/>
    <w:rsid w:val="00B167F7"/>
    <w:rsid w:val="00B16907"/>
    <w:rsid w:val="00B16AE7"/>
    <w:rsid w:val="00B16C25"/>
    <w:rsid w:val="00B16D95"/>
    <w:rsid w:val="00B1703B"/>
    <w:rsid w:val="00B17380"/>
    <w:rsid w:val="00B174D3"/>
    <w:rsid w:val="00B17674"/>
    <w:rsid w:val="00B176DF"/>
    <w:rsid w:val="00B17BAF"/>
    <w:rsid w:val="00B17CCE"/>
    <w:rsid w:val="00B1821A"/>
    <w:rsid w:val="00B1C6DB"/>
    <w:rsid w:val="00B20251"/>
    <w:rsid w:val="00B202C0"/>
    <w:rsid w:val="00B203DD"/>
    <w:rsid w:val="00B208D8"/>
    <w:rsid w:val="00B20991"/>
    <w:rsid w:val="00B20C31"/>
    <w:rsid w:val="00B20C9A"/>
    <w:rsid w:val="00B20D40"/>
    <w:rsid w:val="00B20E70"/>
    <w:rsid w:val="00B21303"/>
    <w:rsid w:val="00B21330"/>
    <w:rsid w:val="00B21708"/>
    <w:rsid w:val="00B21813"/>
    <w:rsid w:val="00B21825"/>
    <w:rsid w:val="00B2188E"/>
    <w:rsid w:val="00B21890"/>
    <w:rsid w:val="00B2191F"/>
    <w:rsid w:val="00B219F8"/>
    <w:rsid w:val="00B21BBD"/>
    <w:rsid w:val="00B21BE3"/>
    <w:rsid w:val="00B21DF0"/>
    <w:rsid w:val="00B21E35"/>
    <w:rsid w:val="00B21E7C"/>
    <w:rsid w:val="00B22002"/>
    <w:rsid w:val="00B220AE"/>
    <w:rsid w:val="00B221EB"/>
    <w:rsid w:val="00B225BB"/>
    <w:rsid w:val="00B22735"/>
    <w:rsid w:val="00B22868"/>
    <w:rsid w:val="00B228DC"/>
    <w:rsid w:val="00B229C5"/>
    <w:rsid w:val="00B229D2"/>
    <w:rsid w:val="00B22A19"/>
    <w:rsid w:val="00B22C54"/>
    <w:rsid w:val="00B2310C"/>
    <w:rsid w:val="00B23193"/>
    <w:rsid w:val="00B231BE"/>
    <w:rsid w:val="00B23451"/>
    <w:rsid w:val="00B2355E"/>
    <w:rsid w:val="00B23B28"/>
    <w:rsid w:val="00B23C0F"/>
    <w:rsid w:val="00B23C35"/>
    <w:rsid w:val="00B23C70"/>
    <w:rsid w:val="00B23E5D"/>
    <w:rsid w:val="00B240C7"/>
    <w:rsid w:val="00B24282"/>
    <w:rsid w:val="00B244F4"/>
    <w:rsid w:val="00B2487F"/>
    <w:rsid w:val="00B24883"/>
    <w:rsid w:val="00B24C2E"/>
    <w:rsid w:val="00B24C7E"/>
    <w:rsid w:val="00B24E27"/>
    <w:rsid w:val="00B25055"/>
    <w:rsid w:val="00B25159"/>
    <w:rsid w:val="00B25175"/>
    <w:rsid w:val="00B25393"/>
    <w:rsid w:val="00B2540E"/>
    <w:rsid w:val="00B2547A"/>
    <w:rsid w:val="00B2550A"/>
    <w:rsid w:val="00B25816"/>
    <w:rsid w:val="00B25A57"/>
    <w:rsid w:val="00B25BAC"/>
    <w:rsid w:val="00B25BE9"/>
    <w:rsid w:val="00B25F90"/>
    <w:rsid w:val="00B260F4"/>
    <w:rsid w:val="00B26168"/>
    <w:rsid w:val="00B2626D"/>
    <w:rsid w:val="00B26313"/>
    <w:rsid w:val="00B26475"/>
    <w:rsid w:val="00B26534"/>
    <w:rsid w:val="00B26624"/>
    <w:rsid w:val="00B269F4"/>
    <w:rsid w:val="00B26C45"/>
    <w:rsid w:val="00B26CE6"/>
    <w:rsid w:val="00B26D75"/>
    <w:rsid w:val="00B26D8F"/>
    <w:rsid w:val="00B26E08"/>
    <w:rsid w:val="00B26EC4"/>
    <w:rsid w:val="00B27006"/>
    <w:rsid w:val="00B271DC"/>
    <w:rsid w:val="00B27418"/>
    <w:rsid w:val="00B27626"/>
    <w:rsid w:val="00B27959"/>
    <w:rsid w:val="00B27A64"/>
    <w:rsid w:val="00B27B56"/>
    <w:rsid w:val="00B27C38"/>
    <w:rsid w:val="00B27D6F"/>
    <w:rsid w:val="00B27F77"/>
    <w:rsid w:val="00B30037"/>
    <w:rsid w:val="00B30294"/>
    <w:rsid w:val="00B304F2"/>
    <w:rsid w:val="00B305AD"/>
    <w:rsid w:val="00B3073B"/>
    <w:rsid w:val="00B307BE"/>
    <w:rsid w:val="00B3091B"/>
    <w:rsid w:val="00B309F0"/>
    <w:rsid w:val="00B30A1D"/>
    <w:rsid w:val="00B30B11"/>
    <w:rsid w:val="00B30B86"/>
    <w:rsid w:val="00B30B8E"/>
    <w:rsid w:val="00B30EDA"/>
    <w:rsid w:val="00B30F15"/>
    <w:rsid w:val="00B30FAE"/>
    <w:rsid w:val="00B30FB5"/>
    <w:rsid w:val="00B311B2"/>
    <w:rsid w:val="00B31270"/>
    <w:rsid w:val="00B312F4"/>
    <w:rsid w:val="00B3136D"/>
    <w:rsid w:val="00B3145D"/>
    <w:rsid w:val="00B3153C"/>
    <w:rsid w:val="00B3164C"/>
    <w:rsid w:val="00B31CF8"/>
    <w:rsid w:val="00B31F25"/>
    <w:rsid w:val="00B324E6"/>
    <w:rsid w:val="00B3257B"/>
    <w:rsid w:val="00B32AAA"/>
    <w:rsid w:val="00B32B28"/>
    <w:rsid w:val="00B32CA1"/>
    <w:rsid w:val="00B32DB1"/>
    <w:rsid w:val="00B32E1A"/>
    <w:rsid w:val="00B32E37"/>
    <w:rsid w:val="00B32E4E"/>
    <w:rsid w:val="00B3329E"/>
    <w:rsid w:val="00B33638"/>
    <w:rsid w:val="00B337F5"/>
    <w:rsid w:val="00B3395D"/>
    <w:rsid w:val="00B33AA3"/>
    <w:rsid w:val="00B33ACE"/>
    <w:rsid w:val="00B33B58"/>
    <w:rsid w:val="00B33D62"/>
    <w:rsid w:val="00B33E08"/>
    <w:rsid w:val="00B33EFC"/>
    <w:rsid w:val="00B3405B"/>
    <w:rsid w:val="00B341E9"/>
    <w:rsid w:val="00B3434D"/>
    <w:rsid w:val="00B34391"/>
    <w:rsid w:val="00B344BA"/>
    <w:rsid w:val="00B344F3"/>
    <w:rsid w:val="00B3458C"/>
    <w:rsid w:val="00B345C0"/>
    <w:rsid w:val="00B34C64"/>
    <w:rsid w:val="00B35053"/>
    <w:rsid w:val="00B356B6"/>
    <w:rsid w:val="00B35743"/>
    <w:rsid w:val="00B3582D"/>
    <w:rsid w:val="00B358CE"/>
    <w:rsid w:val="00B35A10"/>
    <w:rsid w:val="00B35B81"/>
    <w:rsid w:val="00B35C3B"/>
    <w:rsid w:val="00B35CFC"/>
    <w:rsid w:val="00B35D2B"/>
    <w:rsid w:val="00B35DF0"/>
    <w:rsid w:val="00B3607A"/>
    <w:rsid w:val="00B36087"/>
    <w:rsid w:val="00B360EE"/>
    <w:rsid w:val="00B36178"/>
    <w:rsid w:val="00B3647A"/>
    <w:rsid w:val="00B36976"/>
    <w:rsid w:val="00B369FB"/>
    <w:rsid w:val="00B36ACC"/>
    <w:rsid w:val="00B36B45"/>
    <w:rsid w:val="00B36BC2"/>
    <w:rsid w:val="00B36BC3"/>
    <w:rsid w:val="00B36C6B"/>
    <w:rsid w:val="00B36CA1"/>
    <w:rsid w:val="00B36CD6"/>
    <w:rsid w:val="00B36E75"/>
    <w:rsid w:val="00B37049"/>
    <w:rsid w:val="00B37295"/>
    <w:rsid w:val="00B37426"/>
    <w:rsid w:val="00B376A8"/>
    <w:rsid w:val="00B37730"/>
    <w:rsid w:val="00B378F1"/>
    <w:rsid w:val="00B37A95"/>
    <w:rsid w:val="00B37AAD"/>
    <w:rsid w:val="00B37AE3"/>
    <w:rsid w:val="00B37B8C"/>
    <w:rsid w:val="00B37C97"/>
    <w:rsid w:val="00B37EC6"/>
    <w:rsid w:val="00B37F77"/>
    <w:rsid w:val="00B40067"/>
    <w:rsid w:val="00B401DF"/>
    <w:rsid w:val="00B406C0"/>
    <w:rsid w:val="00B409AE"/>
    <w:rsid w:val="00B40ED7"/>
    <w:rsid w:val="00B412C2"/>
    <w:rsid w:val="00B41477"/>
    <w:rsid w:val="00B414E1"/>
    <w:rsid w:val="00B41508"/>
    <w:rsid w:val="00B41821"/>
    <w:rsid w:val="00B418A5"/>
    <w:rsid w:val="00B41AD0"/>
    <w:rsid w:val="00B41E94"/>
    <w:rsid w:val="00B41FE5"/>
    <w:rsid w:val="00B4205E"/>
    <w:rsid w:val="00B42371"/>
    <w:rsid w:val="00B4246F"/>
    <w:rsid w:val="00B42652"/>
    <w:rsid w:val="00B4289A"/>
    <w:rsid w:val="00B42928"/>
    <w:rsid w:val="00B429AC"/>
    <w:rsid w:val="00B42AAD"/>
    <w:rsid w:val="00B42BCB"/>
    <w:rsid w:val="00B42F9B"/>
    <w:rsid w:val="00B43291"/>
    <w:rsid w:val="00B43543"/>
    <w:rsid w:val="00B435E2"/>
    <w:rsid w:val="00B4378B"/>
    <w:rsid w:val="00B438B5"/>
    <w:rsid w:val="00B43BCA"/>
    <w:rsid w:val="00B44180"/>
    <w:rsid w:val="00B4424A"/>
    <w:rsid w:val="00B446C5"/>
    <w:rsid w:val="00B44776"/>
    <w:rsid w:val="00B4479F"/>
    <w:rsid w:val="00B44860"/>
    <w:rsid w:val="00B44876"/>
    <w:rsid w:val="00B44D04"/>
    <w:rsid w:val="00B44E2D"/>
    <w:rsid w:val="00B44FA4"/>
    <w:rsid w:val="00B44FD6"/>
    <w:rsid w:val="00B4525D"/>
    <w:rsid w:val="00B45696"/>
    <w:rsid w:val="00B45730"/>
    <w:rsid w:val="00B457F7"/>
    <w:rsid w:val="00B45941"/>
    <w:rsid w:val="00B45A8B"/>
    <w:rsid w:val="00B45F79"/>
    <w:rsid w:val="00B460CB"/>
    <w:rsid w:val="00B46215"/>
    <w:rsid w:val="00B465E4"/>
    <w:rsid w:val="00B467CA"/>
    <w:rsid w:val="00B46939"/>
    <w:rsid w:val="00B46B31"/>
    <w:rsid w:val="00B46C12"/>
    <w:rsid w:val="00B46C30"/>
    <w:rsid w:val="00B47183"/>
    <w:rsid w:val="00B472AB"/>
    <w:rsid w:val="00B4735A"/>
    <w:rsid w:val="00B47616"/>
    <w:rsid w:val="00B47702"/>
    <w:rsid w:val="00B4773F"/>
    <w:rsid w:val="00B47754"/>
    <w:rsid w:val="00B477C7"/>
    <w:rsid w:val="00B4785A"/>
    <w:rsid w:val="00B47A5C"/>
    <w:rsid w:val="00B47B70"/>
    <w:rsid w:val="00B47BC6"/>
    <w:rsid w:val="00B47CEC"/>
    <w:rsid w:val="00B47EE9"/>
    <w:rsid w:val="00B47EED"/>
    <w:rsid w:val="00B47F29"/>
    <w:rsid w:val="00B4D863"/>
    <w:rsid w:val="00B50013"/>
    <w:rsid w:val="00B501D1"/>
    <w:rsid w:val="00B5046D"/>
    <w:rsid w:val="00B50471"/>
    <w:rsid w:val="00B504A3"/>
    <w:rsid w:val="00B506D5"/>
    <w:rsid w:val="00B5085A"/>
    <w:rsid w:val="00B508C0"/>
    <w:rsid w:val="00B50A16"/>
    <w:rsid w:val="00B50BD7"/>
    <w:rsid w:val="00B50DBD"/>
    <w:rsid w:val="00B50EA7"/>
    <w:rsid w:val="00B51193"/>
    <w:rsid w:val="00B511CD"/>
    <w:rsid w:val="00B513E5"/>
    <w:rsid w:val="00B51560"/>
    <w:rsid w:val="00B519DC"/>
    <w:rsid w:val="00B52795"/>
    <w:rsid w:val="00B52888"/>
    <w:rsid w:val="00B52A2F"/>
    <w:rsid w:val="00B52A3F"/>
    <w:rsid w:val="00B52BBA"/>
    <w:rsid w:val="00B52C5E"/>
    <w:rsid w:val="00B52D0C"/>
    <w:rsid w:val="00B52DE6"/>
    <w:rsid w:val="00B52ECB"/>
    <w:rsid w:val="00B52F38"/>
    <w:rsid w:val="00B532F7"/>
    <w:rsid w:val="00B533A1"/>
    <w:rsid w:val="00B53512"/>
    <w:rsid w:val="00B53693"/>
    <w:rsid w:val="00B538EC"/>
    <w:rsid w:val="00B53B95"/>
    <w:rsid w:val="00B53D42"/>
    <w:rsid w:val="00B53DFF"/>
    <w:rsid w:val="00B53E91"/>
    <w:rsid w:val="00B540B2"/>
    <w:rsid w:val="00B5459F"/>
    <w:rsid w:val="00B5470F"/>
    <w:rsid w:val="00B5480F"/>
    <w:rsid w:val="00B549EE"/>
    <w:rsid w:val="00B54A02"/>
    <w:rsid w:val="00B54C66"/>
    <w:rsid w:val="00B54C6C"/>
    <w:rsid w:val="00B54D0E"/>
    <w:rsid w:val="00B54F75"/>
    <w:rsid w:val="00B54FBD"/>
    <w:rsid w:val="00B54FF5"/>
    <w:rsid w:val="00B5510F"/>
    <w:rsid w:val="00B552CE"/>
    <w:rsid w:val="00B555AF"/>
    <w:rsid w:val="00B5565B"/>
    <w:rsid w:val="00B55788"/>
    <w:rsid w:val="00B55877"/>
    <w:rsid w:val="00B558E1"/>
    <w:rsid w:val="00B55ACF"/>
    <w:rsid w:val="00B55BBE"/>
    <w:rsid w:val="00B55D1B"/>
    <w:rsid w:val="00B55D88"/>
    <w:rsid w:val="00B55F72"/>
    <w:rsid w:val="00B56090"/>
    <w:rsid w:val="00B5633F"/>
    <w:rsid w:val="00B565DF"/>
    <w:rsid w:val="00B5669D"/>
    <w:rsid w:val="00B567F7"/>
    <w:rsid w:val="00B568F9"/>
    <w:rsid w:val="00B56DBA"/>
    <w:rsid w:val="00B56F25"/>
    <w:rsid w:val="00B57A99"/>
    <w:rsid w:val="00B57F19"/>
    <w:rsid w:val="00B57F56"/>
    <w:rsid w:val="00B60040"/>
    <w:rsid w:val="00B60071"/>
    <w:rsid w:val="00B60154"/>
    <w:rsid w:val="00B60282"/>
    <w:rsid w:val="00B6035B"/>
    <w:rsid w:val="00B60656"/>
    <w:rsid w:val="00B6080F"/>
    <w:rsid w:val="00B60FB9"/>
    <w:rsid w:val="00B61249"/>
    <w:rsid w:val="00B6156E"/>
    <w:rsid w:val="00B6167C"/>
    <w:rsid w:val="00B61901"/>
    <w:rsid w:val="00B61BD3"/>
    <w:rsid w:val="00B61DED"/>
    <w:rsid w:val="00B61E01"/>
    <w:rsid w:val="00B61F89"/>
    <w:rsid w:val="00B62021"/>
    <w:rsid w:val="00B620DD"/>
    <w:rsid w:val="00B62370"/>
    <w:rsid w:val="00B623C1"/>
    <w:rsid w:val="00B6247F"/>
    <w:rsid w:val="00B62795"/>
    <w:rsid w:val="00B6292F"/>
    <w:rsid w:val="00B62977"/>
    <w:rsid w:val="00B62993"/>
    <w:rsid w:val="00B62A15"/>
    <w:rsid w:val="00B62A9A"/>
    <w:rsid w:val="00B62C8F"/>
    <w:rsid w:val="00B62D34"/>
    <w:rsid w:val="00B62D97"/>
    <w:rsid w:val="00B62F02"/>
    <w:rsid w:val="00B62F21"/>
    <w:rsid w:val="00B63421"/>
    <w:rsid w:val="00B634C6"/>
    <w:rsid w:val="00B63511"/>
    <w:rsid w:val="00B635A1"/>
    <w:rsid w:val="00B635BC"/>
    <w:rsid w:val="00B63736"/>
    <w:rsid w:val="00B637B9"/>
    <w:rsid w:val="00B637D8"/>
    <w:rsid w:val="00B63D14"/>
    <w:rsid w:val="00B63DBA"/>
    <w:rsid w:val="00B63F3A"/>
    <w:rsid w:val="00B63F4B"/>
    <w:rsid w:val="00B63FD2"/>
    <w:rsid w:val="00B64054"/>
    <w:rsid w:val="00B6417C"/>
    <w:rsid w:val="00B64251"/>
    <w:rsid w:val="00B642F8"/>
    <w:rsid w:val="00B6434B"/>
    <w:rsid w:val="00B646B3"/>
    <w:rsid w:val="00B6478F"/>
    <w:rsid w:val="00B648DE"/>
    <w:rsid w:val="00B64B71"/>
    <w:rsid w:val="00B64BFE"/>
    <w:rsid w:val="00B64FED"/>
    <w:rsid w:val="00B65143"/>
    <w:rsid w:val="00B65265"/>
    <w:rsid w:val="00B653C1"/>
    <w:rsid w:val="00B65488"/>
    <w:rsid w:val="00B65496"/>
    <w:rsid w:val="00B6558B"/>
    <w:rsid w:val="00B655AF"/>
    <w:rsid w:val="00B6562C"/>
    <w:rsid w:val="00B65633"/>
    <w:rsid w:val="00B657A7"/>
    <w:rsid w:val="00B65825"/>
    <w:rsid w:val="00B65932"/>
    <w:rsid w:val="00B6595F"/>
    <w:rsid w:val="00B65C86"/>
    <w:rsid w:val="00B65F79"/>
    <w:rsid w:val="00B66372"/>
    <w:rsid w:val="00B6637C"/>
    <w:rsid w:val="00B663B0"/>
    <w:rsid w:val="00B664A2"/>
    <w:rsid w:val="00B66545"/>
    <w:rsid w:val="00B66594"/>
    <w:rsid w:val="00B66A43"/>
    <w:rsid w:val="00B66B3C"/>
    <w:rsid w:val="00B66BA9"/>
    <w:rsid w:val="00B66D6A"/>
    <w:rsid w:val="00B66D8F"/>
    <w:rsid w:val="00B66ED8"/>
    <w:rsid w:val="00B6706B"/>
    <w:rsid w:val="00B67283"/>
    <w:rsid w:val="00B672CA"/>
    <w:rsid w:val="00B674A9"/>
    <w:rsid w:val="00B67605"/>
    <w:rsid w:val="00B67719"/>
    <w:rsid w:val="00B677C4"/>
    <w:rsid w:val="00B67817"/>
    <w:rsid w:val="00B67828"/>
    <w:rsid w:val="00B67832"/>
    <w:rsid w:val="00B67C77"/>
    <w:rsid w:val="00B67CF9"/>
    <w:rsid w:val="00B70057"/>
    <w:rsid w:val="00B70C81"/>
    <w:rsid w:val="00B70CE9"/>
    <w:rsid w:val="00B70D3C"/>
    <w:rsid w:val="00B70D52"/>
    <w:rsid w:val="00B70EB4"/>
    <w:rsid w:val="00B7123E"/>
    <w:rsid w:val="00B71414"/>
    <w:rsid w:val="00B71572"/>
    <w:rsid w:val="00B71644"/>
    <w:rsid w:val="00B71844"/>
    <w:rsid w:val="00B71B88"/>
    <w:rsid w:val="00B71C62"/>
    <w:rsid w:val="00B71CC1"/>
    <w:rsid w:val="00B71E0B"/>
    <w:rsid w:val="00B71EF2"/>
    <w:rsid w:val="00B720C7"/>
    <w:rsid w:val="00B72255"/>
    <w:rsid w:val="00B722CC"/>
    <w:rsid w:val="00B726C6"/>
    <w:rsid w:val="00B72719"/>
    <w:rsid w:val="00B72856"/>
    <w:rsid w:val="00B72C39"/>
    <w:rsid w:val="00B72CC5"/>
    <w:rsid w:val="00B72D05"/>
    <w:rsid w:val="00B72E69"/>
    <w:rsid w:val="00B73275"/>
    <w:rsid w:val="00B73645"/>
    <w:rsid w:val="00B7397F"/>
    <w:rsid w:val="00B73B57"/>
    <w:rsid w:val="00B73CB6"/>
    <w:rsid w:val="00B73E4F"/>
    <w:rsid w:val="00B73F92"/>
    <w:rsid w:val="00B74216"/>
    <w:rsid w:val="00B7451B"/>
    <w:rsid w:val="00B74524"/>
    <w:rsid w:val="00B74A31"/>
    <w:rsid w:val="00B74E5C"/>
    <w:rsid w:val="00B750D2"/>
    <w:rsid w:val="00B75196"/>
    <w:rsid w:val="00B7522F"/>
    <w:rsid w:val="00B7569F"/>
    <w:rsid w:val="00B756A3"/>
    <w:rsid w:val="00B75754"/>
    <w:rsid w:val="00B757FD"/>
    <w:rsid w:val="00B757FF"/>
    <w:rsid w:val="00B75940"/>
    <w:rsid w:val="00B75A06"/>
    <w:rsid w:val="00B75B54"/>
    <w:rsid w:val="00B76022"/>
    <w:rsid w:val="00B7617C"/>
    <w:rsid w:val="00B761C3"/>
    <w:rsid w:val="00B7640A"/>
    <w:rsid w:val="00B7641A"/>
    <w:rsid w:val="00B76484"/>
    <w:rsid w:val="00B765EB"/>
    <w:rsid w:val="00B7669A"/>
    <w:rsid w:val="00B766B4"/>
    <w:rsid w:val="00B7692B"/>
    <w:rsid w:val="00B76A3E"/>
    <w:rsid w:val="00B76AD9"/>
    <w:rsid w:val="00B76BF7"/>
    <w:rsid w:val="00B76C3D"/>
    <w:rsid w:val="00B76E89"/>
    <w:rsid w:val="00B770A4"/>
    <w:rsid w:val="00B770AA"/>
    <w:rsid w:val="00B771CC"/>
    <w:rsid w:val="00B77491"/>
    <w:rsid w:val="00B77576"/>
    <w:rsid w:val="00B777BF"/>
    <w:rsid w:val="00B778B7"/>
    <w:rsid w:val="00B77A66"/>
    <w:rsid w:val="00B77AA8"/>
    <w:rsid w:val="00B77C75"/>
    <w:rsid w:val="00B800D4"/>
    <w:rsid w:val="00B80251"/>
    <w:rsid w:val="00B80375"/>
    <w:rsid w:val="00B803A4"/>
    <w:rsid w:val="00B80482"/>
    <w:rsid w:val="00B80614"/>
    <w:rsid w:val="00B80634"/>
    <w:rsid w:val="00B806DC"/>
    <w:rsid w:val="00B80704"/>
    <w:rsid w:val="00B8089E"/>
    <w:rsid w:val="00B808E3"/>
    <w:rsid w:val="00B80A42"/>
    <w:rsid w:val="00B80B86"/>
    <w:rsid w:val="00B80F62"/>
    <w:rsid w:val="00B8128D"/>
    <w:rsid w:val="00B815E5"/>
    <w:rsid w:val="00B816FA"/>
    <w:rsid w:val="00B81724"/>
    <w:rsid w:val="00B81734"/>
    <w:rsid w:val="00B81773"/>
    <w:rsid w:val="00B81A58"/>
    <w:rsid w:val="00B81AE5"/>
    <w:rsid w:val="00B821AB"/>
    <w:rsid w:val="00B82314"/>
    <w:rsid w:val="00B823F5"/>
    <w:rsid w:val="00B825BF"/>
    <w:rsid w:val="00B826C8"/>
    <w:rsid w:val="00B826EC"/>
    <w:rsid w:val="00B82748"/>
    <w:rsid w:val="00B828DF"/>
    <w:rsid w:val="00B82992"/>
    <w:rsid w:val="00B829CF"/>
    <w:rsid w:val="00B82B6E"/>
    <w:rsid w:val="00B82B78"/>
    <w:rsid w:val="00B82CF8"/>
    <w:rsid w:val="00B82F2A"/>
    <w:rsid w:val="00B834FB"/>
    <w:rsid w:val="00B835CE"/>
    <w:rsid w:val="00B83BA9"/>
    <w:rsid w:val="00B83BC5"/>
    <w:rsid w:val="00B83BC6"/>
    <w:rsid w:val="00B83BCD"/>
    <w:rsid w:val="00B83ED0"/>
    <w:rsid w:val="00B8484E"/>
    <w:rsid w:val="00B848AB"/>
    <w:rsid w:val="00B8490B"/>
    <w:rsid w:val="00B84A6B"/>
    <w:rsid w:val="00B84ADB"/>
    <w:rsid w:val="00B84B08"/>
    <w:rsid w:val="00B84B59"/>
    <w:rsid w:val="00B84E2B"/>
    <w:rsid w:val="00B84E50"/>
    <w:rsid w:val="00B84F95"/>
    <w:rsid w:val="00B85057"/>
    <w:rsid w:val="00B851ED"/>
    <w:rsid w:val="00B8523C"/>
    <w:rsid w:val="00B8544F"/>
    <w:rsid w:val="00B85479"/>
    <w:rsid w:val="00B855F2"/>
    <w:rsid w:val="00B855F7"/>
    <w:rsid w:val="00B85655"/>
    <w:rsid w:val="00B856FA"/>
    <w:rsid w:val="00B8572A"/>
    <w:rsid w:val="00B857C2"/>
    <w:rsid w:val="00B85FFE"/>
    <w:rsid w:val="00B86440"/>
    <w:rsid w:val="00B866A4"/>
    <w:rsid w:val="00B867E0"/>
    <w:rsid w:val="00B86889"/>
    <w:rsid w:val="00B86997"/>
    <w:rsid w:val="00B86C2A"/>
    <w:rsid w:val="00B86D99"/>
    <w:rsid w:val="00B86E21"/>
    <w:rsid w:val="00B86E3C"/>
    <w:rsid w:val="00B86F6C"/>
    <w:rsid w:val="00B871FB"/>
    <w:rsid w:val="00B872C4"/>
    <w:rsid w:val="00B87435"/>
    <w:rsid w:val="00B8748A"/>
    <w:rsid w:val="00B876B6"/>
    <w:rsid w:val="00B87821"/>
    <w:rsid w:val="00B8789D"/>
    <w:rsid w:val="00B878B9"/>
    <w:rsid w:val="00B87AD9"/>
    <w:rsid w:val="00B87CA3"/>
    <w:rsid w:val="00B87DFE"/>
    <w:rsid w:val="00B87E6A"/>
    <w:rsid w:val="00B87EFB"/>
    <w:rsid w:val="00B87FD7"/>
    <w:rsid w:val="00B90134"/>
    <w:rsid w:val="00B903DF"/>
    <w:rsid w:val="00B9060B"/>
    <w:rsid w:val="00B906ED"/>
    <w:rsid w:val="00B9079C"/>
    <w:rsid w:val="00B9089D"/>
    <w:rsid w:val="00B90969"/>
    <w:rsid w:val="00B90EF0"/>
    <w:rsid w:val="00B91009"/>
    <w:rsid w:val="00B91047"/>
    <w:rsid w:val="00B91126"/>
    <w:rsid w:val="00B91230"/>
    <w:rsid w:val="00B9124A"/>
    <w:rsid w:val="00B91300"/>
    <w:rsid w:val="00B91546"/>
    <w:rsid w:val="00B9157D"/>
    <w:rsid w:val="00B915C3"/>
    <w:rsid w:val="00B91C76"/>
    <w:rsid w:val="00B91E5E"/>
    <w:rsid w:val="00B91E8D"/>
    <w:rsid w:val="00B91F00"/>
    <w:rsid w:val="00B91F83"/>
    <w:rsid w:val="00B921EA"/>
    <w:rsid w:val="00B92382"/>
    <w:rsid w:val="00B923A7"/>
    <w:rsid w:val="00B9255F"/>
    <w:rsid w:val="00B927BA"/>
    <w:rsid w:val="00B9284D"/>
    <w:rsid w:val="00B9287D"/>
    <w:rsid w:val="00B9289D"/>
    <w:rsid w:val="00B92909"/>
    <w:rsid w:val="00B9290F"/>
    <w:rsid w:val="00B92A00"/>
    <w:rsid w:val="00B92D44"/>
    <w:rsid w:val="00B92D93"/>
    <w:rsid w:val="00B93484"/>
    <w:rsid w:val="00B9354A"/>
    <w:rsid w:val="00B93647"/>
    <w:rsid w:val="00B936F5"/>
    <w:rsid w:val="00B93839"/>
    <w:rsid w:val="00B9395C"/>
    <w:rsid w:val="00B93A40"/>
    <w:rsid w:val="00B93B48"/>
    <w:rsid w:val="00B93E42"/>
    <w:rsid w:val="00B93F33"/>
    <w:rsid w:val="00B93FA0"/>
    <w:rsid w:val="00B9410D"/>
    <w:rsid w:val="00B942D3"/>
    <w:rsid w:val="00B944FC"/>
    <w:rsid w:val="00B9453C"/>
    <w:rsid w:val="00B94742"/>
    <w:rsid w:val="00B94A5A"/>
    <w:rsid w:val="00B94B74"/>
    <w:rsid w:val="00B94FF1"/>
    <w:rsid w:val="00B95289"/>
    <w:rsid w:val="00B952DC"/>
    <w:rsid w:val="00B953BE"/>
    <w:rsid w:val="00B954EC"/>
    <w:rsid w:val="00B95552"/>
    <w:rsid w:val="00B955BE"/>
    <w:rsid w:val="00B956FF"/>
    <w:rsid w:val="00B95828"/>
    <w:rsid w:val="00B95B85"/>
    <w:rsid w:val="00B96174"/>
    <w:rsid w:val="00B96179"/>
    <w:rsid w:val="00B961CF"/>
    <w:rsid w:val="00B96251"/>
    <w:rsid w:val="00B96548"/>
    <w:rsid w:val="00B96677"/>
    <w:rsid w:val="00B96807"/>
    <w:rsid w:val="00B96829"/>
    <w:rsid w:val="00B96BA1"/>
    <w:rsid w:val="00B96CEA"/>
    <w:rsid w:val="00B96E31"/>
    <w:rsid w:val="00B96FAD"/>
    <w:rsid w:val="00B970B1"/>
    <w:rsid w:val="00B9717D"/>
    <w:rsid w:val="00B9720E"/>
    <w:rsid w:val="00B97292"/>
    <w:rsid w:val="00B972E8"/>
    <w:rsid w:val="00B97346"/>
    <w:rsid w:val="00B9736C"/>
    <w:rsid w:val="00B973DD"/>
    <w:rsid w:val="00B975A7"/>
    <w:rsid w:val="00B9777C"/>
    <w:rsid w:val="00B97891"/>
    <w:rsid w:val="00B97BC0"/>
    <w:rsid w:val="00B97C17"/>
    <w:rsid w:val="00B97C95"/>
    <w:rsid w:val="00B97CE3"/>
    <w:rsid w:val="00B97EEC"/>
    <w:rsid w:val="00B98BD4"/>
    <w:rsid w:val="00BA042A"/>
    <w:rsid w:val="00BA057C"/>
    <w:rsid w:val="00BA05BA"/>
    <w:rsid w:val="00BA062F"/>
    <w:rsid w:val="00BA06F0"/>
    <w:rsid w:val="00BA07CA"/>
    <w:rsid w:val="00BA080B"/>
    <w:rsid w:val="00BA09BC"/>
    <w:rsid w:val="00BA0B06"/>
    <w:rsid w:val="00BA0B32"/>
    <w:rsid w:val="00BA0E16"/>
    <w:rsid w:val="00BA0E40"/>
    <w:rsid w:val="00BA126D"/>
    <w:rsid w:val="00BA12C2"/>
    <w:rsid w:val="00BA1483"/>
    <w:rsid w:val="00BA15ED"/>
    <w:rsid w:val="00BA1603"/>
    <w:rsid w:val="00BA163C"/>
    <w:rsid w:val="00BA167A"/>
    <w:rsid w:val="00BA16A7"/>
    <w:rsid w:val="00BA1A31"/>
    <w:rsid w:val="00BA1D9A"/>
    <w:rsid w:val="00BA1DA9"/>
    <w:rsid w:val="00BA1EB9"/>
    <w:rsid w:val="00BA1F9D"/>
    <w:rsid w:val="00BA238D"/>
    <w:rsid w:val="00BA246C"/>
    <w:rsid w:val="00BA24A1"/>
    <w:rsid w:val="00BA25AD"/>
    <w:rsid w:val="00BA2895"/>
    <w:rsid w:val="00BA28DE"/>
    <w:rsid w:val="00BA2A6D"/>
    <w:rsid w:val="00BA32BD"/>
    <w:rsid w:val="00BA3522"/>
    <w:rsid w:val="00BA3589"/>
    <w:rsid w:val="00BA35E1"/>
    <w:rsid w:val="00BA3832"/>
    <w:rsid w:val="00BA38E9"/>
    <w:rsid w:val="00BA398E"/>
    <w:rsid w:val="00BA39A4"/>
    <w:rsid w:val="00BA3E1B"/>
    <w:rsid w:val="00BA3E59"/>
    <w:rsid w:val="00BA40E4"/>
    <w:rsid w:val="00BA4513"/>
    <w:rsid w:val="00BA4662"/>
    <w:rsid w:val="00BA47BC"/>
    <w:rsid w:val="00BA4AB0"/>
    <w:rsid w:val="00BA4BF8"/>
    <w:rsid w:val="00BA4C50"/>
    <w:rsid w:val="00BA4C8A"/>
    <w:rsid w:val="00BA4E5D"/>
    <w:rsid w:val="00BA502C"/>
    <w:rsid w:val="00BA5100"/>
    <w:rsid w:val="00BA51C6"/>
    <w:rsid w:val="00BA51CB"/>
    <w:rsid w:val="00BA57C8"/>
    <w:rsid w:val="00BA57DA"/>
    <w:rsid w:val="00BA5974"/>
    <w:rsid w:val="00BA5AC2"/>
    <w:rsid w:val="00BA5C90"/>
    <w:rsid w:val="00BA5F4E"/>
    <w:rsid w:val="00BA5F7A"/>
    <w:rsid w:val="00BA5F83"/>
    <w:rsid w:val="00BA6502"/>
    <w:rsid w:val="00BA68E6"/>
    <w:rsid w:val="00BA6B5F"/>
    <w:rsid w:val="00BA6C84"/>
    <w:rsid w:val="00BA6DC7"/>
    <w:rsid w:val="00BA6E19"/>
    <w:rsid w:val="00BA6E39"/>
    <w:rsid w:val="00BA6E4B"/>
    <w:rsid w:val="00BA6EE8"/>
    <w:rsid w:val="00BA703D"/>
    <w:rsid w:val="00BA7153"/>
    <w:rsid w:val="00BA7244"/>
    <w:rsid w:val="00BA72F2"/>
    <w:rsid w:val="00BA73B1"/>
    <w:rsid w:val="00BA73DE"/>
    <w:rsid w:val="00BA7432"/>
    <w:rsid w:val="00BA76F9"/>
    <w:rsid w:val="00BA771F"/>
    <w:rsid w:val="00BA7BDE"/>
    <w:rsid w:val="00BA7CD8"/>
    <w:rsid w:val="00BA7CEF"/>
    <w:rsid w:val="00BA7EA4"/>
    <w:rsid w:val="00BB004F"/>
    <w:rsid w:val="00BB02F4"/>
    <w:rsid w:val="00BB06B3"/>
    <w:rsid w:val="00BB0874"/>
    <w:rsid w:val="00BB0879"/>
    <w:rsid w:val="00BB0949"/>
    <w:rsid w:val="00BB0A84"/>
    <w:rsid w:val="00BB0D62"/>
    <w:rsid w:val="00BB0EBF"/>
    <w:rsid w:val="00BB1030"/>
    <w:rsid w:val="00BB10EA"/>
    <w:rsid w:val="00BB1640"/>
    <w:rsid w:val="00BB1967"/>
    <w:rsid w:val="00BB19F7"/>
    <w:rsid w:val="00BB1A2F"/>
    <w:rsid w:val="00BB20F3"/>
    <w:rsid w:val="00BB21E2"/>
    <w:rsid w:val="00BB22F6"/>
    <w:rsid w:val="00BB2483"/>
    <w:rsid w:val="00BB2531"/>
    <w:rsid w:val="00BB2B7B"/>
    <w:rsid w:val="00BB2B8A"/>
    <w:rsid w:val="00BB2BDC"/>
    <w:rsid w:val="00BB2E74"/>
    <w:rsid w:val="00BB321A"/>
    <w:rsid w:val="00BB339A"/>
    <w:rsid w:val="00BB36D1"/>
    <w:rsid w:val="00BB36D6"/>
    <w:rsid w:val="00BB37B7"/>
    <w:rsid w:val="00BB386A"/>
    <w:rsid w:val="00BB3C80"/>
    <w:rsid w:val="00BB4399"/>
    <w:rsid w:val="00BB43E6"/>
    <w:rsid w:val="00BB4B59"/>
    <w:rsid w:val="00BB4D8D"/>
    <w:rsid w:val="00BB50FE"/>
    <w:rsid w:val="00BB5262"/>
    <w:rsid w:val="00BB5648"/>
    <w:rsid w:val="00BB578E"/>
    <w:rsid w:val="00BB57BE"/>
    <w:rsid w:val="00BB5814"/>
    <w:rsid w:val="00BB5A8B"/>
    <w:rsid w:val="00BB5B2F"/>
    <w:rsid w:val="00BB5C5B"/>
    <w:rsid w:val="00BB5C5D"/>
    <w:rsid w:val="00BB5CC4"/>
    <w:rsid w:val="00BB5D85"/>
    <w:rsid w:val="00BB5DC8"/>
    <w:rsid w:val="00BB5FCA"/>
    <w:rsid w:val="00BB60F6"/>
    <w:rsid w:val="00BB61B4"/>
    <w:rsid w:val="00BB629B"/>
    <w:rsid w:val="00BB6311"/>
    <w:rsid w:val="00BB642D"/>
    <w:rsid w:val="00BB6475"/>
    <w:rsid w:val="00BB662C"/>
    <w:rsid w:val="00BB6633"/>
    <w:rsid w:val="00BB6983"/>
    <w:rsid w:val="00BB71C7"/>
    <w:rsid w:val="00BB744C"/>
    <w:rsid w:val="00BB753F"/>
    <w:rsid w:val="00BB788D"/>
    <w:rsid w:val="00BB7ADC"/>
    <w:rsid w:val="00BB7BDF"/>
    <w:rsid w:val="00BB7F17"/>
    <w:rsid w:val="00BC017A"/>
    <w:rsid w:val="00BC0508"/>
    <w:rsid w:val="00BC05E0"/>
    <w:rsid w:val="00BC0610"/>
    <w:rsid w:val="00BC0BD6"/>
    <w:rsid w:val="00BC0C75"/>
    <w:rsid w:val="00BC0D21"/>
    <w:rsid w:val="00BC1002"/>
    <w:rsid w:val="00BC132C"/>
    <w:rsid w:val="00BC133B"/>
    <w:rsid w:val="00BC17C9"/>
    <w:rsid w:val="00BC1BBE"/>
    <w:rsid w:val="00BC1D13"/>
    <w:rsid w:val="00BC1D45"/>
    <w:rsid w:val="00BC1F4B"/>
    <w:rsid w:val="00BC1F86"/>
    <w:rsid w:val="00BC20A2"/>
    <w:rsid w:val="00BC218E"/>
    <w:rsid w:val="00BC224E"/>
    <w:rsid w:val="00BC2400"/>
    <w:rsid w:val="00BC25F7"/>
    <w:rsid w:val="00BC27DA"/>
    <w:rsid w:val="00BC2AFC"/>
    <w:rsid w:val="00BC2D61"/>
    <w:rsid w:val="00BC2DC4"/>
    <w:rsid w:val="00BC32AC"/>
    <w:rsid w:val="00BC354A"/>
    <w:rsid w:val="00BC3659"/>
    <w:rsid w:val="00BC36FA"/>
    <w:rsid w:val="00BC38CD"/>
    <w:rsid w:val="00BC3919"/>
    <w:rsid w:val="00BC3933"/>
    <w:rsid w:val="00BC3973"/>
    <w:rsid w:val="00BC3A20"/>
    <w:rsid w:val="00BC3AB8"/>
    <w:rsid w:val="00BC3CAE"/>
    <w:rsid w:val="00BC3CC0"/>
    <w:rsid w:val="00BC3E3A"/>
    <w:rsid w:val="00BC4052"/>
    <w:rsid w:val="00BC408C"/>
    <w:rsid w:val="00BC422E"/>
    <w:rsid w:val="00BC4257"/>
    <w:rsid w:val="00BC4524"/>
    <w:rsid w:val="00BC46FD"/>
    <w:rsid w:val="00BC4856"/>
    <w:rsid w:val="00BC4909"/>
    <w:rsid w:val="00BC4A2F"/>
    <w:rsid w:val="00BC4A8D"/>
    <w:rsid w:val="00BC4E16"/>
    <w:rsid w:val="00BC4F29"/>
    <w:rsid w:val="00BC4F2C"/>
    <w:rsid w:val="00BC4F63"/>
    <w:rsid w:val="00BC52E5"/>
    <w:rsid w:val="00BC5821"/>
    <w:rsid w:val="00BC58D3"/>
    <w:rsid w:val="00BC5A7A"/>
    <w:rsid w:val="00BC5BA5"/>
    <w:rsid w:val="00BC5BAC"/>
    <w:rsid w:val="00BC5C7E"/>
    <w:rsid w:val="00BC5E4F"/>
    <w:rsid w:val="00BC5E7B"/>
    <w:rsid w:val="00BC60DD"/>
    <w:rsid w:val="00BC61BB"/>
    <w:rsid w:val="00BC6235"/>
    <w:rsid w:val="00BC660A"/>
    <w:rsid w:val="00BC669F"/>
    <w:rsid w:val="00BC6828"/>
    <w:rsid w:val="00BC6917"/>
    <w:rsid w:val="00BC6936"/>
    <w:rsid w:val="00BC6E42"/>
    <w:rsid w:val="00BC6EA8"/>
    <w:rsid w:val="00BC6FB5"/>
    <w:rsid w:val="00BC7019"/>
    <w:rsid w:val="00BC702E"/>
    <w:rsid w:val="00BC7088"/>
    <w:rsid w:val="00BC712C"/>
    <w:rsid w:val="00BC71C2"/>
    <w:rsid w:val="00BC7309"/>
    <w:rsid w:val="00BC7391"/>
    <w:rsid w:val="00BC73D8"/>
    <w:rsid w:val="00BC75D8"/>
    <w:rsid w:val="00BC7767"/>
    <w:rsid w:val="00BC78DE"/>
    <w:rsid w:val="00BC7CDC"/>
    <w:rsid w:val="00BC7EE3"/>
    <w:rsid w:val="00BD002A"/>
    <w:rsid w:val="00BD022B"/>
    <w:rsid w:val="00BD024C"/>
    <w:rsid w:val="00BD02FF"/>
    <w:rsid w:val="00BD064B"/>
    <w:rsid w:val="00BD07EB"/>
    <w:rsid w:val="00BD08A1"/>
    <w:rsid w:val="00BD0B3B"/>
    <w:rsid w:val="00BD0CF4"/>
    <w:rsid w:val="00BD0F32"/>
    <w:rsid w:val="00BD11CC"/>
    <w:rsid w:val="00BD135E"/>
    <w:rsid w:val="00BD13B7"/>
    <w:rsid w:val="00BD1466"/>
    <w:rsid w:val="00BD166E"/>
    <w:rsid w:val="00BD16C8"/>
    <w:rsid w:val="00BD1B5C"/>
    <w:rsid w:val="00BD1C5E"/>
    <w:rsid w:val="00BD1E15"/>
    <w:rsid w:val="00BD2132"/>
    <w:rsid w:val="00BD215B"/>
    <w:rsid w:val="00BD2290"/>
    <w:rsid w:val="00BD2472"/>
    <w:rsid w:val="00BD2557"/>
    <w:rsid w:val="00BD2711"/>
    <w:rsid w:val="00BD2767"/>
    <w:rsid w:val="00BD2983"/>
    <w:rsid w:val="00BD2A6C"/>
    <w:rsid w:val="00BD2A9E"/>
    <w:rsid w:val="00BD2DC9"/>
    <w:rsid w:val="00BD2E2A"/>
    <w:rsid w:val="00BD3014"/>
    <w:rsid w:val="00BD318D"/>
    <w:rsid w:val="00BD322A"/>
    <w:rsid w:val="00BD33A5"/>
    <w:rsid w:val="00BD39FF"/>
    <w:rsid w:val="00BD3A68"/>
    <w:rsid w:val="00BD4032"/>
    <w:rsid w:val="00BD4169"/>
    <w:rsid w:val="00BD431A"/>
    <w:rsid w:val="00BD44AA"/>
    <w:rsid w:val="00BD4502"/>
    <w:rsid w:val="00BD471A"/>
    <w:rsid w:val="00BD47B6"/>
    <w:rsid w:val="00BD47BC"/>
    <w:rsid w:val="00BD487D"/>
    <w:rsid w:val="00BD489C"/>
    <w:rsid w:val="00BD48D3"/>
    <w:rsid w:val="00BD4AE7"/>
    <w:rsid w:val="00BD4E68"/>
    <w:rsid w:val="00BD532A"/>
    <w:rsid w:val="00BD53F7"/>
    <w:rsid w:val="00BD565C"/>
    <w:rsid w:val="00BD56CD"/>
    <w:rsid w:val="00BD5725"/>
    <w:rsid w:val="00BD5823"/>
    <w:rsid w:val="00BD597A"/>
    <w:rsid w:val="00BD5A8E"/>
    <w:rsid w:val="00BD5C08"/>
    <w:rsid w:val="00BD5CF2"/>
    <w:rsid w:val="00BD5E19"/>
    <w:rsid w:val="00BD5E8B"/>
    <w:rsid w:val="00BD6073"/>
    <w:rsid w:val="00BD6168"/>
    <w:rsid w:val="00BD6392"/>
    <w:rsid w:val="00BD648A"/>
    <w:rsid w:val="00BD6733"/>
    <w:rsid w:val="00BD6753"/>
    <w:rsid w:val="00BD68E8"/>
    <w:rsid w:val="00BD6B90"/>
    <w:rsid w:val="00BD6E7C"/>
    <w:rsid w:val="00BD6F49"/>
    <w:rsid w:val="00BD7018"/>
    <w:rsid w:val="00BD728D"/>
    <w:rsid w:val="00BD7B03"/>
    <w:rsid w:val="00BD7BEB"/>
    <w:rsid w:val="00BD7C9A"/>
    <w:rsid w:val="00BD7CEA"/>
    <w:rsid w:val="00BD7D27"/>
    <w:rsid w:val="00BE00B8"/>
    <w:rsid w:val="00BE0184"/>
    <w:rsid w:val="00BE03B9"/>
    <w:rsid w:val="00BE0423"/>
    <w:rsid w:val="00BE04DE"/>
    <w:rsid w:val="00BE0563"/>
    <w:rsid w:val="00BE085B"/>
    <w:rsid w:val="00BE0AB1"/>
    <w:rsid w:val="00BE0CA8"/>
    <w:rsid w:val="00BE0D7C"/>
    <w:rsid w:val="00BE0FF7"/>
    <w:rsid w:val="00BE103C"/>
    <w:rsid w:val="00BE124B"/>
    <w:rsid w:val="00BE16C1"/>
    <w:rsid w:val="00BE181F"/>
    <w:rsid w:val="00BE198D"/>
    <w:rsid w:val="00BE1C05"/>
    <w:rsid w:val="00BE1DB6"/>
    <w:rsid w:val="00BE23AC"/>
    <w:rsid w:val="00BE2540"/>
    <w:rsid w:val="00BE26CD"/>
    <w:rsid w:val="00BE2779"/>
    <w:rsid w:val="00BE2921"/>
    <w:rsid w:val="00BE2A04"/>
    <w:rsid w:val="00BE2F6F"/>
    <w:rsid w:val="00BE3244"/>
    <w:rsid w:val="00BE3282"/>
    <w:rsid w:val="00BE32CC"/>
    <w:rsid w:val="00BE33E7"/>
    <w:rsid w:val="00BE3462"/>
    <w:rsid w:val="00BE3516"/>
    <w:rsid w:val="00BE37D0"/>
    <w:rsid w:val="00BE3AAA"/>
    <w:rsid w:val="00BE3B76"/>
    <w:rsid w:val="00BE3DC9"/>
    <w:rsid w:val="00BE4033"/>
    <w:rsid w:val="00BE4110"/>
    <w:rsid w:val="00BE419B"/>
    <w:rsid w:val="00BE42FD"/>
    <w:rsid w:val="00BE4353"/>
    <w:rsid w:val="00BE436D"/>
    <w:rsid w:val="00BE4420"/>
    <w:rsid w:val="00BE44CB"/>
    <w:rsid w:val="00BE4614"/>
    <w:rsid w:val="00BE48EE"/>
    <w:rsid w:val="00BE498E"/>
    <w:rsid w:val="00BE4D2D"/>
    <w:rsid w:val="00BE4F3C"/>
    <w:rsid w:val="00BE506B"/>
    <w:rsid w:val="00BE524B"/>
    <w:rsid w:val="00BE5257"/>
    <w:rsid w:val="00BE5672"/>
    <w:rsid w:val="00BE5709"/>
    <w:rsid w:val="00BE5749"/>
    <w:rsid w:val="00BE5831"/>
    <w:rsid w:val="00BE58A0"/>
    <w:rsid w:val="00BE5BF6"/>
    <w:rsid w:val="00BE5D4E"/>
    <w:rsid w:val="00BE6189"/>
    <w:rsid w:val="00BE6215"/>
    <w:rsid w:val="00BE6263"/>
    <w:rsid w:val="00BE64C0"/>
    <w:rsid w:val="00BE661A"/>
    <w:rsid w:val="00BE68D5"/>
    <w:rsid w:val="00BE6B39"/>
    <w:rsid w:val="00BE6B78"/>
    <w:rsid w:val="00BE6C43"/>
    <w:rsid w:val="00BE706B"/>
    <w:rsid w:val="00BE7301"/>
    <w:rsid w:val="00BE7443"/>
    <w:rsid w:val="00BE75FC"/>
    <w:rsid w:val="00BE78BC"/>
    <w:rsid w:val="00BE7B0B"/>
    <w:rsid w:val="00BE7C5B"/>
    <w:rsid w:val="00BE7EE9"/>
    <w:rsid w:val="00BE7FDD"/>
    <w:rsid w:val="00BF0036"/>
    <w:rsid w:val="00BF0043"/>
    <w:rsid w:val="00BF0054"/>
    <w:rsid w:val="00BF014A"/>
    <w:rsid w:val="00BF0985"/>
    <w:rsid w:val="00BF0ABD"/>
    <w:rsid w:val="00BF0BC2"/>
    <w:rsid w:val="00BF0D84"/>
    <w:rsid w:val="00BF0FF4"/>
    <w:rsid w:val="00BF10B9"/>
    <w:rsid w:val="00BF11A8"/>
    <w:rsid w:val="00BF125F"/>
    <w:rsid w:val="00BF13BC"/>
    <w:rsid w:val="00BF14F3"/>
    <w:rsid w:val="00BF1502"/>
    <w:rsid w:val="00BF16F1"/>
    <w:rsid w:val="00BF1809"/>
    <w:rsid w:val="00BF19A6"/>
    <w:rsid w:val="00BF1B05"/>
    <w:rsid w:val="00BF1B31"/>
    <w:rsid w:val="00BF1CC5"/>
    <w:rsid w:val="00BF1DDA"/>
    <w:rsid w:val="00BF204C"/>
    <w:rsid w:val="00BF2066"/>
    <w:rsid w:val="00BF228D"/>
    <w:rsid w:val="00BF232B"/>
    <w:rsid w:val="00BF23A2"/>
    <w:rsid w:val="00BF2501"/>
    <w:rsid w:val="00BF251B"/>
    <w:rsid w:val="00BF2572"/>
    <w:rsid w:val="00BF2817"/>
    <w:rsid w:val="00BF2B7B"/>
    <w:rsid w:val="00BF2D1A"/>
    <w:rsid w:val="00BF2E67"/>
    <w:rsid w:val="00BF2E75"/>
    <w:rsid w:val="00BF2ED0"/>
    <w:rsid w:val="00BF30CB"/>
    <w:rsid w:val="00BF327F"/>
    <w:rsid w:val="00BF32AC"/>
    <w:rsid w:val="00BF3691"/>
    <w:rsid w:val="00BF36EC"/>
    <w:rsid w:val="00BF39C1"/>
    <w:rsid w:val="00BF3AD1"/>
    <w:rsid w:val="00BF3C48"/>
    <w:rsid w:val="00BF3D5A"/>
    <w:rsid w:val="00BF3DE7"/>
    <w:rsid w:val="00BF40D7"/>
    <w:rsid w:val="00BF4109"/>
    <w:rsid w:val="00BF429E"/>
    <w:rsid w:val="00BF4374"/>
    <w:rsid w:val="00BF46EF"/>
    <w:rsid w:val="00BF48CB"/>
    <w:rsid w:val="00BF4EA0"/>
    <w:rsid w:val="00BF4EAC"/>
    <w:rsid w:val="00BF4FCF"/>
    <w:rsid w:val="00BF50D6"/>
    <w:rsid w:val="00BF5455"/>
    <w:rsid w:val="00BF5507"/>
    <w:rsid w:val="00BF55A4"/>
    <w:rsid w:val="00BF56CF"/>
    <w:rsid w:val="00BF570A"/>
    <w:rsid w:val="00BF576C"/>
    <w:rsid w:val="00BF592D"/>
    <w:rsid w:val="00BF5E5F"/>
    <w:rsid w:val="00BF5E8B"/>
    <w:rsid w:val="00BF5EF4"/>
    <w:rsid w:val="00BF609C"/>
    <w:rsid w:val="00BF60E5"/>
    <w:rsid w:val="00BF6271"/>
    <w:rsid w:val="00BF6878"/>
    <w:rsid w:val="00BF6AB8"/>
    <w:rsid w:val="00BF6DB3"/>
    <w:rsid w:val="00BF6E04"/>
    <w:rsid w:val="00BF6E5C"/>
    <w:rsid w:val="00BF6FBB"/>
    <w:rsid w:val="00BF706A"/>
    <w:rsid w:val="00BF7224"/>
    <w:rsid w:val="00BF7249"/>
    <w:rsid w:val="00BF742D"/>
    <w:rsid w:val="00BF7630"/>
    <w:rsid w:val="00BF780B"/>
    <w:rsid w:val="00BF78AF"/>
    <w:rsid w:val="00BF7942"/>
    <w:rsid w:val="00BF7C5C"/>
    <w:rsid w:val="00BF7CD4"/>
    <w:rsid w:val="00C0000A"/>
    <w:rsid w:val="00C002AF"/>
    <w:rsid w:val="00C002E0"/>
    <w:rsid w:val="00C003E1"/>
    <w:rsid w:val="00C003F3"/>
    <w:rsid w:val="00C00479"/>
    <w:rsid w:val="00C0058B"/>
    <w:rsid w:val="00C00944"/>
    <w:rsid w:val="00C00AE7"/>
    <w:rsid w:val="00C00C16"/>
    <w:rsid w:val="00C00C33"/>
    <w:rsid w:val="00C00C72"/>
    <w:rsid w:val="00C00F60"/>
    <w:rsid w:val="00C00F9E"/>
    <w:rsid w:val="00C01126"/>
    <w:rsid w:val="00C01464"/>
    <w:rsid w:val="00C0153A"/>
    <w:rsid w:val="00C01CCC"/>
    <w:rsid w:val="00C01DC2"/>
    <w:rsid w:val="00C01E89"/>
    <w:rsid w:val="00C01EE0"/>
    <w:rsid w:val="00C01F60"/>
    <w:rsid w:val="00C023C8"/>
    <w:rsid w:val="00C023DF"/>
    <w:rsid w:val="00C0272A"/>
    <w:rsid w:val="00C027D7"/>
    <w:rsid w:val="00C02ADE"/>
    <w:rsid w:val="00C02B61"/>
    <w:rsid w:val="00C02DFD"/>
    <w:rsid w:val="00C03035"/>
    <w:rsid w:val="00C03623"/>
    <w:rsid w:val="00C03972"/>
    <w:rsid w:val="00C03A00"/>
    <w:rsid w:val="00C03B6C"/>
    <w:rsid w:val="00C03CB3"/>
    <w:rsid w:val="00C03D81"/>
    <w:rsid w:val="00C0403C"/>
    <w:rsid w:val="00C041A5"/>
    <w:rsid w:val="00C041CE"/>
    <w:rsid w:val="00C041F1"/>
    <w:rsid w:val="00C0421E"/>
    <w:rsid w:val="00C042BF"/>
    <w:rsid w:val="00C04393"/>
    <w:rsid w:val="00C0447F"/>
    <w:rsid w:val="00C044F9"/>
    <w:rsid w:val="00C050B0"/>
    <w:rsid w:val="00C052C9"/>
    <w:rsid w:val="00C053A1"/>
    <w:rsid w:val="00C0580B"/>
    <w:rsid w:val="00C05C90"/>
    <w:rsid w:val="00C05C9E"/>
    <w:rsid w:val="00C05CB1"/>
    <w:rsid w:val="00C05D77"/>
    <w:rsid w:val="00C062F7"/>
    <w:rsid w:val="00C063A7"/>
    <w:rsid w:val="00C067F5"/>
    <w:rsid w:val="00C06B70"/>
    <w:rsid w:val="00C06DA9"/>
    <w:rsid w:val="00C06DB5"/>
    <w:rsid w:val="00C07133"/>
    <w:rsid w:val="00C07170"/>
    <w:rsid w:val="00C07321"/>
    <w:rsid w:val="00C07528"/>
    <w:rsid w:val="00C076F9"/>
    <w:rsid w:val="00C07794"/>
    <w:rsid w:val="00C077F8"/>
    <w:rsid w:val="00C07821"/>
    <w:rsid w:val="00C07AE6"/>
    <w:rsid w:val="00C07B9C"/>
    <w:rsid w:val="00C07C08"/>
    <w:rsid w:val="00C07CBF"/>
    <w:rsid w:val="00C07F46"/>
    <w:rsid w:val="00C07FE6"/>
    <w:rsid w:val="00C10109"/>
    <w:rsid w:val="00C10140"/>
    <w:rsid w:val="00C1014B"/>
    <w:rsid w:val="00C10388"/>
    <w:rsid w:val="00C10471"/>
    <w:rsid w:val="00C104CB"/>
    <w:rsid w:val="00C10CB5"/>
    <w:rsid w:val="00C10CCB"/>
    <w:rsid w:val="00C10CDA"/>
    <w:rsid w:val="00C10D4D"/>
    <w:rsid w:val="00C10DA8"/>
    <w:rsid w:val="00C10FBA"/>
    <w:rsid w:val="00C114D6"/>
    <w:rsid w:val="00C11524"/>
    <w:rsid w:val="00C1155E"/>
    <w:rsid w:val="00C11663"/>
    <w:rsid w:val="00C11ACD"/>
    <w:rsid w:val="00C11C53"/>
    <w:rsid w:val="00C11DD2"/>
    <w:rsid w:val="00C11FD9"/>
    <w:rsid w:val="00C12556"/>
    <w:rsid w:val="00C125C7"/>
    <w:rsid w:val="00C125E4"/>
    <w:rsid w:val="00C12658"/>
    <w:rsid w:val="00C12A07"/>
    <w:rsid w:val="00C12B5E"/>
    <w:rsid w:val="00C12C3B"/>
    <w:rsid w:val="00C12DBC"/>
    <w:rsid w:val="00C12E34"/>
    <w:rsid w:val="00C12E47"/>
    <w:rsid w:val="00C12E64"/>
    <w:rsid w:val="00C132C7"/>
    <w:rsid w:val="00C13321"/>
    <w:rsid w:val="00C1338A"/>
    <w:rsid w:val="00C13492"/>
    <w:rsid w:val="00C13661"/>
    <w:rsid w:val="00C137B4"/>
    <w:rsid w:val="00C138D0"/>
    <w:rsid w:val="00C13AAB"/>
    <w:rsid w:val="00C13AF1"/>
    <w:rsid w:val="00C13B49"/>
    <w:rsid w:val="00C13CB8"/>
    <w:rsid w:val="00C13EEF"/>
    <w:rsid w:val="00C13F8B"/>
    <w:rsid w:val="00C14253"/>
    <w:rsid w:val="00C143E1"/>
    <w:rsid w:val="00C145A0"/>
    <w:rsid w:val="00C14650"/>
    <w:rsid w:val="00C14818"/>
    <w:rsid w:val="00C148F6"/>
    <w:rsid w:val="00C14B8D"/>
    <w:rsid w:val="00C14B9B"/>
    <w:rsid w:val="00C14FA6"/>
    <w:rsid w:val="00C150E4"/>
    <w:rsid w:val="00C1510A"/>
    <w:rsid w:val="00C156D0"/>
    <w:rsid w:val="00C1582E"/>
    <w:rsid w:val="00C1586F"/>
    <w:rsid w:val="00C15A43"/>
    <w:rsid w:val="00C15A58"/>
    <w:rsid w:val="00C15AB4"/>
    <w:rsid w:val="00C15BD9"/>
    <w:rsid w:val="00C15E32"/>
    <w:rsid w:val="00C15EE0"/>
    <w:rsid w:val="00C15EF6"/>
    <w:rsid w:val="00C15F81"/>
    <w:rsid w:val="00C160D0"/>
    <w:rsid w:val="00C1638E"/>
    <w:rsid w:val="00C1648F"/>
    <w:rsid w:val="00C16549"/>
    <w:rsid w:val="00C167BF"/>
    <w:rsid w:val="00C169FF"/>
    <w:rsid w:val="00C16C8A"/>
    <w:rsid w:val="00C170EC"/>
    <w:rsid w:val="00C178FB"/>
    <w:rsid w:val="00C1794A"/>
    <w:rsid w:val="00C179C5"/>
    <w:rsid w:val="00C17CDF"/>
    <w:rsid w:val="00C17D94"/>
    <w:rsid w:val="00C2014D"/>
    <w:rsid w:val="00C20351"/>
    <w:rsid w:val="00C206D1"/>
    <w:rsid w:val="00C206F2"/>
    <w:rsid w:val="00C20740"/>
    <w:rsid w:val="00C2083E"/>
    <w:rsid w:val="00C20B1A"/>
    <w:rsid w:val="00C20CBB"/>
    <w:rsid w:val="00C20DF3"/>
    <w:rsid w:val="00C20F2F"/>
    <w:rsid w:val="00C21195"/>
    <w:rsid w:val="00C21267"/>
    <w:rsid w:val="00C2127D"/>
    <w:rsid w:val="00C21413"/>
    <w:rsid w:val="00C21416"/>
    <w:rsid w:val="00C218B0"/>
    <w:rsid w:val="00C21A6A"/>
    <w:rsid w:val="00C21B58"/>
    <w:rsid w:val="00C21E38"/>
    <w:rsid w:val="00C21F20"/>
    <w:rsid w:val="00C220D2"/>
    <w:rsid w:val="00C220E3"/>
    <w:rsid w:val="00C2235D"/>
    <w:rsid w:val="00C2266A"/>
    <w:rsid w:val="00C2272D"/>
    <w:rsid w:val="00C22772"/>
    <w:rsid w:val="00C22822"/>
    <w:rsid w:val="00C22917"/>
    <w:rsid w:val="00C22A53"/>
    <w:rsid w:val="00C22A6D"/>
    <w:rsid w:val="00C22AC0"/>
    <w:rsid w:val="00C22AFF"/>
    <w:rsid w:val="00C22C14"/>
    <w:rsid w:val="00C2311A"/>
    <w:rsid w:val="00C23299"/>
    <w:rsid w:val="00C2346B"/>
    <w:rsid w:val="00C234C1"/>
    <w:rsid w:val="00C23502"/>
    <w:rsid w:val="00C23712"/>
    <w:rsid w:val="00C238C3"/>
    <w:rsid w:val="00C23DA9"/>
    <w:rsid w:val="00C23F2F"/>
    <w:rsid w:val="00C24249"/>
    <w:rsid w:val="00C24699"/>
    <w:rsid w:val="00C24983"/>
    <w:rsid w:val="00C24ABD"/>
    <w:rsid w:val="00C24B22"/>
    <w:rsid w:val="00C24B40"/>
    <w:rsid w:val="00C24BEB"/>
    <w:rsid w:val="00C25234"/>
    <w:rsid w:val="00C25257"/>
    <w:rsid w:val="00C252D3"/>
    <w:rsid w:val="00C252EE"/>
    <w:rsid w:val="00C25393"/>
    <w:rsid w:val="00C25424"/>
    <w:rsid w:val="00C25569"/>
    <w:rsid w:val="00C25660"/>
    <w:rsid w:val="00C257EF"/>
    <w:rsid w:val="00C25870"/>
    <w:rsid w:val="00C259E5"/>
    <w:rsid w:val="00C25A14"/>
    <w:rsid w:val="00C25BE7"/>
    <w:rsid w:val="00C25E4A"/>
    <w:rsid w:val="00C260CF"/>
    <w:rsid w:val="00C2625D"/>
    <w:rsid w:val="00C26633"/>
    <w:rsid w:val="00C2676A"/>
    <w:rsid w:val="00C26957"/>
    <w:rsid w:val="00C26A86"/>
    <w:rsid w:val="00C26B03"/>
    <w:rsid w:val="00C26B8C"/>
    <w:rsid w:val="00C26DBD"/>
    <w:rsid w:val="00C26DF3"/>
    <w:rsid w:val="00C2733F"/>
    <w:rsid w:val="00C275D7"/>
    <w:rsid w:val="00C276FF"/>
    <w:rsid w:val="00C27AD7"/>
    <w:rsid w:val="00C30009"/>
    <w:rsid w:val="00C3008B"/>
    <w:rsid w:val="00C3038C"/>
    <w:rsid w:val="00C3070D"/>
    <w:rsid w:val="00C30815"/>
    <w:rsid w:val="00C309D5"/>
    <w:rsid w:val="00C30B23"/>
    <w:rsid w:val="00C30BA4"/>
    <w:rsid w:val="00C310FA"/>
    <w:rsid w:val="00C311F8"/>
    <w:rsid w:val="00C3137F"/>
    <w:rsid w:val="00C31678"/>
    <w:rsid w:val="00C319A1"/>
    <w:rsid w:val="00C31B56"/>
    <w:rsid w:val="00C31B8E"/>
    <w:rsid w:val="00C31CFE"/>
    <w:rsid w:val="00C31D7E"/>
    <w:rsid w:val="00C31DFE"/>
    <w:rsid w:val="00C31FA7"/>
    <w:rsid w:val="00C31FB5"/>
    <w:rsid w:val="00C321B5"/>
    <w:rsid w:val="00C327F0"/>
    <w:rsid w:val="00C32DB6"/>
    <w:rsid w:val="00C33014"/>
    <w:rsid w:val="00C33047"/>
    <w:rsid w:val="00C33273"/>
    <w:rsid w:val="00C3338E"/>
    <w:rsid w:val="00C33856"/>
    <w:rsid w:val="00C33E1A"/>
    <w:rsid w:val="00C33ECC"/>
    <w:rsid w:val="00C33F3D"/>
    <w:rsid w:val="00C33F64"/>
    <w:rsid w:val="00C3406F"/>
    <w:rsid w:val="00C344AC"/>
    <w:rsid w:val="00C344BA"/>
    <w:rsid w:val="00C344F4"/>
    <w:rsid w:val="00C34569"/>
    <w:rsid w:val="00C34583"/>
    <w:rsid w:val="00C345EE"/>
    <w:rsid w:val="00C34796"/>
    <w:rsid w:val="00C348A6"/>
    <w:rsid w:val="00C34969"/>
    <w:rsid w:val="00C34B10"/>
    <w:rsid w:val="00C34D15"/>
    <w:rsid w:val="00C34E10"/>
    <w:rsid w:val="00C34EBE"/>
    <w:rsid w:val="00C350AD"/>
    <w:rsid w:val="00C3522A"/>
    <w:rsid w:val="00C35571"/>
    <w:rsid w:val="00C3568A"/>
    <w:rsid w:val="00C35707"/>
    <w:rsid w:val="00C357DE"/>
    <w:rsid w:val="00C35913"/>
    <w:rsid w:val="00C35BF7"/>
    <w:rsid w:val="00C35F1F"/>
    <w:rsid w:val="00C360CD"/>
    <w:rsid w:val="00C367A5"/>
    <w:rsid w:val="00C369AF"/>
    <w:rsid w:val="00C369E0"/>
    <w:rsid w:val="00C36B05"/>
    <w:rsid w:val="00C36D96"/>
    <w:rsid w:val="00C36FAF"/>
    <w:rsid w:val="00C36FDD"/>
    <w:rsid w:val="00C370A5"/>
    <w:rsid w:val="00C37827"/>
    <w:rsid w:val="00C37843"/>
    <w:rsid w:val="00C37894"/>
    <w:rsid w:val="00C379BC"/>
    <w:rsid w:val="00C37A8F"/>
    <w:rsid w:val="00C37AAB"/>
    <w:rsid w:val="00C37CEC"/>
    <w:rsid w:val="00C40148"/>
    <w:rsid w:val="00C401B8"/>
    <w:rsid w:val="00C40225"/>
    <w:rsid w:val="00C40343"/>
    <w:rsid w:val="00C405A6"/>
    <w:rsid w:val="00C4092D"/>
    <w:rsid w:val="00C40D9C"/>
    <w:rsid w:val="00C40E35"/>
    <w:rsid w:val="00C40F59"/>
    <w:rsid w:val="00C4108F"/>
    <w:rsid w:val="00C4109E"/>
    <w:rsid w:val="00C41ACC"/>
    <w:rsid w:val="00C41B8A"/>
    <w:rsid w:val="00C41D99"/>
    <w:rsid w:val="00C41DBC"/>
    <w:rsid w:val="00C41F8B"/>
    <w:rsid w:val="00C41FC7"/>
    <w:rsid w:val="00C42230"/>
    <w:rsid w:val="00C4229D"/>
    <w:rsid w:val="00C423B4"/>
    <w:rsid w:val="00C42557"/>
    <w:rsid w:val="00C4258A"/>
    <w:rsid w:val="00C42755"/>
    <w:rsid w:val="00C429A2"/>
    <w:rsid w:val="00C42A9E"/>
    <w:rsid w:val="00C42AD3"/>
    <w:rsid w:val="00C42DA2"/>
    <w:rsid w:val="00C431E1"/>
    <w:rsid w:val="00C432A5"/>
    <w:rsid w:val="00C43504"/>
    <w:rsid w:val="00C43633"/>
    <w:rsid w:val="00C4378E"/>
    <w:rsid w:val="00C43884"/>
    <w:rsid w:val="00C43BF3"/>
    <w:rsid w:val="00C43C0F"/>
    <w:rsid w:val="00C43EAE"/>
    <w:rsid w:val="00C43F75"/>
    <w:rsid w:val="00C44120"/>
    <w:rsid w:val="00C441E6"/>
    <w:rsid w:val="00C4434E"/>
    <w:rsid w:val="00C4446B"/>
    <w:rsid w:val="00C445EC"/>
    <w:rsid w:val="00C44909"/>
    <w:rsid w:val="00C4491B"/>
    <w:rsid w:val="00C44BEB"/>
    <w:rsid w:val="00C44D7C"/>
    <w:rsid w:val="00C451C1"/>
    <w:rsid w:val="00C4523A"/>
    <w:rsid w:val="00C4526A"/>
    <w:rsid w:val="00C45280"/>
    <w:rsid w:val="00C4531A"/>
    <w:rsid w:val="00C45391"/>
    <w:rsid w:val="00C4570C"/>
    <w:rsid w:val="00C45D26"/>
    <w:rsid w:val="00C460F9"/>
    <w:rsid w:val="00C463CF"/>
    <w:rsid w:val="00C467BC"/>
    <w:rsid w:val="00C4692D"/>
    <w:rsid w:val="00C46B22"/>
    <w:rsid w:val="00C47018"/>
    <w:rsid w:val="00C472AA"/>
    <w:rsid w:val="00C473C9"/>
    <w:rsid w:val="00C47517"/>
    <w:rsid w:val="00C476C1"/>
    <w:rsid w:val="00C4793D"/>
    <w:rsid w:val="00C47BD3"/>
    <w:rsid w:val="00C47C58"/>
    <w:rsid w:val="00C47D7C"/>
    <w:rsid w:val="00C5025F"/>
    <w:rsid w:val="00C50557"/>
    <w:rsid w:val="00C50740"/>
    <w:rsid w:val="00C508A6"/>
    <w:rsid w:val="00C50CC1"/>
    <w:rsid w:val="00C50FBC"/>
    <w:rsid w:val="00C51120"/>
    <w:rsid w:val="00C51345"/>
    <w:rsid w:val="00C513A2"/>
    <w:rsid w:val="00C51467"/>
    <w:rsid w:val="00C515D1"/>
    <w:rsid w:val="00C5184C"/>
    <w:rsid w:val="00C51A8E"/>
    <w:rsid w:val="00C51CC9"/>
    <w:rsid w:val="00C51E89"/>
    <w:rsid w:val="00C51EE3"/>
    <w:rsid w:val="00C51F3B"/>
    <w:rsid w:val="00C51F7D"/>
    <w:rsid w:val="00C5205F"/>
    <w:rsid w:val="00C522FC"/>
    <w:rsid w:val="00C52370"/>
    <w:rsid w:val="00C5247A"/>
    <w:rsid w:val="00C5249A"/>
    <w:rsid w:val="00C524C0"/>
    <w:rsid w:val="00C5279C"/>
    <w:rsid w:val="00C52A83"/>
    <w:rsid w:val="00C52D37"/>
    <w:rsid w:val="00C52E91"/>
    <w:rsid w:val="00C53278"/>
    <w:rsid w:val="00C53287"/>
    <w:rsid w:val="00C5345E"/>
    <w:rsid w:val="00C534CC"/>
    <w:rsid w:val="00C5357B"/>
    <w:rsid w:val="00C5365A"/>
    <w:rsid w:val="00C53759"/>
    <w:rsid w:val="00C53790"/>
    <w:rsid w:val="00C53C88"/>
    <w:rsid w:val="00C53CA1"/>
    <w:rsid w:val="00C5418E"/>
    <w:rsid w:val="00C541CA"/>
    <w:rsid w:val="00C54207"/>
    <w:rsid w:val="00C5452E"/>
    <w:rsid w:val="00C54549"/>
    <w:rsid w:val="00C548A8"/>
    <w:rsid w:val="00C54976"/>
    <w:rsid w:val="00C54CAA"/>
    <w:rsid w:val="00C54D74"/>
    <w:rsid w:val="00C54E3F"/>
    <w:rsid w:val="00C54EF1"/>
    <w:rsid w:val="00C54F8C"/>
    <w:rsid w:val="00C55507"/>
    <w:rsid w:val="00C555AD"/>
    <w:rsid w:val="00C5585B"/>
    <w:rsid w:val="00C55900"/>
    <w:rsid w:val="00C55AA6"/>
    <w:rsid w:val="00C55BAF"/>
    <w:rsid w:val="00C55D5E"/>
    <w:rsid w:val="00C55E84"/>
    <w:rsid w:val="00C55F00"/>
    <w:rsid w:val="00C560C5"/>
    <w:rsid w:val="00C56467"/>
    <w:rsid w:val="00C5649F"/>
    <w:rsid w:val="00C56518"/>
    <w:rsid w:val="00C5679A"/>
    <w:rsid w:val="00C567E8"/>
    <w:rsid w:val="00C56909"/>
    <w:rsid w:val="00C569A4"/>
    <w:rsid w:val="00C56A2D"/>
    <w:rsid w:val="00C57203"/>
    <w:rsid w:val="00C57386"/>
    <w:rsid w:val="00C575CD"/>
    <w:rsid w:val="00C577A5"/>
    <w:rsid w:val="00C578B4"/>
    <w:rsid w:val="00C57A59"/>
    <w:rsid w:val="00C57AEA"/>
    <w:rsid w:val="00C57C1C"/>
    <w:rsid w:val="00C57F61"/>
    <w:rsid w:val="00C5F6C6"/>
    <w:rsid w:val="00C60004"/>
    <w:rsid w:val="00C602C8"/>
    <w:rsid w:val="00C602FC"/>
    <w:rsid w:val="00C603BE"/>
    <w:rsid w:val="00C607F5"/>
    <w:rsid w:val="00C60899"/>
    <w:rsid w:val="00C60BB9"/>
    <w:rsid w:val="00C60E11"/>
    <w:rsid w:val="00C60E17"/>
    <w:rsid w:val="00C60E24"/>
    <w:rsid w:val="00C6116F"/>
    <w:rsid w:val="00C6130D"/>
    <w:rsid w:val="00C61607"/>
    <w:rsid w:val="00C618AF"/>
    <w:rsid w:val="00C619D6"/>
    <w:rsid w:val="00C61CEE"/>
    <w:rsid w:val="00C61D50"/>
    <w:rsid w:val="00C620A8"/>
    <w:rsid w:val="00C620BB"/>
    <w:rsid w:val="00C6215D"/>
    <w:rsid w:val="00C625BF"/>
    <w:rsid w:val="00C62629"/>
    <w:rsid w:val="00C62809"/>
    <w:rsid w:val="00C629C3"/>
    <w:rsid w:val="00C62BD4"/>
    <w:rsid w:val="00C62CAB"/>
    <w:rsid w:val="00C63075"/>
    <w:rsid w:val="00C6315B"/>
    <w:rsid w:val="00C6329B"/>
    <w:rsid w:val="00C63624"/>
    <w:rsid w:val="00C63675"/>
    <w:rsid w:val="00C6385C"/>
    <w:rsid w:val="00C63A4D"/>
    <w:rsid w:val="00C63EBF"/>
    <w:rsid w:val="00C63EF5"/>
    <w:rsid w:val="00C63F1D"/>
    <w:rsid w:val="00C64009"/>
    <w:rsid w:val="00C64064"/>
    <w:rsid w:val="00C641E7"/>
    <w:rsid w:val="00C642B4"/>
    <w:rsid w:val="00C643F7"/>
    <w:rsid w:val="00C648E3"/>
    <w:rsid w:val="00C64A8E"/>
    <w:rsid w:val="00C64AA4"/>
    <w:rsid w:val="00C64C19"/>
    <w:rsid w:val="00C64DBA"/>
    <w:rsid w:val="00C64EE2"/>
    <w:rsid w:val="00C64FB1"/>
    <w:rsid w:val="00C652E6"/>
    <w:rsid w:val="00C65955"/>
    <w:rsid w:val="00C65985"/>
    <w:rsid w:val="00C65B7F"/>
    <w:rsid w:val="00C65C61"/>
    <w:rsid w:val="00C65CB4"/>
    <w:rsid w:val="00C65E7D"/>
    <w:rsid w:val="00C66020"/>
    <w:rsid w:val="00C66042"/>
    <w:rsid w:val="00C66119"/>
    <w:rsid w:val="00C661FA"/>
    <w:rsid w:val="00C666CB"/>
    <w:rsid w:val="00C66783"/>
    <w:rsid w:val="00C669FF"/>
    <w:rsid w:val="00C66A34"/>
    <w:rsid w:val="00C66B24"/>
    <w:rsid w:val="00C66B96"/>
    <w:rsid w:val="00C66C19"/>
    <w:rsid w:val="00C66D94"/>
    <w:rsid w:val="00C66DCE"/>
    <w:rsid w:val="00C6737E"/>
    <w:rsid w:val="00C673FC"/>
    <w:rsid w:val="00C6754D"/>
    <w:rsid w:val="00C67561"/>
    <w:rsid w:val="00C6758F"/>
    <w:rsid w:val="00C67603"/>
    <w:rsid w:val="00C67886"/>
    <w:rsid w:val="00C67CAA"/>
    <w:rsid w:val="00C67CFD"/>
    <w:rsid w:val="00C67D1D"/>
    <w:rsid w:val="00C67DAA"/>
    <w:rsid w:val="00C67F27"/>
    <w:rsid w:val="00C701CB"/>
    <w:rsid w:val="00C70204"/>
    <w:rsid w:val="00C7025F"/>
    <w:rsid w:val="00C706E9"/>
    <w:rsid w:val="00C707E4"/>
    <w:rsid w:val="00C708F9"/>
    <w:rsid w:val="00C70A48"/>
    <w:rsid w:val="00C70A70"/>
    <w:rsid w:val="00C70A79"/>
    <w:rsid w:val="00C70C4E"/>
    <w:rsid w:val="00C7127A"/>
    <w:rsid w:val="00C712D9"/>
    <w:rsid w:val="00C71319"/>
    <w:rsid w:val="00C7136C"/>
    <w:rsid w:val="00C71384"/>
    <w:rsid w:val="00C713C5"/>
    <w:rsid w:val="00C714AE"/>
    <w:rsid w:val="00C71643"/>
    <w:rsid w:val="00C71656"/>
    <w:rsid w:val="00C71806"/>
    <w:rsid w:val="00C71A70"/>
    <w:rsid w:val="00C71CC7"/>
    <w:rsid w:val="00C71D0B"/>
    <w:rsid w:val="00C71E06"/>
    <w:rsid w:val="00C71E28"/>
    <w:rsid w:val="00C71EBA"/>
    <w:rsid w:val="00C71F68"/>
    <w:rsid w:val="00C72051"/>
    <w:rsid w:val="00C723DD"/>
    <w:rsid w:val="00C72B45"/>
    <w:rsid w:val="00C72B9E"/>
    <w:rsid w:val="00C72C61"/>
    <w:rsid w:val="00C7320B"/>
    <w:rsid w:val="00C73352"/>
    <w:rsid w:val="00C73396"/>
    <w:rsid w:val="00C73575"/>
    <w:rsid w:val="00C736E7"/>
    <w:rsid w:val="00C73912"/>
    <w:rsid w:val="00C73916"/>
    <w:rsid w:val="00C7397B"/>
    <w:rsid w:val="00C73A70"/>
    <w:rsid w:val="00C73ABD"/>
    <w:rsid w:val="00C73B25"/>
    <w:rsid w:val="00C73BEE"/>
    <w:rsid w:val="00C73DF8"/>
    <w:rsid w:val="00C74058"/>
    <w:rsid w:val="00C74245"/>
    <w:rsid w:val="00C7429F"/>
    <w:rsid w:val="00C74484"/>
    <w:rsid w:val="00C745AE"/>
    <w:rsid w:val="00C7480A"/>
    <w:rsid w:val="00C748E1"/>
    <w:rsid w:val="00C74A84"/>
    <w:rsid w:val="00C74B06"/>
    <w:rsid w:val="00C74CE9"/>
    <w:rsid w:val="00C74D46"/>
    <w:rsid w:val="00C74F21"/>
    <w:rsid w:val="00C751A7"/>
    <w:rsid w:val="00C751DB"/>
    <w:rsid w:val="00C751E6"/>
    <w:rsid w:val="00C75435"/>
    <w:rsid w:val="00C7556B"/>
    <w:rsid w:val="00C755FD"/>
    <w:rsid w:val="00C75A1F"/>
    <w:rsid w:val="00C75A82"/>
    <w:rsid w:val="00C76064"/>
    <w:rsid w:val="00C76168"/>
    <w:rsid w:val="00C76184"/>
    <w:rsid w:val="00C761A9"/>
    <w:rsid w:val="00C76274"/>
    <w:rsid w:val="00C76284"/>
    <w:rsid w:val="00C76338"/>
    <w:rsid w:val="00C7642F"/>
    <w:rsid w:val="00C7652E"/>
    <w:rsid w:val="00C76626"/>
    <w:rsid w:val="00C76813"/>
    <w:rsid w:val="00C768A1"/>
    <w:rsid w:val="00C76A8D"/>
    <w:rsid w:val="00C76CBC"/>
    <w:rsid w:val="00C76CE6"/>
    <w:rsid w:val="00C76E9D"/>
    <w:rsid w:val="00C76EFC"/>
    <w:rsid w:val="00C76F6F"/>
    <w:rsid w:val="00C76FAD"/>
    <w:rsid w:val="00C770BD"/>
    <w:rsid w:val="00C770CE"/>
    <w:rsid w:val="00C771D2"/>
    <w:rsid w:val="00C7748F"/>
    <w:rsid w:val="00C77BE3"/>
    <w:rsid w:val="00C77C8C"/>
    <w:rsid w:val="00C77CF3"/>
    <w:rsid w:val="00C77EE8"/>
    <w:rsid w:val="00C8002E"/>
    <w:rsid w:val="00C80442"/>
    <w:rsid w:val="00C8052A"/>
    <w:rsid w:val="00C80774"/>
    <w:rsid w:val="00C8084C"/>
    <w:rsid w:val="00C80A13"/>
    <w:rsid w:val="00C80B90"/>
    <w:rsid w:val="00C81052"/>
    <w:rsid w:val="00C8114B"/>
    <w:rsid w:val="00C8124E"/>
    <w:rsid w:val="00C815B6"/>
    <w:rsid w:val="00C815B7"/>
    <w:rsid w:val="00C81A85"/>
    <w:rsid w:val="00C81B26"/>
    <w:rsid w:val="00C81B2B"/>
    <w:rsid w:val="00C81D50"/>
    <w:rsid w:val="00C81FBC"/>
    <w:rsid w:val="00C81FC8"/>
    <w:rsid w:val="00C82416"/>
    <w:rsid w:val="00C82828"/>
    <w:rsid w:val="00C829EE"/>
    <w:rsid w:val="00C82C8A"/>
    <w:rsid w:val="00C82EFA"/>
    <w:rsid w:val="00C830AF"/>
    <w:rsid w:val="00C83270"/>
    <w:rsid w:val="00C8339E"/>
    <w:rsid w:val="00C836AB"/>
    <w:rsid w:val="00C836C2"/>
    <w:rsid w:val="00C83710"/>
    <w:rsid w:val="00C83756"/>
    <w:rsid w:val="00C83B72"/>
    <w:rsid w:val="00C83E70"/>
    <w:rsid w:val="00C83EA1"/>
    <w:rsid w:val="00C84180"/>
    <w:rsid w:val="00C845C1"/>
    <w:rsid w:val="00C847C5"/>
    <w:rsid w:val="00C848A3"/>
    <w:rsid w:val="00C84907"/>
    <w:rsid w:val="00C8493A"/>
    <w:rsid w:val="00C84952"/>
    <w:rsid w:val="00C84A21"/>
    <w:rsid w:val="00C84BA2"/>
    <w:rsid w:val="00C84D09"/>
    <w:rsid w:val="00C84E06"/>
    <w:rsid w:val="00C85286"/>
    <w:rsid w:val="00C85396"/>
    <w:rsid w:val="00C853B0"/>
    <w:rsid w:val="00C8552B"/>
    <w:rsid w:val="00C8555F"/>
    <w:rsid w:val="00C85B6B"/>
    <w:rsid w:val="00C85B7B"/>
    <w:rsid w:val="00C85C5D"/>
    <w:rsid w:val="00C85E78"/>
    <w:rsid w:val="00C86095"/>
    <w:rsid w:val="00C86183"/>
    <w:rsid w:val="00C86310"/>
    <w:rsid w:val="00C867E6"/>
    <w:rsid w:val="00C8688D"/>
    <w:rsid w:val="00C8694A"/>
    <w:rsid w:val="00C86B38"/>
    <w:rsid w:val="00C86C19"/>
    <w:rsid w:val="00C86FB9"/>
    <w:rsid w:val="00C86FF4"/>
    <w:rsid w:val="00C8702D"/>
    <w:rsid w:val="00C872D7"/>
    <w:rsid w:val="00C8748C"/>
    <w:rsid w:val="00C87880"/>
    <w:rsid w:val="00C8797E"/>
    <w:rsid w:val="00C87FAD"/>
    <w:rsid w:val="00C87FDF"/>
    <w:rsid w:val="00C900B8"/>
    <w:rsid w:val="00C901EE"/>
    <w:rsid w:val="00C903CF"/>
    <w:rsid w:val="00C904CD"/>
    <w:rsid w:val="00C909E1"/>
    <w:rsid w:val="00C90B4B"/>
    <w:rsid w:val="00C90C49"/>
    <w:rsid w:val="00C914D3"/>
    <w:rsid w:val="00C91B6D"/>
    <w:rsid w:val="00C91C62"/>
    <w:rsid w:val="00C91E86"/>
    <w:rsid w:val="00C91EBA"/>
    <w:rsid w:val="00C920D1"/>
    <w:rsid w:val="00C9270B"/>
    <w:rsid w:val="00C9296C"/>
    <w:rsid w:val="00C92A32"/>
    <w:rsid w:val="00C92C79"/>
    <w:rsid w:val="00C92F28"/>
    <w:rsid w:val="00C93C0B"/>
    <w:rsid w:val="00C93FE3"/>
    <w:rsid w:val="00C94037"/>
    <w:rsid w:val="00C941BB"/>
    <w:rsid w:val="00C945A0"/>
    <w:rsid w:val="00C94877"/>
    <w:rsid w:val="00C94A45"/>
    <w:rsid w:val="00C94B6B"/>
    <w:rsid w:val="00C94CD5"/>
    <w:rsid w:val="00C95166"/>
    <w:rsid w:val="00C951C0"/>
    <w:rsid w:val="00C9539C"/>
    <w:rsid w:val="00C95481"/>
    <w:rsid w:val="00C95615"/>
    <w:rsid w:val="00C9567D"/>
    <w:rsid w:val="00C9569C"/>
    <w:rsid w:val="00C95773"/>
    <w:rsid w:val="00C959A1"/>
    <w:rsid w:val="00C95B0A"/>
    <w:rsid w:val="00C95B8C"/>
    <w:rsid w:val="00C95D96"/>
    <w:rsid w:val="00C95E17"/>
    <w:rsid w:val="00C95F05"/>
    <w:rsid w:val="00C95FDF"/>
    <w:rsid w:val="00C961FF"/>
    <w:rsid w:val="00C9654C"/>
    <w:rsid w:val="00C96790"/>
    <w:rsid w:val="00C96B5F"/>
    <w:rsid w:val="00C96C59"/>
    <w:rsid w:val="00C96D2E"/>
    <w:rsid w:val="00C96E6C"/>
    <w:rsid w:val="00C97085"/>
    <w:rsid w:val="00C97173"/>
    <w:rsid w:val="00C973DB"/>
    <w:rsid w:val="00C978C9"/>
    <w:rsid w:val="00C97AEC"/>
    <w:rsid w:val="00C97B2A"/>
    <w:rsid w:val="00C97CE0"/>
    <w:rsid w:val="00C97E7C"/>
    <w:rsid w:val="00C97F94"/>
    <w:rsid w:val="00CA023A"/>
    <w:rsid w:val="00CA057F"/>
    <w:rsid w:val="00CA08BA"/>
    <w:rsid w:val="00CA090E"/>
    <w:rsid w:val="00CA0A4C"/>
    <w:rsid w:val="00CA0B60"/>
    <w:rsid w:val="00CA0F7F"/>
    <w:rsid w:val="00CA11E8"/>
    <w:rsid w:val="00CA14EF"/>
    <w:rsid w:val="00CA1709"/>
    <w:rsid w:val="00CA188F"/>
    <w:rsid w:val="00CA1D2F"/>
    <w:rsid w:val="00CA1E9A"/>
    <w:rsid w:val="00CA1F2B"/>
    <w:rsid w:val="00CA209A"/>
    <w:rsid w:val="00CA20BD"/>
    <w:rsid w:val="00CA2303"/>
    <w:rsid w:val="00CA2457"/>
    <w:rsid w:val="00CA2635"/>
    <w:rsid w:val="00CA2647"/>
    <w:rsid w:val="00CA27C2"/>
    <w:rsid w:val="00CA29AF"/>
    <w:rsid w:val="00CA2A7E"/>
    <w:rsid w:val="00CA2ACD"/>
    <w:rsid w:val="00CA2D84"/>
    <w:rsid w:val="00CA2DEB"/>
    <w:rsid w:val="00CA2E49"/>
    <w:rsid w:val="00CA2FBF"/>
    <w:rsid w:val="00CA344C"/>
    <w:rsid w:val="00CA34F8"/>
    <w:rsid w:val="00CA3526"/>
    <w:rsid w:val="00CA3623"/>
    <w:rsid w:val="00CA362C"/>
    <w:rsid w:val="00CA3690"/>
    <w:rsid w:val="00CA38F3"/>
    <w:rsid w:val="00CA3D89"/>
    <w:rsid w:val="00CA3FF7"/>
    <w:rsid w:val="00CA4083"/>
    <w:rsid w:val="00CA4193"/>
    <w:rsid w:val="00CA42EC"/>
    <w:rsid w:val="00CA438D"/>
    <w:rsid w:val="00CA44AF"/>
    <w:rsid w:val="00CA471C"/>
    <w:rsid w:val="00CA4793"/>
    <w:rsid w:val="00CA49C9"/>
    <w:rsid w:val="00CA4A3A"/>
    <w:rsid w:val="00CA4A82"/>
    <w:rsid w:val="00CA4AE4"/>
    <w:rsid w:val="00CA4AF5"/>
    <w:rsid w:val="00CA4B84"/>
    <w:rsid w:val="00CA4C7D"/>
    <w:rsid w:val="00CA4CB8"/>
    <w:rsid w:val="00CA4D17"/>
    <w:rsid w:val="00CA4D36"/>
    <w:rsid w:val="00CA5341"/>
    <w:rsid w:val="00CA5415"/>
    <w:rsid w:val="00CA566D"/>
    <w:rsid w:val="00CA5825"/>
    <w:rsid w:val="00CA59AB"/>
    <w:rsid w:val="00CA5BB6"/>
    <w:rsid w:val="00CA5E37"/>
    <w:rsid w:val="00CA61A8"/>
    <w:rsid w:val="00CA628E"/>
    <w:rsid w:val="00CA635E"/>
    <w:rsid w:val="00CA64AC"/>
    <w:rsid w:val="00CA651D"/>
    <w:rsid w:val="00CA65D9"/>
    <w:rsid w:val="00CA667D"/>
    <w:rsid w:val="00CA66ED"/>
    <w:rsid w:val="00CA6BED"/>
    <w:rsid w:val="00CA6E45"/>
    <w:rsid w:val="00CA72F0"/>
    <w:rsid w:val="00CA7301"/>
    <w:rsid w:val="00CA7589"/>
    <w:rsid w:val="00CA7631"/>
    <w:rsid w:val="00CA786C"/>
    <w:rsid w:val="00CA7B44"/>
    <w:rsid w:val="00CAF9FE"/>
    <w:rsid w:val="00CB01BF"/>
    <w:rsid w:val="00CB0688"/>
    <w:rsid w:val="00CB07D2"/>
    <w:rsid w:val="00CB0A56"/>
    <w:rsid w:val="00CB0BC9"/>
    <w:rsid w:val="00CB0DE7"/>
    <w:rsid w:val="00CB0E20"/>
    <w:rsid w:val="00CB0FBB"/>
    <w:rsid w:val="00CB1278"/>
    <w:rsid w:val="00CB12B5"/>
    <w:rsid w:val="00CB15D8"/>
    <w:rsid w:val="00CB15E0"/>
    <w:rsid w:val="00CB1612"/>
    <w:rsid w:val="00CB16A5"/>
    <w:rsid w:val="00CB17D3"/>
    <w:rsid w:val="00CB17DB"/>
    <w:rsid w:val="00CB18D1"/>
    <w:rsid w:val="00CB19F7"/>
    <w:rsid w:val="00CB1C69"/>
    <w:rsid w:val="00CB1F14"/>
    <w:rsid w:val="00CB1F2F"/>
    <w:rsid w:val="00CB2163"/>
    <w:rsid w:val="00CB25FD"/>
    <w:rsid w:val="00CB2624"/>
    <w:rsid w:val="00CB2ABD"/>
    <w:rsid w:val="00CB2B0E"/>
    <w:rsid w:val="00CB2BD1"/>
    <w:rsid w:val="00CB2D6B"/>
    <w:rsid w:val="00CB2E3F"/>
    <w:rsid w:val="00CB301F"/>
    <w:rsid w:val="00CB3354"/>
    <w:rsid w:val="00CB3546"/>
    <w:rsid w:val="00CB35FC"/>
    <w:rsid w:val="00CB3613"/>
    <w:rsid w:val="00CB386C"/>
    <w:rsid w:val="00CB38F2"/>
    <w:rsid w:val="00CB3B6E"/>
    <w:rsid w:val="00CB3EA9"/>
    <w:rsid w:val="00CB401B"/>
    <w:rsid w:val="00CB4037"/>
    <w:rsid w:val="00CB4198"/>
    <w:rsid w:val="00CB41F4"/>
    <w:rsid w:val="00CB4479"/>
    <w:rsid w:val="00CB4488"/>
    <w:rsid w:val="00CB451C"/>
    <w:rsid w:val="00CB4613"/>
    <w:rsid w:val="00CB46A3"/>
    <w:rsid w:val="00CB48B8"/>
    <w:rsid w:val="00CB48C6"/>
    <w:rsid w:val="00CB4955"/>
    <w:rsid w:val="00CB4991"/>
    <w:rsid w:val="00CB4A33"/>
    <w:rsid w:val="00CB4AA7"/>
    <w:rsid w:val="00CB5032"/>
    <w:rsid w:val="00CB5152"/>
    <w:rsid w:val="00CB5165"/>
    <w:rsid w:val="00CB51FC"/>
    <w:rsid w:val="00CB5310"/>
    <w:rsid w:val="00CB53E2"/>
    <w:rsid w:val="00CB54F8"/>
    <w:rsid w:val="00CB5572"/>
    <w:rsid w:val="00CB56B8"/>
    <w:rsid w:val="00CB56FC"/>
    <w:rsid w:val="00CB588A"/>
    <w:rsid w:val="00CB58EC"/>
    <w:rsid w:val="00CB58F6"/>
    <w:rsid w:val="00CB5906"/>
    <w:rsid w:val="00CB59C2"/>
    <w:rsid w:val="00CB5B8E"/>
    <w:rsid w:val="00CB5F57"/>
    <w:rsid w:val="00CB6008"/>
    <w:rsid w:val="00CB6128"/>
    <w:rsid w:val="00CB62B1"/>
    <w:rsid w:val="00CB645F"/>
    <w:rsid w:val="00CB655E"/>
    <w:rsid w:val="00CB6926"/>
    <w:rsid w:val="00CB6A7A"/>
    <w:rsid w:val="00CB6CBC"/>
    <w:rsid w:val="00CB6E18"/>
    <w:rsid w:val="00CB7887"/>
    <w:rsid w:val="00CB7938"/>
    <w:rsid w:val="00CB7A86"/>
    <w:rsid w:val="00CB7B91"/>
    <w:rsid w:val="00CB7EEB"/>
    <w:rsid w:val="00CB7F32"/>
    <w:rsid w:val="00CC02B9"/>
    <w:rsid w:val="00CC02DB"/>
    <w:rsid w:val="00CC0322"/>
    <w:rsid w:val="00CC03FC"/>
    <w:rsid w:val="00CC0543"/>
    <w:rsid w:val="00CC065A"/>
    <w:rsid w:val="00CC0A3B"/>
    <w:rsid w:val="00CC0A67"/>
    <w:rsid w:val="00CC0B23"/>
    <w:rsid w:val="00CC0C22"/>
    <w:rsid w:val="00CC0ECF"/>
    <w:rsid w:val="00CC0F53"/>
    <w:rsid w:val="00CC1061"/>
    <w:rsid w:val="00CC113F"/>
    <w:rsid w:val="00CC1379"/>
    <w:rsid w:val="00CC145C"/>
    <w:rsid w:val="00CC14C9"/>
    <w:rsid w:val="00CC15B6"/>
    <w:rsid w:val="00CC15FF"/>
    <w:rsid w:val="00CC16CE"/>
    <w:rsid w:val="00CC17AA"/>
    <w:rsid w:val="00CC235C"/>
    <w:rsid w:val="00CC24C2"/>
    <w:rsid w:val="00CC25C0"/>
    <w:rsid w:val="00CC2630"/>
    <w:rsid w:val="00CC2680"/>
    <w:rsid w:val="00CC281C"/>
    <w:rsid w:val="00CC2838"/>
    <w:rsid w:val="00CC2937"/>
    <w:rsid w:val="00CC2ABF"/>
    <w:rsid w:val="00CC317E"/>
    <w:rsid w:val="00CC31EB"/>
    <w:rsid w:val="00CC31FB"/>
    <w:rsid w:val="00CC3247"/>
    <w:rsid w:val="00CC3268"/>
    <w:rsid w:val="00CC33CF"/>
    <w:rsid w:val="00CC33E1"/>
    <w:rsid w:val="00CC348A"/>
    <w:rsid w:val="00CC34CF"/>
    <w:rsid w:val="00CC352D"/>
    <w:rsid w:val="00CC3556"/>
    <w:rsid w:val="00CC3586"/>
    <w:rsid w:val="00CC3765"/>
    <w:rsid w:val="00CC3A2D"/>
    <w:rsid w:val="00CC3B74"/>
    <w:rsid w:val="00CC3CBB"/>
    <w:rsid w:val="00CC400D"/>
    <w:rsid w:val="00CC430A"/>
    <w:rsid w:val="00CC43A5"/>
    <w:rsid w:val="00CC445E"/>
    <w:rsid w:val="00CC4461"/>
    <w:rsid w:val="00CC4544"/>
    <w:rsid w:val="00CC477B"/>
    <w:rsid w:val="00CC4797"/>
    <w:rsid w:val="00CC4821"/>
    <w:rsid w:val="00CC486F"/>
    <w:rsid w:val="00CC4AAC"/>
    <w:rsid w:val="00CC4C0D"/>
    <w:rsid w:val="00CC4D7D"/>
    <w:rsid w:val="00CC4FB5"/>
    <w:rsid w:val="00CC50CE"/>
    <w:rsid w:val="00CC510A"/>
    <w:rsid w:val="00CC5278"/>
    <w:rsid w:val="00CC56AD"/>
    <w:rsid w:val="00CC5704"/>
    <w:rsid w:val="00CC582F"/>
    <w:rsid w:val="00CC59C4"/>
    <w:rsid w:val="00CC5D8B"/>
    <w:rsid w:val="00CC5E91"/>
    <w:rsid w:val="00CC5F5F"/>
    <w:rsid w:val="00CC6100"/>
    <w:rsid w:val="00CC6A97"/>
    <w:rsid w:val="00CC710C"/>
    <w:rsid w:val="00CC7129"/>
    <w:rsid w:val="00CC7131"/>
    <w:rsid w:val="00CC7222"/>
    <w:rsid w:val="00CC73DC"/>
    <w:rsid w:val="00CC7898"/>
    <w:rsid w:val="00CC7A67"/>
    <w:rsid w:val="00CC7B81"/>
    <w:rsid w:val="00CD00EE"/>
    <w:rsid w:val="00CD02F1"/>
    <w:rsid w:val="00CD0351"/>
    <w:rsid w:val="00CD035B"/>
    <w:rsid w:val="00CD0411"/>
    <w:rsid w:val="00CD061D"/>
    <w:rsid w:val="00CD0699"/>
    <w:rsid w:val="00CD07C4"/>
    <w:rsid w:val="00CD0BC9"/>
    <w:rsid w:val="00CD0C35"/>
    <w:rsid w:val="00CD0D4D"/>
    <w:rsid w:val="00CD0E3C"/>
    <w:rsid w:val="00CD0E3F"/>
    <w:rsid w:val="00CD109F"/>
    <w:rsid w:val="00CD1349"/>
    <w:rsid w:val="00CD1547"/>
    <w:rsid w:val="00CD15D6"/>
    <w:rsid w:val="00CD1934"/>
    <w:rsid w:val="00CD1AD6"/>
    <w:rsid w:val="00CD1BF5"/>
    <w:rsid w:val="00CD1F06"/>
    <w:rsid w:val="00CD1FD2"/>
    <w:rsid w:val="00CD2093"/>
    <w:rsid w:val="00CD230B"/>
    <w:rsid w:val="00CD23EB"/>
    <w:rsid w:val="00CD2440"/>
    <w:rsid w:val="00CD25CC"/>
    <w:rsid w:val="00CD29E4"/>
    <w:rsid w:val="00CD2BC2"/>
    <w:rsid w:val="00CD2BC6"/>
    <w:rsid w:val="00CD2D4E"/>
    <w:rsid w:val="00CD2E94"/>
    <w:rsid w:val="00CD2EA8"/>
    <w:rsid w:val="00CD2FCB"/>
    <w:rsid w:val="00CD3147"/>
    <w:rsid w:val="00CD31EB"/>
    <w:rsid w:val="00CD33A1"/>
    <w:rsid w:val="00CD34C3"/>
    <w:rsid w:val="00CD36CA"/>
    <w:rsid w:val="00CD36D8"/>
    <w:rsid w:val="00CD39F9"/>
    <w:rsid w:val="00CD3CA6"/>
    <w:rsid w:val="00CD3D8F"/>
    <w:rsid w:val="00CD3F6F"/>
    <w:rsid w:val="00CD48CF"/>
    <w:rsid w:val="00CD4945"/>
    <w:rsid w:val="00CD4A00"/>
    <w:rsid w:val="00CD4DED"/>
    <w:rsid w:val="00CD4E41"/>
    <w:rsid w:val="00CD5117"/>
    <w:rsid w:val="00CD5159"/>
    <w:rsid w:val="00CD5160"/>
    <w:rsid w:val="00CD516B"/>
    <w:rsid w:val="00CD53FB"/>
    <w:rsid w:val="00CD549D"/>
    <w:rsid w:val="00CD5533"/>
    <w:rsid w:val="00CD578E"/>
    <w:rsid w:val="00CD585E"/>
    <w:rsid w:val="00CD58D7"/>
    <w:rsid w:val="00CD58E8"/>
    <w:rsid w:val="00CD5982"/>
    <w:rsid w:val="00CD5ACC"/>
    <w:rsid w:val="00CD5C3B"/>
    <w:rsid w:val="00CD5CDB"/>
    <w:rsid w:val="00CD609C"/>
    <w:rsid w:val="00CD66B8"/>
    <w:rsid w:val="00CD69C9"/>
    <w:rsid w:val="00CD6F83"/>
    <w:rsid w:val="00CD72DD"/>
    <w:rsid w:val="00CD77B7"/>
    <w:rsid w:val="00CD79FD"/>
    <w:rsid w:val="00CD7A6F"/>
    <w:rsid w:val="00CD7AB9"/>
    <w:rsid w:val="00CD7BDD"/>
    <w:rsid w:val="00CD7E57"/>
    <w:rsid w:val="00CD7FAA"/>
    <w:rsid w:val="00CE00FF"/>
    <w:rsid w:val="00CE0141"/>
    <w:rsid w:val="00CE01F2"/>
    <w:rsid w:val="00CE0516"/>
    <w:rsid w:val="00CE0522"/>
    <w:rsid w:val="00CE05F1"/>
    <w:rsid w:val="00CE06EC"/>
    <w:rsid w:val="00CE0785"/>
    <w:rsid w:val="00CE096A"/>
    <w:rsid w:val="00CE0B57"/>
    <w:rsid w:val="00CE0C00"/>
    <w:rsid w:val="00CE0D29"/>
    <w:rsid w:val="00CE0D43"/>
    <w:rsid w:val="00CE0DCF"/>
    <w:rsid w:val="00CE0E07"/>
    <w:rsid w:val="00CE0E89"/>
    <w:rsid w:val="00CE0FA7"/>
    <w:rsid w:val="00CE1000"/>
    <w:rsid w:val="00CE1041"/>
    <w:rsid w:val="00CE10D6"/>
    <w:rsid w:val="00CE11BC"/>
    <w:rsid w:val="00CE132A"/>
    <w:rsid w:val="00CE13C9"/>
    <w:rsid w:val="00CE1584"/>
    <w:rsid w:val="00CE1609"/>
    <w:rsid w:val="00CE1A52"/>
    <w:rsid w:val="00CE1AB1"/>
    <w:rsid w:val="00CE1E24"/>
    <w:rsid w:val="00CE20A2"/>
    <w:rsid w:val="00CE2949"/>
    <w:rsid w:val="00CE2D86"/>
    <w:rsid w:val="00CE2F62"/>
    <w:rsid w:val="00CE30BC"/>
    <w:rsid w:val="00CE30D6"/>
    <w:rsid w:val="00CE3170"/>
    <w:rsid w:val="00CE31A5"/>
    <w:rsid w:val="00CE337A"/>
    <w:rsid w:val="00CE339C"/>
    <w:rsid w:val="00CE34DB"/>
    <w:rsid w:val="00CE36AF"/>
    <w:rsid w:val="00CE3B34"/>
    <w:rsid w:val="00CE3BB2"/>
    <w:rsid w:val="00CE3D4C"/>
    <w:rsid w:val="00CE3DBA"/>
    <w:rsid w:val="00CE3E3A"/>
    <w:rsid w:val="00CE3E93"/>
    <w:rsid w:val="00CE3EB2"/>
    <w:rsid w:val="00CE4133"/>
    <w:rsid w:val="00CE4464"/>
    <w:rsid w:val="00CE46FF"/>
    <w:rsid w:val="00CE48F0"/>
    <w:rsid w:val="00CE491F"/>
    <w:rsid w:val="00CE4BBC"/>
    <w:rsid w:val="00CE50F6"/>
    <w:rsid w:val="00CE518A"/>
    <w:rsid w:val="00CE56A4"/>
    <w:rsid w:val="00CE56D8"/>
    <w:rsid w:val="00CE5A7F"/>
    <w:rsid w:val="00CE5EB3"/>
    <w:rsid w:val="00CE63FD"/>
    <w:rsid w:val="00CE64D8"/>
    <w:rsid w:val="00CE669A"/>
    <w:rsid w:val="00CE66A2"/>
    <w:rsid w:val="00CE6964"/>
    <w:rsid w:val="00CE6974"/>
    <w:rsid w:val="00CE6B17"/>
    <w:rsid w:val="00CE6C18"/>
    <w:rsid w:val="00CE6E5B"/>
    <w:rsid w:val="00CE6F9B"/>
    <w:rsid w:val="00CE7324"/>
    <w:rsid w:val="00CE7618"/>
    <w:rsid w:val="00CE7735"/>
    <w:rsid w:val="00CE77FD"/>
    <w:rsid w:val="00CE78CA"/>
    <w:rsid w:val="00CE7956"/>
    <w:rsid w:val="00CE7981"/>
    <w:rsid w:val="00CE7B15"/>
    <w:rsid w:val="00CE7BB1"/>
    <w:rsid w:val="00CE7D33"/>
    <w:rsid w:val="00CF033E"/>
    <w:rsid w:val="00CF0500"/>
    <w:rsid w:val="00CF07AD"/>
    <w:rsid w:val="00CF07B3"/>
    <w:rsid w:val="00CF0E60"/>
    <w:rsid w:val="00CF10F2"/>
    <w:rsid w:val="00CF112B"/>
    <w:rsid w:val="00CF148F"/>
    <w:rsid w:val="00CF1569"/>
    <w:rsid w:val="00CF175D"/>
    <w:rsid w:val="00CF18C8"/>
    <w:rsid w:val="00CF18E7"/>
    <w:rsid w:val="00CF1915"/>
    <w:rsid w:val="00CF1A3E"/>
    <w:rsid w:val="00CF1AF5"/>
    <w:rsid w:val="00CF1AF8"/>
    <w:rsid w:val="00CF1BCC"/>
    <w:rsid w:val="00CF1C60"/>
    <w:rsid w:val="00CF1D4D"/>
    <w:rsid w:val="00CF1DA0"/>
    <w:rsid w:val="00CF1DD3"/>
    <w:rsid w:val="00CF1DEA"/>
    <w:rsid w:val="00CF209C"/>
    <w:rsid w:val="00CF22A1"/>
    <w:rsid w:val="00CF2443"/>
    <w:rsid w:val="00CF2736"/>
    <w:rsid w:val="00CF278B"/>
    <w:rsid w:val="00CF2989"/>
    <w:rsid w:val="00CF2999"/>
    <w:rsid w:val="00CF2B9C"/>
    <w:rsid w:val="00CF2CFF"/>
    <w:rsid w:val="00CF2F37"/>
    <w:rsid w:val="00CF2FD5"/>
    <w:rsid w:val="00CF30B4"/>
    <w:rsid w:val="00CF30C4"/>
    <w:rsid w:val="00CF3427"/>
    <w:rsid w:val="00CF3449"/>
    <w:rsid w:val="00CF3A9A"/>
    <w:rsid w:val="00CF3DCA"/>
    <w:rsid w:val="00CF427D"/>
    <w:rsid w:val="00CF4320"/>
    <w:rsid w:val="00CF450A"/>
    <w:rsid w:val="00CF4B74"/>
    <w:rsid w:val="00CF4BD8"/>
    <w:rsid w:val="00CF4E3B"/>
    <w:rsid w:val="00CF52C6"/>
    <w:rsid w:val="00CF5566"/>
    <w:rsid w:val="00CF55C8"/>
    <w:rsid w:val="00CF55ED"/>
    <w:rsid w:val="00CF5718"/>
    <w:rsid w:val="00CF5775"/>
    <w:rsid w:val="00CF582A"/>
    <w:rsid w:val="00CF587A"/>
    <w:rsid w:val="00CF58AF"/>
    <w:rsid w:val="00CF5901"/>
    <w:rsid w:val="00CF5A5B"/>
    <w:rsid w:val="00CF5BDE"/>
    <w:rsid w:val="00CF5D9C"/>
    <w:rsid w:val="00CF5FD5"/>
    <w:rsid w:val="00CF5FF1"/>
    <w:rsid w:val="00CF606C"/>
    <w:rsid w:val="00CF6179"/>
    <w:rsid w:val="00CF63B2"/>
    <w:rsid w:val="00CF63B9"/>
    <w:rsid w:val="00CF63F3"/>
    <w:rsid w:val="00CF6579"/>
    <w:rsid w:val="00CF6642"/>
    <w:rsid w:val="00CF6658"/>
    <w:rsid w:val="00CF67F1"/>
    <w:rsid w:val="00CF6849"/>
    <w:rsid w:val="00CF6969"/>
    <w:rsid w:val="00CF6A25"/>
    <w:rsid w:val="00CF6B0B"/>
    <w:rsid w:val="00CF6B86"/>
    <w:rsid w:val="00CF6EEC"/>
    <w:rsid w:val="00CF710F"/>
    <w:rsid w:val="00CF7120"/>
    <w:rsid w:val="00CF71C9"/>
    <w:rsid w:val="00CF73D8"/>
    <w:rsid w:val="00CF7440"/>
    <w:rsid w:val="00CF75C6"/>
    <w:rsid w:val="00CF77FE"/>
    <w:rsid w:val="00CF7879"/>
    <w:rsid w:val="00CF79BA"/>
    <w:rsid w:val="00CF7A1D"/>
    <w:rsid w:val="00CF7A2A"/>
    <w:rsid w:val="00CF7B7A"/>
    <w:rsid w:val="00CF7BA2"/>
    <w:rsid w:val="00CF7BE2"/>
    <w:rsid w:val="00CF7C0A"/>
    <w:rsid w:val="00CF7C75"/>
    <w:rsid w:val="00CF7D31"/>
    <w:rsid w:val="00CF7DE2"/>
    <w:rsid w:val="00CF7EDF"/>
    <w:rsid w:val="00CF91F9"/>
    <w:rsid w:val="00D002A4"/>
    <w:rsid w:val="00D00317"/>
    <w:rsid w:val="00D00375"/>
    <w:rsid w:val="00D005BC"/>
    <w:rsid w:val="00D00709"/>
    <w:rsid w:val="00D0086F"/>
    <w:rsid w:val="00D00D1A"/>
    <w:rsid w:val="00D00E07"/>
    <w:rsid w:val="00D00E17"/>
    <w:rsid w:val="00D00FEE"/>
    <w:rsid w:val="00D00FF6"/>
    <w:rsid w:val="00D01008"/>
    <w:rsid w:val="00D0107A"/>
    <w:rsid w:val="00D011D1"/>
    <w:rsid w:val="00D012DC"/>
    <w:rsid w:val="00D01396"/>
    <w:rsid w:val="00D01533"/>
    <w:rsid w:val="00D01833"/>
    <w:rsid w:val="00D0185F"/>
    <w:rsid w:val="00D01921"/>
    <w:rsid w:val="00D01954"/>
    <w:rsid w:val="00D01BE3"/>
    <w:rsid w:val="00D01BE8"/>
    <w:rsid w:val="00D01D6C"/>
    <w:rsid w:val="00D01E8E"/>
    <w:rsid w:val="00D01F65"/>
    <w:rsid w:val="00D0201B"/>
    <w:rsid w:val="00D023B2"/>
    <w:rsid w:val="00D02416"/>
    <w:rsid w:val="00D024CB"/>
    <w:rsid w:val="00D026B6"/>
    <w:rsid w:val="00D0286A"/>
    <w:rsid w:val="00D02A04"/>
    <w:rsid w:val="00D02C28"/>
    <w:rsid w:val="00D02C7D"/>
    <w:rsid w:val="00D02F6D"/>
    <w:rsid w:val="00D02F97"/>
    <w:rsid w:val="00D0347D"/>
    <w:rsid w:val="00D038E1"/>
    <w:rsid w:val="00D03A5C"/>
    <w:rsid w:val="00D03A6F"/>
    <w:rsid w:val="00D03A8D"/>
    <w:rsid w:val="00D03B89"/>
    <w:rsid w:val="00D03C89"/>
    <w:rsid w:val="00D03D45"/>
    <w:rsid w:val="00D03D8B"/>
    <w:rsid w:val="00D03E02"/>
    <w:rsid w:val="00D03FE1"/>
    <w:rsid w:val="00D040FB"/>
    <w:rsid w:val="00D041F9"/>
    <w:rsid w:val="00D0432C"/>
    <w:rsid w:val="00D0451F"/>
    <w:rsid w:val="00D0454D"/>
    <w:rsid w:val="00D04874"/>
    <w:rsid w:val="00D04BA4"/>
    <w:rsid w:val="00D04CE9"/>
    <w:rsid w:val="00D04D04"/>
    <w:rsid w:val="00D04EF7"/>
    <w:rsid w:val="00D0502F"/>
    <w:rsid w:val="00D05263"/>
    <w:rsid w:val="00D05341"/>
    <w:rsid w:val="00D0535A"/>
    <w:rsid w:val="00D05380"/>
    <w:rsid w:val="00D055F4"/>
    <w:rsid w:val="00D05860"/>
    <w:rsid w:val="00D05AAF"/>
    <w:rsid w:val="00D05C72"/>
    <w:rsid w:val="00D05D4B"/>
    <w:rsid w:val="00D05DDF"/>
    <w:rsid w:val="00D05F38"/>
    <w:rsid w:val="00D06049"/>
    <w:rsid w:val="00D0613E"/>
    <w:rsid w:val="00D06491"/>
    <w:rsid w:val="00D064AB"/>
    <w:rsid w:val="00D06C75"/>
    <w:rsid w:val="00D06CBC"/>
    <w:rsid w:val="00D06CEF"/>
    <w:rsid w:val="00D06F90"/>
    <w:rsid w:val="00D07371"/>
    <w:rsid w:val="00D076F8"/>
    <w:rsid w:val="00D078CB"/>
    <w:rsid w:val="00D07ABF"/>
    <w:rsid w:val="00D07ACE"/>
    <w:rsid w:val="00D07D15"/>
    <w:rsid w:val="00D07E89"/>
    <w:rsid w:val="00D10386"/>
    <w:rsid w:val="00D1092E"/>
    <w:rsid w:val="00D109DD"/>
    <w:rsid w:val="00D10BC6"/>
    <w:rsid w:val="00D10C3E"/>
    <w:rsid w:val="00D10D46"/>
    <w:rsid w:val="00D10DCF"/>
    <w:rsid w:val="00D10E24"/>
    <w:rsid w:val="00D10FA8"/>
    <w:rsid w:val="00D11336"/>
    <w:rsid w:val="00D116A9"/>
    <w:rsid w:val="00D119F1"/>
    <w:rsid w:val="00D11A14"/>
    <w:rsid w:val="00D11BD2"/>
    <w:rsid w:val="00D11DEF"/>
    <w:rsid w:val="00D11E3A"/>
    <w:rsid w:val="00D11F29"/>
    <w:rsid w:val="00D1217C"/>
    <w:rsid w:val="00D1239B"/>
    <w:rsid w:val="00D127FC"/>
    <w:rsid w:val="00D127FE"/>
    <w:rsid w:val="00D12886"/>
    <w:rsid w:val="00D12926"/>
    <w:rsid w:val="00D129D9"/>
    <w:rsid w:val="00D12B27"/>
    <w:rsid w:val="00D12BE8"/>
    <w:rsid w:val="00D12C90"/>
    <w:rsid w:val="00D12D4E"/>
    <w:rsid w:val="00D12E09"/>
    <w:rsid w:val="00D12F99"/>
    <w:rsid w:val="00D1329B"/>
    <w:rsid w:val="00D13586"/>
    <w:rsid w:val="00D1367D"/>
    <w:rsid w:val="00D13696"/>
    <w:rsid w:val="00D13866"/>
    <w:rsid w:val="00D13D2D"/>
    <w:rsid w:val="00D13D45"/>
    <w:rsid w:val="00D13EAF"/>
    <w:rsid w:val="00D14081"/>
    <w:rsid w:val="00D141BF"/>
    <w:rsid w:val="00D14533"/>
    <w:rsid w:val="00D14544"/>
    <w:rsid w:val="00D14586"/>
    <w:rsid w:val="00D1464B"/>
    <w:rsid w:val="00D1473C"/>
    <w:rsid w:val="00D14811"/>
    <w:rsid w:val="00D1488A"/>
    <w:rsid w:val="00D1491B"/>
    <w:rsid w:val="00D149DD"/>
    <w:rsid w:val="00D149DF"/>
    <w:rsid w:val="00D14D6C"/>
    <w:rsid w:val="00D14D8A"/>
    <w:rsid w:val="00D14D94"/>
    <w:rsid w:val="00D14E64"/>
    <w:rsid w:val="00D14FB8"/>
    <w:rsid w:val="00D15047"/>
    <w:rsid w:val="00D15454"/>
    <w:rsid w:val="00D1567A"/>
    <w:rsid w:val="00D156D7"/>
    <w:rsid w:val="00D157D9"/>
    <w:rsid w:val="00D159C5"/>
    <w:rsid w:val="00D15A16"/>
    <w:rsid w:val="00D15C2F"/>
    <w:rsid w:val="00D15DCB"/>
    <w:rsid w:val="00D15F01"/>
    <w:rsid w:val="00D15FE8"/>
    <w:rsid w:val="00D15FF0"/>
    <w:rsid w:val="00D16033"/>
    <w:rsid w:val="00D1692A"/>
    <w:rsid w:val="00D16A2E"/>
    <w:rsid w:val="00D16A34"/>
    <w:rsid w:val="00D16CB1"/>
    <w:rsid w:val="00D1738D"/>
    <w:rsid w:val="00D173D3"/>
    <w:rsid w:val="00D174E6"/>
    <w:rsid w:val="00D17753"/>
    <w:rsid w:val="00D177B7"/>
    <w:rsid w:val="00D17813"/>
    <w:rsid w:val="00D178E0"/>
    <w:rsid w:val="00D17B5D"/>
    <w:rsid w:val="00D17CE5"/>
    <w:rsid w:val="00D17DD2"/>
    <w:rsid w:val="00D202D2"/>
    <w:rsid w:val="00D204C1"/>
    <w:rsid w:val="00D205DA"/>
    <w:rsid w:val="00D2068E"/>
    <w:rsid w:val="00D20748"/>
    <w:rsid w:val="00D20792"/>
    <w:rsid w:val="00D208E5"/>
    <w:rsid w:val="00D20975"/>
    <w:rsid w:val="00D20AA8"/>
    <w:rsid w:val="00D20BD4"/>
    <w:rsid w:val="00D20D9B"/>
    <w:rsid w:val="00D20DF7"/>
    <w:rsid w:val="00D20E62"/>
    <w:rsid w:val="00D20EFF"/>
    <w:rsid w:val="00D20F99"/>
    <w:rsid w:val="00D20FB0"/>
    <w:rsid w:val="00D21367"/>
    <w:rsid w:val="00D21641"/>
    <w:rsid w:val="00D2173A"/>
    <w:rsid w:val="00D217C5"/>
    <w:rsid w:val="00D217E9"/>
    <w:rsid w:val="00D2195E"/>
    <w:rsid w:val="00D21C6E"/>
    <w:rsid w:val="00D220D0"/>
    <w:rsid w:val="00D220D8"/>
    <w:rsid w:val="00D22192"/>
    <w:rsid w:val="00D22363"/>
    <w:rsid w:val="00D223AD"/>
    <w:rsid w:val="00D224BC"/>
    <w:rsid w:val="00D226BA"/>
    <w:rsid w:val="00D22702"/>
    <w:rsid w:val="00D22B1B"/>
    <w:rsid w:val="00D22BD6"/>
    <w:rsid w:val="00D22BEF"/>
    <w:rsid w:val="00D22E68"/>
    <w:rsid w:val="00D23032"/>
    <w:rsid w:val="00D2335B"/>
    <w:rsid w:val="00D23380"/>
    <w:rsid w:val="00D23474"/>
    <w:rsid w:val="00D23509"/>
    <w:rsid w:val="00D23576"/>
    <w:rsid w:val="00D23622"/>
    <w:rsid w:val="00D2376A"/>
    <w:rsid w:val="00D23A8B"/>
    <w:rsid w:val="00D23BDD"/>
    <w:rsid w:val="00D23DD0"/>
    <w:rsid w:val="00D23DEF"/>
    <w:rsid w:val="00D23EFA"/>
    <w:rsid w:val="00D23F41"/>
    <w:rsid w:val="00D24099"/>
    <w:rsid w:val="00D240B6"/>
    <w:rsid w:val="00D241D1"/>
    <w:rsid w:val="00D24854"/>
    <w:rsid w:val="00D248F9"/>
    <w:rsid w:val="00D24966"/>
    <w:rsid w:val="00D24971"/>
    <w:rsid w:val="00D24986"/>
    <w:rsid w:val="00D24A91"/>
    <w:rsid w:val="00D24ECF"/>
    <w:rsid w:val="00D24FC8"/>
    <w:rsid w:val="00D25035"/>
    <w:rsid w:val="00D2526F"/>
    <w:rsid w:val="00D2527B"/>
    <w:rsid w:val="00D253AD"/>
    <w:rsid w:val="00D25462"/>
    <w:rsid w:val="00D2548C"/>
    <w:rsid w:val="00D254D7"/>
    <w:rsid w:val="00D255CF"/>
    <w:rsid w:val="00D25677"/>
    <w:rsid w:val="00D2595B"/>
    <w:rsid w:val="00D25975"/>
    <w:rsid w:val="00D25C87"/>
    <w:rsid w:val="00D25D45"/>
    <w:rsid w:val="00D25F8F"/>
    <w:rsid w:val="00D26437"/>
    <w:rsid w:val="00D26522"/>
    <w:rsid w:val="00D26621"/>
    <w:rsid w:val="00D26863"/>
    <w:rsid w:val="00D26912"/>
    <w:rsid w:val="00D2695C"/>
    <w:rsid w:val="00D269E0"/>
    <w:rsid w:val="00D26A0A"/>
    <w:rsid w:val="00D26B7C"/>
    <w:rsid w:val="00D26C9C"/>
    <w:rsid w:val="00D26D64"/>
    <w:rsid w:val="00D26DCF"/>
    <w:rsid w:val="00D26DF6"/>
    <w:rsid w:val="00D26FB2"/>
    <w:rsid w:val="00D27062"/>
    <w:rsid w:val="00D270C0"/>
    <w:rsid w:val="00D273B0"/>
    <w:rsid w:val="00D275FA"/>
    <w:rsid w:val="00D276BF"/>
    <w:rsid w:val="00D27765"/>
    <w:rsid w:val="00D27774"/>
    <w:rsid w:val="00D27E5C"/>
    <w:rsid w:val="00D30201"/>
    <w:rsid w:val="00D30273"/>
    <w:rsid w:val="00D302B0"/>
    <w:rsid w:val="00D3030B"/>
    <w:rsid w:val="00D30325"/>
    <w:rsid w:val="00D304BC"/>
    <w:rsid w:val="00D3064A"/>
    <w:rsid w:val="00D30878"/>
    <w:rsid w:val="00D30902"/>
    <w:rsid w:val="00D30ADB"/>
    <w:rsid w:val="00D30B2D"/>
    <w:rsid w:val="00D30CAF"/>
    <w:rsid w:val="00D30D7B"/>
    <w:rsid w:val="00D31040"/>
    <w:rsid w:val="00D3109D"/>
    <w:rsid w:val="00D3134F"/>
    <w:rsid w:val="00D314AE"/>
    <w:rsid w:val="00D315EE"/>
    <w:rsid w:val="00D316E0"/>
    <w:rsid w:val="00D31B34"/>
    <w:rsid w:val="00D31C34"/>
    <w:rsid w:val="00D31DE7"/>
    <w:rsid w:val="00D31FA4"/>
    <w:rsid w:val="00D320AB"/>
    <w:rsid w:val="00D322FB"/>
    <w:rsid w:val="00D326AA"/>
    <w:rsid w:val="00D3272E"/>
    <w:rsid w:val="00D32C17"/>
    <w:rsid w:val="00D32C6D"/>
    <w:rsid w:val="00D32CC5"/>
    <w:rsid w:val="00D32F69"/>
    <w:rsid w:val="00D32FFE"/>
    <w:rsid w:val="00D330A2"/>
    <w:rsid w:val="00D330E6"/>
    <w:rsid w:val="00D33442"/>
    <w:rsid w:val="00D33560"/>
    <w:rsid w:val="00D33806"/>
    <w:rsid w:val="00D3380B"/>
    <w:rsid w:val="00D33D44"/>
    <w:rsid w:val="00D33DEE"/>
    <w:rsid w:val="00D33E5E"/>
    <w:rsid w:val="00D33E64"/>
    <w:rsid w:val="00D33E94"/>
    <w:rsid w:val="00D34195"/>
    <w:rsid w:val="00D3433F"/>
    <w:rsid w:val="00D343A6"/>
    <w:rsid w:val="00D34480"/>
    <w:rsid w:val="00D3468A"/>
    <w:rsid w:val="00D346DD"/>
    <w:rsid w:val="00D346F6"/>
    <w:rsid w:val="00D347FE"/>
    <w:rsid w:val="00D3484C"/>
    <w:rsid w:val="00D349F9"/>
    <w:rsid w:val="00D34C27"/>
    <w:rsid w:val="00D34C83"/>
    <w:rsid w:val="00D34D1A"/>
    <w:rsid w:val="00D35110"/>
    <w:rsid w:val="00D351B6"/>
    <w:rsid w:val="00D351DD"/>
    <w:rsid w:val="00D35377"/>
    <w:rsid w:val="00D35591"/>
    <w:rsid w:val="00D35677"/>
    <w:rsid w:val="00D357D7"/>
    <w:rsid w:val="00D3585C"/>
    <w:rsid w:val="00D35BCF"/>
    <w:rsid w:val="00D35D78"/>
    <w:rsid w:val="00D35F57"/>
    <w:rsid w:val="00D3600D"/>
    <w:rsid w:val="00D360D2"/>
    <w:rsid w:val="00D36283"/>
    <w:rsid w:val="00D364B9"/>
    <w:rsid w:val="00D364DD"/>
    <w:rsid w:val="00D36A81"/>
    <w:rsid w:val="00D36B7B"/>
    <w:rsid w:val="00D36C2C"/>
    <w:rsid w:val="00D36E02"/>
    <w:rsid w:val="00D3703B"/>
    <w:rsid w:val="00D37065"/>
    <w:rsid w:val="00D37092"/>
    <w:rsid w:val="00D3729F"/>
    <w:rsid w:val="00D3732C"/>
    <w:rsid w:val="00D376A8"/>
    <w:rsid w:val="00D377A2"/>
    <w:rsid w:val="00D37985"/>
    <w:rsid w:val="00D37CC9"/>
    <w:rsid w:val="00D37D99"/>
    <w:rsid w:val="00D4016F"/>
    <w:rsid w:val="00D40293"/>
    <w:rsid w:val="00D40535"/>
    <w:rsid w:val="00D4085F"/>
    <w:rsid w:val="00D40941"/>
    <w:rsid w:val="00D40978"/>
    <w:rsid w:val="00D40BD4"/>
    <w:rsid w:val="00D40DCC"/>
    <w:rsid w:val="00D410F3"/>
    <w:rsid w:val="00D41114"/>
    <w:rsid w:val="00D4116E"/>
    <w:rsid w:val="00D41214"/>
    <w:rsid w:val="00D41544"/>
    <w:rsid w:val="00D415F3"/>
    <w:rsid w:val="00D416A8"/>
    <w:rsid w:val="00D41748"/>
    <w:rsid w:val="00D4186C"/>
    <w:rsid w:val="00D4198D"/>
    <w:rsid w:val="00D41A32"/>
    <w:rsid w:val="00D41B4E"/>
    <w:rsid w:val="00D41B90"/>
    <w:rsid w:val="00D41BCA"/>
    <w:rsid w:val="00D41C8A"/>
    <w:rsid w:val="00D41EF2"/>
    <w:rsid w:val="00D42010"/>
    <w:rsid w:val="00D42577"/>
    <w:rsid w:val="00D425C0"/>
    <w:rsid w:val="00D42664"/>
    <w:rsid w:val="00D42728"/>
    <w:rsid w:val="00D42797"/>
    <w:rsid w:val="00D427AA"/>
    <w:rsid w:val="00D429C9"/>
    <w:rsid w:val="00D42B7E"/>
    <w:rsid w:val="00D42B87"/>
    <w:rsid w:val="00D42CC6"/>
    <w:rsid w:val="00D42D12"/>
    <w:rsid w:val="00D42F0D"/>
    <w:rsid w:val="00D42FA1"/>
    <w:rsid w:val="00D42FE2"/>
    <w:rsid w:val="00D4301C"/>
    <w:rsid w:val="00D43269"/>
    <w:rsid w:val="00D43307"/>
    <w:rsid w:val="00D43428"/>
    <w:rsid w:val="00D434A6"/>
    <w:rsid w:val="00D4354A"/>
    <w:rsid w:val="00D437E6"/>
    <w:rsid w:val="00D439E8"/>
    <w:rsid w:val="00D43DA6"/>
    <w:rsid w:val="00D43ED4"/>
    <w:rsid w:val="00D4423E"/>
    <w:rsid w:val="00D44387"/>
    <w:rsid w:val="00D4445B"/>
    <w:rsid w:val="00D44468"/>
    <w:rsid w:val="00D44799"/>
    <w:rsid w:val="00D44B4F"/>
    <w:rsid w:val="00D44FFA"/>
    <w:rsid w:val="00D45014"/>
    <w:rsid w:val="00D4517A"/>
    <w:rsid w:val="00D452B7"/>
    <w:rsid w:val="00D453AA"/>
    <w:rsid w:val="00D454F1"/>
    <w:rsid w:val="00D457F7"/>
    <w:rsid w:val="00D45896"/>
    <w:rsid w:val="00D458F6"/>
    <w:rsid w:val="00D45A1C"/>
    <w:rsid w:val="00D45ABC"/>
    <w:rsid w:val="00D45B22"/>
    <w:rsid w:val="00D45B91"/>
    <w:rsid w:val="00D45CE5"/>
    <w:rsid w:val="00D46029"/>
    <w:rsid w:val="00D461A1"/>
    <w:rsid w:val="00D46450"/>
    <w:rsid w:val="00D464DD"/>
    <w:rsid w:val="00D46648"/>
    <w:rsid w:val="00D466E4"/>
    <w:rsid w:val="00D467A6"/>
    <w:rsid w:val="00D467C0"/>
    <w:rsid w:val="00D46A0F"/>
    <w:rsid w:val="00D46B45"/>
    <w:rsid w:val="00D46BB7"/>
    <w:rsid w:val="00D47347"/>
    <w:rsid w:val="00D473CD"/>
    <w:rsid w:val="00D4777E"/>
    <w:rsid w:val="00D47801"/>
    <w:rsid w:val="00D47828"/>
    <w:rsid w:val="00D47875"/>
    <w:rsid w:val="00D478EE"/>
    <w:rsid w:val="00D47936"/>
    <w:rsid w:val="00D47A2B"/>
    <w:rsid w:val="00D47AEB"/>
    <w:rsid w:val="00D47DCF"/>
    <w:rsid w:val="00D47F7F"/>
    <w:rsid w:val="00D4E327"/>
    <w:rsid w:val="00D5017C"/>
    <w:rsid w:val="00D50223"/>
    <w:rsid w:val="00D505A0"/>
    <w:rsid w:val="00D50611"/>
    <w:rsid w:val="00D50B51"/>
    <w:rsid w:val="00D50C60"/>
    <w:rsid w:val="00D50D25"/>
    <w:rsid w:val="00D50E9A"/>
    <w:rsid w:val="00D51043"/>
    <w:rsid w:val="00D5131E"/>
    <w:rsid w:val="00D515E7"/>
    <w:rsid w:val="00D51753"/>
    <w:rsid w:val="00D518F1"/>
    <w:rsid w:val="00D519A1"/>
    <w:rsid w:val="00D51B2A"/>
    <w:rsid w:val="00D51C79"/>
    <w:rsid w:val="00D51DD0"/>
    <w:rsid w:val="00D51EFA"/>
    <w:rsid w:val="00D51FBC"/>
    <w:rsid w:val="00D51FE1"/>
    <w:rsid w:val="00D521D0"/>
    <w:rsid w:val="00D52201"/>
    <w:rsid w:val="00D52244"/>
    <w:rsid w:val="00D524AC"/>
    <w:rsid w:val="00D527F6"/>
    <w:rsid w:val="00D5293B"/>
    <w:rsid w:val="00D52AA6"/>
    <w:rsid w:val="00D52B31"/>
    <w:rsid w:val="00D52C6A"/>
    <w:rsid w:val="00D52F4C"/>
    <w:rsid w:val="00D530F0"/>
    <w:rsid w:val="00D53390"/>
    <w:rsid w:val="00D53560"/>
    <w:rsid w:val="00D53731"/>
    <w:rsid w:val="00D53852"/>
    <w:rsid w:val="00D5392F"/>
    <w:rsid w:val="00D539E9"/>
    <w:rsid w:val="00D53B13"/>
    <w:rsid w:val="00D53C27"/>
    <w:rsid w:val="00D53C4D"/>
    <w:rsid w:val="00D53E7B"/>
    <w:rsid w:val="00D53EB0"/>
    <w:rsid w:val="00D53FCF"/>
    <w:rsid w:val="00D544D7"/>
    <w:rsid w:val="00D5476C"/>
    <w:rsid w:val="00D5484F"/>
    <w:rsid w:val="00D54A9B"/>
    <w:rsid w:val="00D54CFC"/>
    <w:rsid w:val="00D54D75"/>
    <w:rsid w:val="00D551AC"/>
    <w:rsid w:val="00D5530C"/>
    <w:rsid w:val="00D55353"/>
    <w:rsid w:val="00D553A8"/>
    <w:rsid w:val="00D554A7"/>
    <w:rsid w:val="00D554C6"/>
    <w:rsid w:val="00D554F2"/>
    <w:rsid w:val="00D556CF"/>
    <w:rsid w:val="00D5597E"/>
    <w:rsid w:val="00D55CAD"/>
    <w:rsid w:val="00D55CB7"/>
    <w:rsid w:val="00D55DCD"/>
    <w:rsid w:val="00D565FC"/>
    <w:rsid w:val="00D56A2E"/>
    <w:rsid w:val="00D56B61"/>
    <w:rsid w:val="00D56F74"/>
    <w:rsid w:val="00D56FC3"/>
    <w:rsid w:val="00D570AC"/>
    <w:rsid w:val="00D5717A"/>
    <w:rsid w:val="00D5734F"/>
    <w:rsid w:val="00D57399"/>
    <w:rsid w:val="00D57470"/>
    <w:rsid w:val="00D57473"/>
    <w:rsid w:val="00D5753A"/>
    <w:rsid w:val="00D57814"/>
    <w:rsid w:val="00D578FE"/>
    <w:rsid w:val="00D579CA"/>
    <w:rsid w:val="00D57B44"/>
    <w:rsid w:val="00D57B50"/>
    <w:rsid w:val="00D57EB4"/>
    <w:rsid w:val="00D57F83"/>
    <w:rsid w:val="00D604AE"/>
    <w:rsid w:val="00D609E1"/>
    <w:rsid w:val="00D60BBB"/>
    <w:rsid w:val="00D60CBF"/>
    <w:rsid w:val="00D610F7"/>
    <w:rsid w:val="00D61543"/>
    <w:rsid w:val="00D6157D"/>
    <w:rsid w:val="00D61662"/>
    <w:rsid w:val="00D617DF"/>
    <w:rsid w:val="00D61DB3"/>
    <w:rsid w:val="00D61F05"/>
    <w:rsid w:val="00D61F60"/>
    <w:rsid w:val="00D62026"/>
    <w:rsid w:val="00D62115"/>
    <w:rsid w:val="00D62404"/>
    <w:rsid w:val="00D6282C"/>
    <w:rsid w:val="00D62A34"/>
    <w:rsid w:val="00D62C95"/>
    <w:rsid w:val="00D62CA6"/>
    <w:rsid w:val="00D62EA4"/>
    <w:rsid w:val="00D631F6"/>
    <w:rsid w:val="00D632A2"/>
    <w:rsid w:val="00D6333D"/>
    <w:rsid w:val="00D637C1"/>
    <w:rsid w:val="00D637ED"/>
    <w:rsid w:val="00D63859"/>
    <w:rsid w:val="00D63885"/>
    <w:rsid w:val="00D639C5"/>
    <w:rsid w:val="00D63A96"/>
    <w:rsid w:val="00D63BD1"/>
    <w:rsid w:val="00D63C4A"/>
    <w:rsid w:val="00D63C67"/>
    <w:rsid w:val="00D63EDE"/>
    <w:rsid w:val="00D63F84"/>
    <w:rsid w:val="00D64122"/>
    <w:rsid w:val="00D641CC"/>
    <w:rsid w:val="00D6428A"/>
    <w:rsid w:val="00D647A2"/>
    <w:rsid w:val="00D64913"/>
    <w:rsid w:val="00D64946"/>
    <w:rsid w:val="00D64A1B"/>
    <w:rsid w:val="00D64C03"/>
    <w:rsid w:val="00D6501E"/>
    <w:rsid w:val="00D65351"/>
    <w:rsid w:val="00D654E8"/>
    <w:rsid w:val="00D6566C"/>
    <w:rsid w:val="00D659FB"/>
    <w:rsid w:val="00D65A93"/>
    <w:rsid w:val="00D65BAF"/>
    <w:rsid w:val="00D65BF1"/>
    <w:rsid w:val="00D65D1B"/>
    <w:rsid w:val="00D65E61"/>
    <w:rsid w:val="00D65F87"/>
    <w:rsid w:val="00D65FAD"/>
    <w:rsid w:val="00D661AF"/>
    <w:rsid w:val="00D663E2"/>
    <w:rsid w:val="00D66407"/>
    <w:rsid w:val="00D665B9"/>
    <w:rsid w:val="00D66731"/>
    <w:rsid w:val="00D667B0"/>
    <w:rsid w:val="00D66F4A"/>
    <w:rsid w:val="00D67282"/>
    <w:rsid w:val="00D6729C"/>
    <w:rsid w:val="00D67402"/>
    <w:rsid w:val="00D67450"/>
    <w:rsid w:val="00D674D1"/>
    <w:rsid w:val="00D67743"/>
    <w:rsid w:val="00D677D1"/>
    <w:rsid w:val="00D67987"/>
    <w:rsid w:val="00D679EA"/>
    <w:rsid w:val="00D67CC5"/>
    <w:rsid w:val="00D67E99"/>
    <w:rsid w:val="00D7024E"/>
    <w:rsid w:val="00D702D7"/>
    <w:rsid w:val="00D70412"/>
    <w:rsid w:val="00D70580"/>
    <w:rsid w:val="00D7058F"/>
    <w:rsid w:val="00D706A1"/>
    <w:rsid w:val="00D706B2"/>
    <w:rsid w:val="00D7082D"/>
    <w:rsid w:val="00D70936"/>
    <w:rsid w:val="00D70B0B"/>
    <w:rsid w:val="00D70BA9"/>
    <w:rsid w:val="00D711D8"/>
    <w:rsid w:val="00D71205"/>
    <w:rsid w:val="00D713BB"/>
    <w:rsid w:val="00D71491"/>
    <w:rsid w:val="00D71558"/>
    <w:rsid w:val="00D715F2"/>
    <w:rsid w:val="00D7160F"/>
    <w:rsid w:val="00D71CFB"/>
    <w:rsid w:val="00D71D1B"/>
    <w:rsid w:val="00D71FA4"/>
    <w:rsid w:val="00D72063"/>
    <w:rsid w:val="00D72093"/>
    <w:rsid w:val="00D720DB"/>
    <w:rsid w:val="00D725A3"/>
    <w:rsid w:val="00D727F5"/>
    <w:rsid w:val="00D728B5"/>
    <w:rsid w:val="00D72935"/>
    <w:rsid w:val="00D729BC"/>
    <w:rsid w:val="00D72C3B"/>
    <w:rsid w:val="00D72E18"/>
    <w:rsid w:val="00D72F70"/>
    <w:rsid w:val="00D72FFB"/>
    <w:rsid w:val="00D731CD"/>
    <w:rsid w:val="00D7323E"/>
    <w:rsid w:val="00D733E7"/>
    <w:rsid w:val="00D734BA"/>
    <w:rsid w:val="00D73504"/>
    <w:rsid w:val="00D7364D"/>
    <w:rsid w:val="00D73AE5"/>
    <w:rsid w:val="00D73B01"/>
    <w:rsid w:val="00D73BBE"/>
    <w:rsid w:val="00D73C01"/>
    <w:rsid w:val="00D73C11"/>
    <w:rsid w:val="00D73C13"/>
    <w:rsid w:val="00D740A2"/>
    <w:rsid w:val="00D740B8"/>
    <w:rsid w:val="00D7415E"/>
    <w:rsid w:val="00D741C5"/>
    <w:rsid w:val="00D745E2"/>
    <w:rsid w:val="00D7468E"/>
    <w:rsid w:val="00D746D1"/>
    <w:rsid w:val="00D7485D"/>
    <w:rsid w:val="00D74BD0"/>
    <w:rsid w:val="00D750E1"/>
    <w:rsid w:val="00D754F4"/>
    <w:rsid w:val="00D7555C"/>
    <w:rsid w:val="00D7555F"/>
    <w:rsid w:val="00D756EB"/>
    <w:rsid w:val="00D75720"/>
    <w:rsid w:val="00D75C4F"/>
    <w:rsid w:val="00D75D62"/>
    <w:rsid w:val="00D75EB0"/>
    <w:rsid w:val="00D75EB1"/>
    <w:rsid w:val="00D76352"/>
    <w:rsid w:val="00D76498"/>
    <w:rsid w:val="00D76790"/>
    <w:rsid w:val="00D767C8"/>
    <w:rsid w:val="00D7697F"/>
    <w:rsid w:val="00D769F6"/>
    <w:rsid w:val="00D76BDA"/>
    <w:rsid w:val="00D76C06"/>
    <w:rsid w:val="00D76C9D"/>
    <w:rsid w:val="00D76CD7"/>
    <w:rsid w:val="00D76F25"/>
    <w:rsid w:val="00D76F92"/>
    <w:rsid w:val="00D77056"/>
    <w:rsid w:val="00D7717F"/>
    <w:rsid w:val="00D772CA"/>
    <w:rsid w:val="00D773FF"/>
    <w:rsid w:val="00D774B0"/>
    <w:rsid w:val="00D77617"/>
    <w:rsid w:val="00D7781B"/>
    <w:rsid w:val="00D77957"/>
    <w:rsid w:val="00D77BAC"/>
    <w:rsid w:val="00D77C1E"/>
    <w:rsid w:val="00D77C36"/>
    <w:rsid w:val="00D77C79"/>
    <w:rsid w:val="00D77EF2"/>
    <w:rsid w:val="00D77FE3"/>
    <w:rsid w:val="00D7BC62"/>
    <w:rsid w:val="00D80415"/>
    <w:rsid w:val="00D80512"/>
    <w:rsid w:val="00D80519"/>
    <w:rsid w:val="00D80674"/>
    <w:rsid w:val="00D8071D"/>
    <w:rsid w:val="00D80756"/>
    <w:rsid w:val="00D80A19"/>
    <w:rsid w:val="00D80F93"/>
    <w:rsid w:val="00D81382"/>
    <w:rsid w:val="00D813D9"/>
    <w:rsid w:val="00D817F6"/>
    <w:rsid w:val="00D81888"/>
    <w:rsid w:val="00D81945"/>
    <w:rsid w:val="00D8196F"/>
    <w:rsid w:val="00D81AAD"/>
    <w:rsid w:val="00D81BEC"/>
    <w:rsid w:val="00D81CF3"/>
    <w:rsid w:val="00D81DC1"/>
    <w:rsid w:val="00D81F0B"/>
    <w:rsid w:val="00D81F99"/>
    <w:rsid w:val="00D8204A"/>
    <w:rsid w:val="00D820F9"/>
    <w:rsid w:val="00D8213D"/>
    <w:rsid w:val="00D82205"/>
    <w:rsid w:val="00D825F2"/>
    <w:rsid w:val="00D82628"/>
    <w:rsid w:val="00D8282C"/>
    <w:rsid w:val="00D829AD"/>
    <w:rsid w:val="00D82A6E"/>
    <w:rsid w:val="00D82BBB"/>
    <w:rsid w:val="00D835EF"/>
    <w:rsid w:val="00D838F0"/>
    <w:rsid w:val="00D83A22"/>
    <w:rsid w:val="00D83C13"/>
    <w:rsid w:val="00D83C89"/>
    <w:rsid w:val="00D83D8C"/>
    <w:rsid w:val="00D83E0E"/>
    <w:rsid w:val="00D83EA7"/>
    <w:rsid w:val="00D84189"/>
    <w:rsid w:val="00D8421A"/>
    <w:rsid w:val="00D84505"/>
    <w:rsid w:val="00D846F1"/>
    <w:rsid w:val="00D848A5"/>
    <w:rsid w:val="00D84A18"/>
    <w:rsid w:val="00D84B26"/>
    <w:rsid w:val="00D84D1F"/>
    <w:rsid w:val="00D84D5D"/>
    <w:rsid w:val="00D850AF"/>
    <w:rsid w:val="00D8525E"/>
    <w:rsid w:val="00D85286"/>
    <w:rsid w:val="00D85341"/>
    <w:rsid w:val="00D8541F"/>
    <w:rsid w:val="00D85496"/>
    <w:rsid w:val="00D85B4A"/>
    <w:rsid w:val="00D85BC2"/>
    <w:rsid w:val="00D85BD7"/>
    <w:rsid w:val="00D8607A"/>
    <w:rsid w:val="00D86156"/>
    <w:rsid w:val="00D861C8"/>
    <w:rsid w:val="00D86418"/>
    <w:rsid w:val="00D86499"/>
    <w:rsid w:val="00D864B2"/>
    <w:rsid w:val="00D86572"/>
    <w:rsid w:val="00D8676A"/>
    <w:rsid w:val="00D8684A"/>
    <w:rsid w:val="00D86976"/>
    <w:rsid w:val="00D869EC"/>
    <w:rsid w:val="00D86C76"/>
    <w:rsid w:val="00D86CDC"/>
    <w:rsid w:val="00D86D24"/>
    <w:rsid w:val="00D87009"/>
    <w:rsid w:val="00D8721E"/>
    <w:rsid w:val="00D87236"/>
    <w:rsid w:val="00D8734C"/>
    <w:rsid w:val="00D87364"/>
    <w:rsid w:val="00D875EC"/>
    <w:rsid w:val="00D8780C"/>
    <w:rsid w:val="00D8799E"/>
    <w:rsid w:val="00D879EA"/>
    <w:rsid w:val="00D87D2A"/>
    <w:rsid w:val="00D900F4"/>
    <w:rsid w:val="00D90132"/>
    <w:rsid w:val="00D901FB"/>
    <w:rsid w:val="00D90393"/>
    <w:rsid w:val="00D90647"/>
    <w:rsid w:val="00D90865"/>
    <w:rsid w:val="00D90FD0"/>
    <w:rsid w:val="00D91347"/>
    <w:rsid w:val="00D913EB"/>
    <w:rsid w:val="00D914AA"/>
    <w:rsid w:val="00D915AB"/>
    <w:rsid w:val="00D916B9"/>
    <w:rsid w:val="00D91B1C"/>
    <w:rsid w:val="00D91BBF"/>
    <w:rsid w:val="00D91CB0"/>
    <w:rsid w:val="00D91DF5"/>
    <w:rsid w:val="00D91EA1"/>
    <w:rsid w:val="00D921B1"/>
    <w:rsid w:val="00D92221"/>
    <w:rsid w:val="00D924EB"/>
    <w:rsid w:val="00D92A85"/>
    <w:rsid w:val="00D92A9A"/>
    <w:rsid w:val="00D92BDE"/>
    <w:rsid w:val="00D92DDF"/>
    <w:rsid w:val="00D92FC3"/>
    <w:rsid w:val="00D92FCB"/>
    <w:rsid w:val="00D930C7"/>
    <w:rsid w:val="00D93420"/>
    <w:rsid w:val="00D934CA"/>
    <w:rsid w:val="00D93529"/>
    <w:rsid w:val="00D9365E"/>
    <w:rsid w:val="00D937A6"/>
    <w:rsid w:val="00D93EBA"/>
    <w:rsid w:val="00D94043"/>
    <w:rsid w:val="00D940CA"/>
    <w:rsid w:val="00D94256"/>
    <w:rsid w:val="00D9435D"/>
    <w:rsid w:val="00D943B3"/>
    <w:rsid w:val="00D943F1"/>
    <w:rsid w:val="00D9441E"/>
    <w:rsid w:val="00D945ED"/>
    <w:rsid w:val="00D947AB"/>
    <w:rsid w:val="00D94820"/>
    <w:rsid w:val="00D948DB"/>
    <w:rsid w:val="00D94E93"/>
    <w:rsid w:val="00D94EC1"/>
    <w:rsid w:val="00D94F47"/>
    <w:rsid w:val="00D94FBF"/>
    <w:rsid w:val="00D95240"/>
    <w:rsid w:val="00D952FF"/>
    <w:rsid w:val="00D95406"/>
    <w:rsid w:val="00D95414"/>
    <w:rsid w:val="00D95795"/>
    <w:rsid w:val="00D957D3"/>
    <w:rsid w:val="00D95824"/>
    <w:rsid w:val="00D95993"/>
    <w:rsid w:val="00D959DC"/>
    <w:rsid w:val="00D95A15"/>
    <w:rsid w:val="00D95BB1"/>
    <w:rsid w:val="00D95D34"/>
    <w:rsid w:val="00D95F89"/>
    <w:rsid w:val="00D960AD"/>
    <w:rsid w:val="00D960CC"/>
    <w:rsid w:val="00D960FD"/>
    <w:rsid w:val="00D964F3"/>
    <w:rsid w:val="00D9663B"/>
    <w:rsid w:val="00D966EC"/>
    <w:rsid w:val="00D966F1"/>
    <w:rsid w:val="00D966FF"/>
    <w:rsid w:val="00D96727"/>
    <w:rsid w:val="00D9673B"/>
    <w:rsid w:val="00D9696C"/>
    <w:rsid w:val="00D96BAD"/>
    <w:rsid w:val="00D96CA1"/>
    <w:rsid w:val="00D96E91"/>
    <w:rsid w:val="00D97146"/>
    <w:rsid w:val="00D97411"/>
    <w:rsid w:val="00D976FE"/>
    <w:rsid w:val="00D97975"/>
    <w:rsid w:val="00D979C4"/>
    <w:rsid w:val="00D979F6"/>
    <w:rsid w:val="00D979FD"/>
    <w:rsid w:val="00D97A9D"/>
    <w:rsid w:val="00D97C2E"/>
    <w:rsid w:val="00DA0049"/>
    <w:rsid w:val="00DA0521"/>
    <w:rsid w:val="00DA07A3"/>
    <w:rsid w:val="00DA0858"/>
    <w:rsid w:val="00DA09EB"/>
    <w:rsid w:val="00DA0D18"/>
    <w:rsid w:val="00DA0E23"/>
    <w:rsid w:val="00DA0F50"/>
    <w:rsid w:val="00DA12D4"/>
    <w:rsid w:val="00DA13C0"/>
    <w:rsid w:val="00DA1661"/>
    <w:rsid w:val="00DA19C3"/>
    <w:rsid w:val="00DA1ED4"/>
    <w:rsid w:val="00DA22A6"/>
    <w:rsid w:val="00DA24B0"/>
    <w:rsid w:val="00DA26A6"/>
    <w:rsid w:val="00DA28DD"/>
    <w:rsid w:val="00DA2B9B"/>
    <w:rsid w:val="00DA2BCC"/>
    <w:rsid w:val="00DA2CDC"/>
    <w:rsid w:val="00DA2EB2"/>
    <w:rsid w:val="00DA2F35"/>
    <w:rsid w:val="00DA30D1"/>
    <w:rsid w:val="00DA3160"/>
    <w:rsid w:val="00DA3649"/>
    <w:rsid w:val="00DA3754"/>
    <w:rsid w:val="00DA383B"/>
    <w:rsid w:val="00DA39FC"/>
    <w:rsid w:val="00DA4084"/>
    <w:rsid w:val="00DA40AC"/>
    <w:rsid w:val="00DA424F"/>
    <w:rsid w:val="00DA4392"/>
    <w:rsid w:val="00DA439E"/>
    <w:rsid w:val="00DA4620"/>
    <w:rsid w:val="00DA4669"/>
    <w:rsid w:val="00DA46C8"/>
    <w:rsid w:val="00DA4C86"/>
    <w:rsid w:val="00DA4E29"/>
    <w:rsid w:val="00DA4EC0"/>
    <w:rsid w:val="00DA4F98"/>
    <w:rsid w:val="00DA53AC"/>
    <w:rsid w:val="00DA53EF"/>
    <w:rsid w:val="00DA551A"/>
    <w:rsid w:val="00DA5606"/>
    <w:rsid w:val="00DA5680"/>
    <w:rsid w:val="00DA579D"/>
    <w:rsid w:val="00DA59DC"/>
    <w:rsid w:val="00DA5B86"/>
    <w:rsid w:val="00DA5BC1"/>
    <w:rsid w:val="00DA5BFB"/>
    <w:rsid w:val="00DA5CD9"/>
    <w:rsid w:val="00DA5E43"/>
    <w:rsid w:val="00DA5F38"/>
    <w:rsid w:val="00DA6A7A"/>
    <w:rsid w:val="00DA6DE6"/>
    <w:rsid w:val="00DA71E1"/>
    <w:rsid w:val="00DA71E4"/>
    <w:rsid w:val="00DA7601"/>
    <w:rsid w:val="00DA76BC"/>
    <w:rsid w:val="00DA78A6"/>
    <w:rsid w:val="00DA78E6"/>
    <w:rsid w:val="00DA799D"/>
    <w:rsid w:val="00DA7A79"/>
    <w:rsid w:val="00DA7B4B"/>
    <w:rsid w:val="00DA7BA0"/>
    <w:rsid w:val="00DA7D54"/>
    <w:rsid w:val="00DA7F27"/>
    <w:rsid w:val="00DAB70C"/>
    <w:rsid w:val="00DB009E"/>
    <w:rsid w:val="00DB0246"/>
    <w:rsid w:val="00DB062F"/>
    <w:rsid w:val="00DB082D"/>
    <w:rsid w:val="00DB0874"/>
    <w:rsid w:val="00DB0910"/>
    <w:rsid w:val="00DB0C14"/>
    <w:rsid w:val="00DB10A2"/>
    <w:rsid w:val="00DB1336"/>
    <w:rsid w:val="00DB144D"/>
    <w:rsid w:val="00DB14E7"/>
    <w:rsid w:val="00DB18A1"/>
    <w:rsid w:val="00DB1961"/>
    <w:rsid w:val="00DB19AA"/>
    <w:rsid w:val="00DB19B7"/>
    <w:rsid w:val="00DB1C54"/>
    <w:rsid w:val="00DB1D92"/>
    <w:rsid w:val="00DB1E14"/>
    <w:rsid w:val="00DB1F15"/>
    <w:rsid w:val="00DB1FA7"/>
    <w:rsid w:val="00DB21CF"/>
    <w:rsid w:val="00DB22B1"/>
    <w:rsid w:val="00DB232F"/>
    <w:rsid w:val="00DB234A"/>
    <w:rsid w:val="00DB23CE"/>
    <w:rsid w:val="00DB2421"/>
    <w:rsid w:val="00DB2473"/>
    <w:rsid w:val="00DB2513"/>
    <w:rsid w:val="00DB2526"/>
    <w:rsid w:val="00DB2638"/>
    <w:rsid w:val="00DB269A"/>
    <w:rsid w:val="00DB2A91"/>
    <w:rsid w:val="00DB2A93"/>
    <w:rsid w:val="00DB2AE6"/>
    <w:rsid w:val="00DB2CD3"/>
    <w:rsid w:val="00DB2D1E"/>
    <w:rsid w:val="00DB31D4"/>
    <w:rsid w:val="00DB3414"/>
    <w:rsid w:val="00DB351C"/>
    <w:rsid w:val="00DB37C0"/>
    <w:rsid w:val="00DB3943"/>
    <w:rsid w:val="00DB3A7C"/>
    <w:rsid w:val="00DB3C46"/>
    <w:rsid w:val="00DB3E57"/>
    <w:rsid w:val="00DB4002"/>
    <w:rsid w:val="00DB4078"/>
    <w:rsid w:val="00DB4229"/>
    <w:rsid w:val="00DB46E5"/>
    <w:rsid w:val="00DB4874"/>
    <w:rsid w:val="00DB48C7"/>
    <w:rsid w:val="00DB493D"/>
    <w:rsid w:val="00DB49D6"/>
    <w:rsid w:val="00DB49D8"/>
    <w:rsid w:val="00DB4EAE"/>
    <w:rsid w:val="00DB509D"/>
    <w:rsid w:val="00DB53DF"/>
    <w:rsid w:val="00DB540D"/>
    <w:rsid w:val="00DB542A"/>
    <w:rsid w:val="00DB54A9"/>
    <w:rsid w:val="00DB56C4"/>
    <w:rsid w:val="00DB58DD"/>
    <w:rsid w:val="00DB58E7"/>
    <w:rsid w:val="00DB5935"/>
    <w:rsid w:val="00DB5B53"/>
    <w:rsid w:val="00DB5B9E"/>
    <w:rsid w:val="00DB5C75"/>
    <w:rsid w:val="00DB5E2D"/>
    <w:rsid w:val="00DB5EED"/>
    <w:rsid w:val="00DB5FFE"/>
    <w:rsid w:val="00DB600E"/>
    <w:rsid w:val="00DB607F"/>
    <w:rsid w:val="00DB60AD"/>
    <w:rsid w:val="00DB6424"/>
    <w:rsid w:val="00DB682A"/>
    <w:rsid w:val="00DB699D"/>
    <w:rsid w:val="00DB69C1"/>
    <w:rsid w:val="00DB6A12"/>
    <w:rsid w:val="00DB6AB1"/>
    <w:rsid w:val="00DB6C31"/>
    <w:rsid w:val="00DB6D45"/>
    <w:rsid w:val="00DB700A"/>
    <w:rsid w:val="00DB7055"/>
    <w:rsid w:val="00DB70DE"/>
    <w:rsid w:val="00DB7321"/>
    <w:rsid w:val="00DB753F"/>
    <w:rsid w:val="00DB7726"/>
    <w:rsid w:val="00DB788E"/>
    <w:rsid w:val="00DB78E0"/>
    <w:rsid w:val="00DB796D"/>
    <w:rsid w:val="00DB7D4A"/>
    <w:rsid w:val="00DB7F1F"/>
    <w:rsid w:val="00DB7F5F"/>
    <w:rsid w:val="00DC0009"/>
    <w:rsid w:val="00DC0411"/>
    <w:rsid w:val="00DC0688"/>
    <w:rsid w:val="00DC06D2"/>
    <w:rsid w:val="00DC08B2"/>
    <w:rsid w:val="00DC08DC"/>
    <w:rsid w:val="00DC0BA5"/>
    <w:rsid w:val="00DC0C36"/>
    <w:rsid w:val="00DC0C3D"/>
    <w:rsid w:val="00DC0CA8"/>
    <w:rsid w:val="00DC0EF5"/>
    <w:rsid w:val="00DC0F3D"/>
    <w:rsid w:val="00DC10DC"/>
    <w:rsid w:val="00DC1138"/>
    <w:rsid w:val="00DC11A7"/>
    <w:rsid w:val="00DC1286"/>
    <w:rsid w:val="00DC12FE"/>
    <w:rsid w:val="00DC137A"/>
    <w:rsid w:val="00DC13AC"/>
    <w:rsid w:val="00DC1582"/>
    <w:rsid w:val="00DC15D0"/>
    <w:rsid w:val="00DC19B2"/>
    <w:rsid w:val="00DC1AC5"/>
    <w:rsid w:val="00DC1C4B"/>
    <w:rsid w:val="00DC1E9E"/>
    <w:rsid w:val="00DC1F1A"/>
    <w:rsid w:val="00DC20CA"/>
    <w:rsid w:val="00DC2231"/>
    <w:rsid w:val="00DC246A"/>
    <w:rsid w:val="00DC26E2"/>
    <w:rsid w:val="00DC29C0"/>
    <w:rsid w:val="00DC2A73"/>
    <w:rsid w:val="00DC2A8F"/>
    <w:rsid w:val="00DC2BDB"/>
    <w:rsid w:val="00DC2DB2"/>
    <w:rsid w:val="00DC2DF7"/>
    <w:rsid w:val="00DC3083"/>
    <w:rsid w:val="00DC3153"/>
    <w:rsid w:val="00DC328E"/>
    <w:rsid w:val="00DC32EC"/>
    <w:rsid w:val="00DC33D3"/>
    <w:rsid w:val="00DC3491"/>
    <w:rsid w:val="00DC35BA"/>
    <w:rsid w:val="00DC3841"/>
    <w:rsid w:val="00DC396C"/>
    <w:rsid w:val="00DC3990"/>
    <w:rsid w:val="00DC39D7"/>
    <w:rsid w:val="00DC3FCF"/>
    <w:rsid w:val="00DC41AF"/>
    <w:rsid w:val="00DC42DE"/>
    <w:rsid w:val="00DC445B"/>
    <w:rsid w:val="00DC460A"/>
    <w:rsid w:val="00DC4658"/>
    <w:rsid w:val="00DC4671"/>
    <w:rsid w:val="00DC4D18"/>
    <w:rsid w:val="00DC515E"/>
    <w:rsid w:val="00DC5273"/>
    <w:rsid w:val="00DC5345"/>
    <w:rsid w:val="00DC53D6"/>
    <w:rsid w:val="00DC56CE"/>
    <w:rsid w:val="00DC5786"/>
    <w:rsid w:val="00DC57C6"/>
    <w:rsid w:val="00DC58C9"/>
    <w:rsid w:val="00DC5D43"/>
    <w:rsid w:val="00DC600A"/>
    <w:rsid w:val="00DC60C2"/>
    <w:rsid w:val="00DC6119"/>
    <w:rsid w:val="00DC62B6"/>
    <w:rsid w:val="00DC6466"/>
    <w:rsid w:val="00DC65AC"/>
    <w:rsid w:val="00DC65AE"/>
    <w:rsid w:val="00DC66EC"/>
    <w:rsid w:val="00DC6819"/>
    <w:rsid w:val="00DC69B0"/>
    <w:rsid w:val="00DC6A8D"/>
    <w:rsid w:val="00DC6BA8"/>
    <w:rsid w:val="00DC6D13"/>
    <w:rsid w:val="00DC705B"/>
    <w:rsid w:val="00DC7387"/>
    <w:rsid w:val="00DC7418"/>
    <w:rsid w:val="00DC74B1"/>
    <w:rsid w:val="00DC7510"/>
    <w:rsid w:val="00DC7809"/>
    <w:rsid w:val="00DC7953"/>
    <w:rsid w:val="00DC79CB"/>
    <w:rsid w:val="00DC7C00"/>
    <w:rsid w:val="00DC7C16"/>
    <w:rsid w:val="00DC7CB5"/>
    <w:rsid w:val="00DC7D19"/>
    <w:rsid w:val="00DC7D6D"/>
    <w:rsid w:val="00DC7DEB"/>
    <w:rsid w:val="00DC7E37"/>
    <w:rsid w:val="00DD00B3"/>
    <w:rsid w:val="00DD015B"/>
    <w:rsid w:val="00DD01BD"/>
    <w:rsid w:val="00DD0456"/>
    <w:rsid w:val="00DD0562"/>
    <w:rsid w:val="00DD060A"/>
    <w:rsid w:val="00DD060C"/>
    <w:rsid w:val="00DD07C2"/>
    <w:rsid w:val="00DD08C6"/>
    <w:rsid w:val="00DD098B"/>
    <w:rsid w:val="00DD0A78"/>
    <w:rsid w:val="00DD0F96"/>
    <w:rsid w:val="00DD0FE7"/>
    <w:rsid w:val="00DD101C"/>
    <w:rsid w:val="00DD10B9"/>
    <w:rsid w:val="00DD1247"/>
    <w:rsid w:val="00DD14DF"/>
    <w:rsid w:val="00DD17A3"/>
    <w:rsid w:val="00DD1F82"/>
    <w:rsid w:val="00DD2149"/>
    <w:rsid w:val="00DD233A"/>
    <w:rsid w:val="00DD241B"/>
    <w:rsid w:val="00DD24AC"/>
    <w:rsid w:val="00DD250B"/>
    <w:rsid w:val="00DD26C3"/>
    <w:rsid w:val="00DD279E"/>
    <w:rsid w:val="00DD282E"/>
    <w:rsid w:val="00DD2862"/>
    <w:rsid w:val="00DD2B3A"/>
    <w:rsid w:val="00DD2BCD"/>
    <w:rsid w:val="00DD2CC4"/>
    <w:rsid w:val="00DD2DBA"/>
    <w:rsid w:val="00DD3015"/>
    <w:rsid w:val="00DD314F"/>
    <w:rsid w:val="00DD3165"/>
    <w:rsid w:val="00DD3215"/>
    <w:rsid w:val="00DD326C"/>
    <w:rsid w:val="00DD3426"/>
    <w:rsid w:val="00DD3761"/>
    <w:rsid w:val="00DD3784"/>
    <w:rsid w:val="00DD37BD"/>
    <w:rsid w:val="00DD3F0E"/>
    <w:rsid w:val="00DD40FB"/>
    <w:rsid w:val="00DD416A"/>
    <w:rsid w:val="00DD424A"/>
    <w:rsid w:val="00DD43F1"/>
    <w:rsid w:val="00DD44CF"/>
    <w:rsid w:val="00DD4658"/>
    <w:rsid w:val="00DD46CA"/>
    <w:rsid w:val="00DD49BB"/>
    <w:rsid w:val="00DD4B93"/>
    <w:rsid w:val="00DD4D86"/>
    <w:rsid w:val="00DD4E45"/>
    <w:rsid w:val="00DD4E7F"/>
    <w:rsid w:val="00DD4F6A"/>
    <w:rsid w:val="00DD5123"/>
    <w:rsid w:val="00DD52E1"/>
    <w:rsid w:val="00DD54B8"/>
    <w:rsid w:val="00DD5607"/>
    <w:rsid w:val="00DD5660"/>
    <w:rsid w:val="00DD58FB"/>
    <w:rsid w:val="00DD5932"/>
    <w:rsid w:val="00DD5A61"/>
    <w:rsid w:val="00DD5AFC"/>
    <w:rsid w:val="00DD5B37"/>
    <w:rsid w:val="00DD5BF5"/>
    <w:rsid w:val="00DD5C38"/>
    <w:rsid w:val="00DD5C3B"/>
    <w:rsid w:val="00DD5D7E"/>
    <w:rsid w:val="00DD61E4"/>
    <w:rsid w:val="00DD61E7"/>
    <w:rsid w:val="00DD6218"/>
    <w:rsid w:val="00DD6866"/>
    <w:rsid w:val="00DD69DD"/>
    <w:rsid w:val="00DD6D31"/>
    <w:rsid w:val="00DD71EE"/>
    <w:rsid w:val="00DD7519"/>
    <w:rsid w:val="00DD7A68"/>
    <w:rsid w:val="00DD7AC7"/>
    <w:rsid w:val="00DD7B4B"/>
    <w:rsid w:val="00DD7DC5"/>
    <w:rsid w:val="00DD7E0C"/>
    <w:rsid w:val="00DD7EF5"/>
    <w:rsid w:val="00DE0008"/>
    <w:rsid w:val="00DE0425"/>
    <w:rsid w:val="00DE0968"/>
    <w:rsid w:val="00DE0C58"/>
    <w:rsid w:val="00DE0E0A"/>
    <w:rsid w:val="00DE0E46"/>
    <w:rsid w:val="00DE11CC"/>
    <w:rsid w:val="00DE11D8"/>
    <w:rsid w:val="00DE151F"/>
    <w:rsid w:val="00DE1526"/>
    <w:rsid w:val="00DE17BE"/>
    <w:rsid w:val="00DE19D7"/>
    <w:rsid w:val="00DE1BB9"/>
    <w:rsid w:val="00DE1C87"/>
    <w:rsid w:val="00DE1F2E"/>
    <w:rsid w:val="00DE2010"/>
    <w:rsid w:val="00DE2221"/>
    <w:rsid w:val="00DE26DA"/>
    <w:rsid w:val="00DE27D7"/>
    <w:rsid w:val="00DE28C0"/>
    <w:rsid w:val="00DE2970"/>
    <w:rsid w:val="00DE2D76"/>
    <w:rsid w:val="00DE2F31"/>
    <w:rsid w:val="00DE30B3"/>
    <w:rsid w:val="00DE314A"/>
    <w:rsid w:val="00DE335F"/>
    <w:rsid w:val="00DE3528"/>
    <w:rsid w:val="00DE39DC"/>
    <w:rsid w:val="00DE3A06"/>
    <w:rsid w:val="00DE3C9F"/>
    <w:rsid w:val="00DE3CB0"/>
    <w:rsid w:val="00DE3EE6"/>
    <w:rsid w:val="00DE42D6"/>
    <w:rsid w:val="00DE42E9"/>
    <w:rsid w:val="00DE4405"/>
    <w:rsid w:val="00DE4423"/>
    <w:rsid w:val="00DE451D"/>
    <w:rsid w:val="00DE4540"/>
    <w:rsid w:val="00DE4622"/>
    <w:rsid w:val="00DE49DB"/>
    <w:rsid w:val="00DE4C4E"/>
    <w:rsid w:val="00DE4DC8"/>
    <w:rsid w:val="00DE4E64"/>
    <w:rsid w:val="00DE4EF4"/>
    <w:rsid w:val="00DE4F27"/>
    <w:rsid w:val="00DE530C"/>
    <w:rsid w:val="00DE535E"/>
    <w:rsid w:val="00DE5378"/>
    <w:rsid w:val="00DE56E8"/>
    <w:rsid w:val="00DE5809"/>
    <w:rsid w:val="00DE58BD"/>
    <w:rsid w:val="00DE5BF9"/>
    <w:rsid w:val="00DE5D02"/>
    <w:rsid w:val="00DE5E64"/>
    <w:rsid w:val="00DE5E6A"/>
    <w:rsid w:val="00DE5FA7"/>
    <w:rsid w:val="00DE6015"/>
    <w:rsid w:val="00DE60BA"/>
    <w:rsid w:val="00DE63B9"/>
    <w:rsid w:val="00DE644A"/>
    <w:rsid w:val="00DE64CF"/>
    <w:rsid w:val="00DE669D"/>
    <w:rsid w:val="00DE6767"/>
    <w:rsid w:val="00DE67CE"/>
    <w:rsid w:val="00DE67F0"/>
    <w:rsid w:val="00DE67F7"/>
    <w:rsid w:val="00DE6849"/>
    <w:rsid w:val="00DE6950"/>
    <w:rsid w:val="00DE6A41"/>
    <w:rsid w:val="00DE6ACC"/>
    <w:rsid w:val="00DE6B79"/>
    <w:rsid w:val="00DE6BDC"/>
    <w:rsid w:val="00DE6D55"/>
    <w:rsid w:val="00DE6FAD"/>
    <w:rsid w:val="00DE7451"/>
    <w:rsid w:val="00DE7675"/>
    <w:rsid w:val="00DE7792"/>
    <w:rsid w:val="00DE789F"/>
    <w:rsid w:val="00DE7A7D"/>
    <w:rsid w:val="00DE7B7B"/>
    <w:rsid w:val="00DE7D40"/>
    <w:rsid w:val="00DE7EE8"/>
    <w:rsid w:val="00DE7EFF"/>
    <w:rsid w:val="00DF005B"/>
    <w:rsid w:val="00DF0201"/>
    <w:rsid w:val="00DF02F4"/>
    <w:rsid w:val="00DF03B1"/>
    <w:rsid w:val="00DF04A0"/>
    <w:rsid w:val="00DF0C3C"/>
    <w:rsid w:val="00DF0C76"/>
    <w:rsid w:val="00DF0DE2"/>
    <w:rsid w:val="00DF0F5C"/>
    <w:rsid w:val="00DF114D"/>
    <w:rsid w:val="00DF1552"/>
    <w:rsid w:val="00DF17F4"/>
    <w:rsid w:val="00DF18EF"/>
    <w:rsid w:val="00DF1938"/>
    <w:rsid w:val="00DF1B87"/>
    <w:rsid w:val="00DF1B90"/>
    <w:rsid w:val="00DF1DC9"/>
    <w:rsid w:val="00DF2011"/>
    <w:rsid w:val="00DF2025"/>
    <w:rsid w:val="00DF209E"/>
    <w:rsid w:val="00DF218D"/>
    <w:rsid w:val="00DF21B2"/>
    <w:rsid w:val="00DF21EF"/>
    <w:rsid w:val="00DF23B2"/>
    <w:rsid w:val="00DF2542"/>
    <w:rsid w:val="00DF256B"/>
    <w:rsid w:val="00DF2605"/>
    <w:rsid w:val="00DF2898"/>
    <w:rsid w:val="00DF2946"/>
    <w:rsid w:val="00DF2972"/>
    <w:rsid w:val="00DF2B16"/>
    <w:rsid w:val="00DF2C6D"/>
    <w:rsid w:val="00DF2D0F"/>
    <w:rsid w:val="00DF3323"/>
    <w:rsid w:val="00DF3413"/>
    <w:rsid w:val="00DF3627"/>
    <w:rsid w:val="00DF3695"/>
    <w:rsid w:val="00DF386A"/>
    <w:rsid w:val="00DF38A8"/>
    <w:rsid w:val="00DF3960"/>
    <w:rsid w:val="00DF3985"/>
    <w:rsid w:val="00DF3BAF"/>
    <w:rsid w:val="00DF3D62"/>
    <w:rsid w:val="00DF471F"/>
    <w:rsid w:val="00DF48FA"/>
    <w:rsid w:val="00DF48FB"/>
    <w:rsid w:val="00DF49FB"/>
    <w:rsid w:val="00DF4A32"/>
    <w:rsid w:val="00DF4A99"/>
    <w:rsid w:val="00DF528D"/>
    <w:rsid w:val="00DF5330"/>
    <w:rsid w:val="00DF557B"/>
    <w:rsid w:val="00DF565F"/>
    <w:rsid w:val="00DF56AD"/>
    <w:rsid w:val="00DF580D"/>
    <w:rsid w:val="00DF58C8"/>
    <w:rsid w:val="00DF5ADC"/>
    <w:rsid w:val="00DF5B4B"/>
    <w:rsid w:val="00DF5CE9"/>
    <w:rsid w:val="00DF5EC6"/>
    <w:rsid w:val="00DF5EE0"/>
    <w:rsid w:val="00DF6223"/>
    <w:rsid w:val="00DF62FA"/>
    <w:rsid w:val="00DF6498"/>
    <w:rsid w:val="00DF6604"/>
    <w:rsid w:val="00DF676F"/>
    <w:rsid w:val="00DF68F2"/>
    <w:rsid w:val="00DF696E"/>
    <w:rsid w:val="00DF6A60"/>
    <w:rsid w:val="00DF6A85"/>
    <w:rsid w:val="00DF6A86"/>
    <w:rsid w:val="00DF6B28"/>
    <w:rsid w:val="00DF6B8B"/>
    <w:rsid w:val="00DF6BCE"/>
    <w:rsid w:val="00DF6F4D"/>
    <w:rsid w:val="00DF72B8"/>
    <w:rsid w:val="00DF731A"/>
    <w:rsid w:val="00DF736B"/>
    <w:rsid w:val="00DF7444"/>
    <w:rsid w:val="00DF74BC"/>
    <w:rsid w:val="00DF7570"/>
    <w:rsid w:val="00DF75BB"/>
    <w:rsid w:val="00DF767C"/>
    <w:rsid w:val="00DF775F"/>
    <w:rsid w:val="00DF77C9"/>
    <w:rsid w:val="00DF7828"/>
    <w:rsid w:val="00DF7901"/>
    <w:rsid w:val="00DF7993"/>
    <w:rsid w:val="00DF7D2C"/>
    <w:rsid w:val="00E00007"/>
    <w:rsid w:val="00E000D2"/>
    <w:rsid w:val="00E0014D"/>
    <w:rsid w:val="00E0023A"/>
    <w:rsid w:val="00E0034D"/>
    <w:rsid w:val="00E00882"/>
    <w:rsid w:val="00E009BD"/>
    <w:rsid w:val="00E00AE5"/>
    <w:rsid w:val="00E00BF6"/>
    <w:rsid w:val="00E00BFC"/>
    <w:rsid w:val="00E00C3F"/>
    <w:rsid w:val="00E00D38"/>
    <w:rsid w:val="00E00ED8"/>
    <w:rsid w:val="00E00F8F"/>
    <w:rsid w:val="00E0124C"/>
    <w:rsid w:val="00E01276"/>
    <w:rsid w:val="00E01742"/>
    <w:rsid w:val="00E01AA8"/>
    <w:rsid w:val="00E01BA2"/>
    <w:rsid w:val="00E01BDC"/>
    <w:rsid w:val="00E01C16"/>
    <w:rsid w:val="00E01D32"/>
    <w:rsid w:val="00E02130"/>
    <w:rsid w:val="00E02182"/>
    <w:rsid w:val="00E024A3"/>
    <w:rsid w:val="00E02853"/>
    <w:rsid w:val="00E029DB"/>
    <w:rsid w:val="00E02CD3"/>
    <w:rsid w:val="00E02D85"/>
    <w:rsid w:val="00E02EC0"/>
    <w:rsid w:val="00E02F20"/>
    <w:rsid w:val="00E02F44"/>
    <w:rsid w:val="00E03476"/>
    <w:rsid w:val="00E034B4"/>
    <w:rsid w:val="00E034FC"/>
    <w:rsid w:val="00E0352A"/>
    <w:rsid w:val="00E03615"/>
    <w:rsid w:val="00E03771"/>
    <w:rsid w:val="00E038B2"/>
    <w:rsid w:val="00E03EE2"/>
    <w:rsid w:val="00E04052"/>
    <w:rsid w:val="00E0421D"/>
    <w:rsid w:val="00E04271"/>
    <w:rsid w:val="00E04316"/>
    <w:rsid w:val="00E0442D"/>
    <w:rsid w:val="00E04503"/>
    <w:rsid w:val="00E046C9"/>
    <w:rsid w:val="00E048D2"/>
    <w:rsid w:val="00E048E8"/>
    <w:rsid w:val="00E0490F"/>
    <w:rsid w:val="00E049E1"/>
    <w:rsid w:val="00E04AB1"/>
    <w:rsid w:val="00E04BCD"/>
    <w:rsid w:val="00E04C0C"/>
    <w:rsid w:val="00E04C31"/>
    <w:rsid w:val="00E04F27"/>
    <w:rsid w:val="00E0556B"/>
    <w:rsid w:val="00E055A3"/>
    <w:rsid w:val="00E05652"/>
    <w:rsid w:val="00E0585A"/>
    <w:rsid w:val="00E059DE"/>
    <w:rsid w:val="00E05C9C"/>
    <w:rsid w:val="00E05D12"/>
    <w:rsid w:val="00E05D3C"/>
    <w:rsid w:val="00E05DD7"/>
    <w:rsid w:val="00E05F53"/>
    <w:rsid w:val="00E0607D"/>
    <w:rsid w:val="00E062BF"/>
    <w:rsid w:val="00E0630E"/>
    <w:rsid w:val="00E06437"/>
    <w:rsid w:val="00E066AC"/>
    <w:rsid w:val="00E06730"/>
    <w:rsid w:val="00E067AC"/>
    <w:rsid w:val="00E068BD"/>
    <w:rsid w:val="00E068CF"/>
    <w:rsid w:val="00E068E3"/>
    <w:rsid w:val="00E06AB9"/>
    <w:rsid w:val="00E06BC9"/>
    <w:rsid w:val="00E06D6B"/>
    <w:rsid w:val="00E071DB"/>
    <w:rsid w:val="00E073E2"/>
    <w:rsid w:val="00E07499"/>
    <w:rsid w:val="00E07578"/>
    <w:rsid w:val="00E07811"/>
    <w:rsid w:val="00E07D28"/>
    <w:rsid w:val="00E07D5B"/>
    <w:rsid w:val="00E07EAC"/>
    <w:rsid w:val="00E07F69"/>
    <w:rsid w:val="00E100E3"/>
    <w:rsid w:val="00E107B0"/>
    <w:rsid w:val="00E1085B"/>
    <w:rsid w:val="00E108E0"/>
    <w:rsid w:val="00E10B69"/>
    <w:rsid w:val="00E10DD4"/>
    <w:rsid w:val="00E111CA"/>
    <w:rsid w:val="00E111EC"/>
    <w:rsid w:val="00E112B8"/>
    <w:rsid w:val="00E114E7"/>
    <w:rsid w:val="00E11588"/>
    <w:rsid w:val="00E11598"/>
    <w:rsid w:val="00E11710"/>
    <w:rsid w:val="00E1172D"/>
    <w:rsid w:val="00E11825"/>
    <w:rsid w:val="00E1182B"/>
    <w:rsid w:val="00E11875"/>
    <w:rsid w:val="00E118DE"/>
    <w:rsid w:val="00E1198E"/>
    <w:rsid w:val="00E119A3"/>
    <w:rsid w:val="00E119E8"/>
    <w:rsid w:val="00E11A13"/>
    <w:rsid w:val="00E11A65"/>
    <w:rsid w:val="00E11ABC"/>
    <w:rsid w:val="00E12003"/>
    <w:rsid w:val="00E123DC"/>
    <w:rsid w:val="00E12452"/>
    <w:rsid w:val="00E124EA"/>
    <w:rsid w:val="00E1253A"/>
    <w:rsid w:val="00E1262A"/>
    <w:rsid w:val="00E12BF6"/>
    <w:rsid w:val="00E12C4C"/>
    <w:rsid w:val="00E12CC2"/>
    <w:rsid w:val="00E12D4A"/>
    <w:rsid w:val="00E12E0D"/>
    <w:rsid w:val="00E12E98"/>
    <w:rsid w:val="00E12F1F"/>
    <w:rsid w:val="00E13586"/>
    <w:rsid w:val="00E13681"/>
    <w:rsid w:val="00E13A59"/>
    <w:rsid w:val="00E13AFF"/>
    <w:rsid w:val="00E13BD7"/>
    <w:rsid w:val="00E13C8D"/>
    <w:rsid w:val="00E13CB3"/>
    <w:rsid w:val="00E13E62"/>
    <w:rsid w:val="00E13F16"/>
    <w:rsid w:val="00E13FC0"/>
    <w:rsid w:val="00E141F0"/>
    <w:rsid w:val="00E14218"/>
    <w:rsid w:val="00E143A6"/>
    <w:rsid w:val="00E144D2"/>
    <w:rsid w:val="00E14906"/>
    <w:rsid w:val="00E14912"/>
    <w:rsid w:val="00E14D16"/>
    <w:rsid w:val="00E14FAB"/>
    <w:rsid w:val="00E1526C"/>
    <w:rsid w:val="00E1556D"/>
    <w:rsid w:val="00E155B8"/>
    <w:rsid w:val="00E1589F"/>
    <w:rsid w:val="00E15D94"/>
    <w:rsid w:val="00E15E33"/>
    <w:rsid w:val="00E1603C"/>
    <w:rsid w:val="00E1604A"/>
    <w:rsid w:val="00E164DC"/>
    <w:rsid w:val="00E16A10"/>
    <w:rsid w:val="00E16A63"/>
    <w:rsid w:val="00E16E11"/>
    <w:rsid w:val="00E17106"/>
    <w:rsid w:val="00E171EA"/>
    <w:rsid w:val="00E17361"/>
    <w:rsid w:val="00E173B7"/>
    <w:rsid w:val="00E17870"/>
    <w:rsid w:val="00E179BF"/>
    <w:rsid w:val="00E17A07"/>
    <w:rsid w:val="00E17A48"/>
    <w:rsid w:val="00E17AEE"/>
    <w:rsid w:val="00E17AF2"/>
    <w:rsid w:val="00E17C51"/>
    <w:rsid w:val="00E2032B"/>
    <w:rsid w:val="00E203AF"/>
    <w:rsid w:val="00E208CC"/>
    <w:rsid w:val="00E20C65"/>
    <w:rsid w:val="00E20E9F"/>
    <w:rsid w:val="00E213BC"/>
    <w:rsid w:val="00E213E8"/>
    <w:rsid w:val="00E21413"/>
    <w:rsid w:val="00E2186B"/>
    <w:rsid w:val="00E2187A"/>
    <w:rsid w:val="00E2189F"/>
    <w:rsid w:val="00E218AC"/>
    <w:rsid w:val="00E219AD"/>
    <w:rsid w:val="00E21AA8"/>
    <w:rsid w:val="00E21BB7"/>
    <w:rsid w:val="00E21CAA"/>
    <w:rsid w:val="00E21D6E"/>
    <w:rsid w:val="00E21D77"/>
    <w:rsid w:val="00E21E68"/>
    <w:rsid w:val="00E21EA9"/>
    <w:rsid w:val="00E21EF6"/>
    <w:rsid w:val="00E21EF8"/>
    <w:rsid w:val="00E2240E"/>
    <w:rsid w:val="00E2260B"/>
    <w:rsid w:val="00E22767"/>
    <w:rsid w:val="00E22865"/>
    <w:rsid w:val="00E22875"/>
    <w:rsid w:val="00E22960"/>
    <w:rsid w:val="00E22A6F"/>
    <w:rsid w:val="00E22ABA"/>
    <w:rsid w:val="00E22AC5"/>
    <w:rsid w:val="00E22BBC"/>
    <w:rsid w:val="00E22CB9"/>
    <w:rsid w:val="00E22DFD"/>
    <w:rsid w:val="00E22FD2"/>
    <w:rsid w:val="00E230AC"/>
    <w:rsid w:val="00E234A3"/>
    <w:rsid w:val="00E23588"/>
    <w:rsid w:val="00E236F5"/>
    <w:rsid w:val="00E23700"/>
    <w:rsid w:val="00E2373D"/>
    <w:rsid w:val="00E237D2"/>
    <w:rsid w:val="00E23B9E"/>
    <w:rsid w:val="00E23CEE"/>
    <w:rsid w:val="00E23D04"/>
    <w:rsid w:val="00E23E78"/>
    <w:rsid w:val="00E23E83"/>
    <w:rsid w:val="00E240C4"/>
    <w:rsid w:val="00E240C5"/>
    <w:rsid w:val="00E2413D"/>
    <w:rsid w:val="00E242A9"/>
    <w:rsid w:val="00E242C8"/>
    <w:rsid w:val="00E2430B"/>
    <w:rsid w:val="00E249A0"/>
    <w:rsid w:val="00E249D9"/>
    <w:rsid w:val="00E24B10"/>
    <w:rsid w:val="00E24C96"/>
    <w:rsid w:val="00E24E7A"/>
    <w:rsid w:val="00E24F37"/>
    <w:rsid w:val="00E24FAC"/>
    <w:rsid w:val="00E25463"/>
    <w:rsid w:val="00E2548C"/>
    <w:rsid w:val="00E25495"/>
    <w:rsid w:val="00E2557F"/>
    <w:rsid w:val="00E255B4"/>
    <w:rsid w:val="00E2584A"/>
    <w:rsid w:val="00E2593D"/>
    <w:rsid w:val="00E25940"/>
    <w:rsid w:val="00E259E2"/>
    <w:rsid w:val="00E25AE9"/>
    <w:rsid w:val="00E25C07"/>
    <w:rsid w:val="00E25E21"/>
    <w:rsid w:val="00E26110"/>
    <w:rsid w:val="00E26194"/>
    <w:rsid w:val="00E261AC"/>
    <w:rsid w:val="00E263E8"/>
    <w:rsid w:val="00E264F9"/>
    <w:rsid w:val="00E2661E"/>
    <w:rsid w:val="00E26A54"/>
    <w:rsid w:val="00E26C4B"/>
    <w:rsid w:val="00E26FDB"/>
    <w:rsid w:val="00E27048"/>
    <w:rsid w:val="00E27114"/>
    <w:rsid w:val="00E2726C"/>
    <w:rsid w:val="00E274C6"/>
    <w:rsid w:val="00E275F1"/>
    <w:rsid w:val="00E27701"/>
    <w:rsid w:val="00E27928"/>
    <w:rsid w:val="00E27BC0"/>
    <w:rsid w:val="00E27BEB"/>
    <w:rsid w:val="00E27DAC"/>
    <w:rsid w:val="00E27DC8"/>
    <w:rsid w:val="00E27DF6"/>
    <w:rsid w:val="00E30063"/>
    <w:rsid w:val="00E301EC"/>
    <w:rsid w:val="00E30337"/>
    <w:rsid w:val="00E305D3"/>
    <w:rsid w:val="00E3060D"/>
    <w:rsid w:val="00E30637"/>
    <w:rsid w:val="00E307EC"/>
    <w:rsid w:val="00E30889"/>
    <w:rsid w:val="00E308C3"/>
    <w:rsid w:val="00E30AB5"/>
    <w:rsid w:val="00E30B80"/>
    <w:rsid w:val="00E30BA5"/>
    <w:rsid w:val="00E30BAC"/>
    <w:rsid w:val="00E30BEB"/>
    <w:rsid w:val="00E30E13"/>
    <w:rsid w:val="00E31042"/>
    <w:rsid w:val="00E310D5"/>
    <w:rsid w:val="00E3133F"/>
    <w:rsid w:val="00E3138E"/>
    <w:rsid w:val="00E31407"/>
    <w:rsid w:val="00E31881"/>
    <w:rsid w:val="00E319F3"/>
    <w:rsid w:val="00E31A1D"/>
    <w:rsid w:val="00E31BFB"/>
    <w:rsid w:val="00E31E1F"/>
    <w:rsid w:val="00E31FB3"/>
    <w:rsid w:val="00E320D9"/>
    <w:rsid w:val="00E32178"/>
    <w:rsid w:val="00E3241F"/>
    <w:rsid w:val="00E326B7"/>
    <w:rsid w:val="00E32907"/>
    <w:rsid w:val="00E329DC"/>
    <w:rsid w:val="00E32E02"/>
    <w:rsid w:val="00E32EA5"/>
    <w:rsid w:val="00E331A9"/>
    <w:rsid w:val="00E33303"/>
    <w:rsid w:val="00E3339A"/>
    <w:rsid w:val="00E33586"/>
    <w:rsid w:val="00E337F9"/>
    <w:rsid w:val="00E33828"/>
    <w:rsid w:val="00E33849"/>
    <w:rsid w:val="00E33940"/>
    <w:rsid w:val="00E3396C"/>
    <w:rsid w:val="00E33A16"/>
    <w:rsid w:val="00E33A37"/>
    <w:rsid w:val="00E33B84"/>
    <w:rsid w:val="00E33C2E"/>
    <w:rsid w:val="00E33C5C"/>
    <w:rsid w:val="00E33EDF"/>
    <w:rsid w:val="00E33F05"/>
    <w:rsid w:val="00E34103"/>
    <w:rsid w:val="00E34335"/>
    <w:rsid w:val="00E34486"/>
    <w:rsid w:val="00E344BF"/>
    <w:rsid w:val="00E346C9"/>
    <w:rsid w:val="00E346CA"/>
    <w:rsid w:val="00E3491B"/>
    <w:rsid w:val="00E34A28"/>
    <w:rsid w:val="00E34AA7"/>
    <w:rsid w:val="00E34AC2"/>
    <w:rsid w:val="00E3517C"/>
    <w:rsid w:val="00E351FA"/>
    <w:rsid w:val="00E353F0"/>
    <w:rsid w:val="00E35413"/>
    <w:rsid w:val="00E35D6F"/>
    <w:rsid w:val="00E35F7A"/>
    <w:rsid w:val="00E361A8"/>
    <w:rsid w:val="00E364BA"/>
    <w:rsid w:val="00E364CA"/>
    <w:rsid w:val="00E36507"/>
    <w:rsid w:val="00E3655C"/>
    <w:rsid w:val="00E36748"/>
    <w:rsid w:val="00E3674A"/>
    <w:rsid w:val="00E367B9"/>
    <w:rsid w:val="00E36A5E"/>
    <w:rsid w:val="00E36A65"/>
    <w:rsid w:val="00E36B05"/>
    <w:rsid w:val="00E36EC8"/>
    <w:rsid w:val="00E36ED0"/>
    <w:rsid w:val="00E37147"/>
    <w:rsid w:val="00E374B4"/>
    <w:rsid w:val="00E37508"/>
    <w:rsid w:val="00E37927"/>
    <w:rsid w:val="00E37CB9"/>
    <w:rsid w:val="00E37D44"/>
    <w:rsid w:val="00E4000F"/>
    <w:rsid w:val="00E40154"/>
    <w:rsid w:val="00E401AD"/>
    <w:rsid w:val="00E405CE"/>
    <w:rsid w:val="00E406F0"/>
    <w:rsid w:val="00E40893"/>
    <w:rsid w:val="00E4094B"/>
    <w:rsid w:val="00E40BE6"/>
    <w:rsid w:val="00E40EDD"/>
    <w:rsid w:val="00E4121E"/>
    <w:rsid w:val="00E41333"/>
    <w:rsid w:val="00E413AB"/>
    <w:rsid w:val="00E41526"/>
    <w:rsid w:val="00E415FE"/>
    <w:rsid w:val="00E41686"/>
    <w:rsid w:val="00E41930"/>
    <w:rsid w:val="00E41B7F"/>
    <w:rsid w:val="00E41BBA"/>
    <w:rsid w:val="00E41F79"/>
    <w:rsid w:val="00E41F81"/>
    <w:rsid w:val="00E422FB"/>
    <w:rsid w:val="00E429D1"/>
    <w:rsid w:val="00E42ADC"/>
    <w:rsid w:val="00E42CB3"/>
    <w:rsid w:val="00E42E70"/>
    <w:rsid w:val="00E42F82"/>
    <w:rsid w:val="00E43024"/>
    <w:rsid w:val="00E43195"/>
    <w:rsid w:val="00E431FA"/>
    <w:rsid w:val="00E43269"/>
    <w:rsid w:val="00E434C3"/>
    <w:rsid w:val="00E435DC"/>
    <w:rsid w:val="00E435F4"/>
    <w:rsid w:val="00E43645"/>
    <w:rsid w:val="00E43651"/>
    <w:rsid w:val="00E43923"/>
    <w:rsid w:val="00E43924"/>
    <w:rsid w:val="00E43969"/>
    <w:rsid w:val="00E439C2"/>
    <w:rsid w:val="00E43A8D"/>
    <w:rsid w:val="00E43BE9"/>
    <w:rsid w:val="00E43D46"/>
    <w:rsid w:val="00E43DA2"/>
    <w:rsid w:val="00E43E8F"/>
    <w:rsid w:val="00E43FC0"/>
    <w:rsid w:val="00E440F5"/>
    <w:rsid w:val="00E4410B"/>
    <w:rsid w:val="00E44139"/>
    <w:rsid w:val="00E4437D"/>
    <w:rsid w:val="00E4457F"/>
    <w:rsid w:val="00E4463A"/>
    <w:rsid w:val="00E44657"/>
    <w:rsid w:val="00E44A4D"/>
    <w:rsid w:val="00E44AD1"/>
    <w:rsid w:val="00E44B3D"/>
    <w:rsid w:val="00E44EC4"/>
    <w:rsid w:val="00E44FAB"/>
    <w:rsid w:val="00E4507C"/>
    <w:rsid w:val="00E451A7"/>
    <w:rsid w:val="00E4525C"/>
    <w:rsid w:val="00E4525F"/>
    <w:rsid w:val="00E4553D"/>
    <w:rsid w:val="00E4573F"/>
    <w:rsid w:val="00E45777"/>
    <w:rsid w:val="00E45908"/>
    <w:rsid w:val="00E4591D"/>
    <w:rsid w:val="00E45DAC"/>
    <w:rsid w:val="00E45DBA"/>
    <w:rsid w:val="00E45E31"/>
    <w:rsid w:val="00E4614B"/>
    <w:rsid w:val="00E46243"/>
    <w:rsid w:val="00E4650C"/>
    <w:rsid w:val="00E4658F"/>
    <w:rsid w:val="00E46788"/>
    <w:rsid w:val="00E46808"/>
    <w:rsid w:val="00E47173"/>
    <w:rsid w:val="00E47429"/>
    <w:rsid w:val="00E47485"/>
    <w:rsid w:val="00E474B1"/>
    <w:rsid w:val="00E4769B"/>
    <w:rsid w:val="00E47915"/>
    <w:rsid w:val="00E47CE4"/>
    <w:rsid w:val="00E47DC7"/>
    <w:rsid w:val="00E47E9A"/>
    <w:rsid w:val="00E50378"/>
    <w:rsid w:val="00E50456"/>
    <w:rsid w:val="00E50776"/>
    <w:rsid w:val="00E50DC0"/>
    <w:rsid w:val="00E50E38"/>
    <w:rsid w:val="00E51426"/>
    <w:rsid w:val="00E51450"/>
    <w:rsid w:val="00E51B2F"/>
    <w:rsid w:val="00E51C6F"/>
    <w:rsid w:val="00E51C9F"/>
    <w:rsid w:val="00E51D2C"/>
    <w:rsid w:val="00E51F31"/>
    <w:rsid w:val="00E52023"/>
    <w:rsid w:val="00E52046"/>
    <w:rsid w:val="00E52130"/>
    <w:rsid w:val="00E52141"/>
    <w:rsid w:val="00E525D9"/>
    <w:rsid w:val="00E527DD"/>
    <w:rsid w:val="00E52886"/>
    <w:rsid w:val="00E52950"/>
    <w:rsid w:val="00E52C44"/>
    <w:rsid w:val="00E52D60"/>
    <w:rsid w:val="00E52E86"/>
    <w:rsid w:val="00E53035"/>
    <w:rsid w:val="00E5309C"/>
    <w:rsid w:val="00E53248"/>
    <w:rsid w:val="00E533C5"/>
    <w:rsid w:val="00E53413"/>
    <w:rsid w:val="00E53605"/>
    <w:rsid w:val="00E538BF"/>
    <w:rsid w:val="00E53DF2"/>
    <w:rsid w:val="00E53F9C"/>
    <w:rsid w:val="00E53FEC"/>
    <w:rsid w:val="00E5406B"/>
    <w:rsid w:val="00E5428A"/>
    <w:rsid w:val="00E545D1"/>
    <w:rsid w:val="00E54671"/>
    <w:rsid w:val="00E547EB"/>
    <w:rsid w:val="00E54A30"/>
    <w:rsid w:val="00E54CF6"/>
    <w:rsid w:val="00E54E35"/>
    <w:rsid w:val="00E551EC"/>
    <w:rsid w:val="00E552A7"/>
    <w:rsid w:val="00E55388"/>
    <w:rsid w:val="00E5542E"/>
    <w:rsid w:val="00E5545A"/>
    <w:rsid w:val="00E556F4"/>
    <w:rsid w:val="00E55708"/>
    <w:rsid w:val="00E55799"/>
    <w:rsid w:val="00E558F5"/>
    <w:rsid w:val="00E559A5"/>
    <w:rsid w:val="00E55BDB"/>
    <w:rsid w:val="00E55C58"/>
    <w:rsid w:val="00E5605D"/>
    <w:rsid w:val="00E5610B"/>
    <w:rsid w:val="00E56144"/>
    <w:rsid w:val="00E56440"/>
    <w:rsid w:val="00E564A0"/>
    <w:rsid w:val="00E5661D"/>
    <w:rsid w:val="00E56A34"/>
    <w:rsid w:val="00E56C1F"/>
    <w:rsid w:val="00E56F8C"/>
    <w:rsid w:val="00E571DD"/>
    <w:rsid w:val="00E57468"/>
    <w:rsid w:val="00E575EB"/>
    <w:rsid w:val="00E5760F"/>
    <w:rsid w:val="00E576C5"/>
    <w:rsid w:val="00E579AA"/>
    <w:rsid w:val="00E57A97"/>
    <w:rsid w:val="00E57B2D"/>
    <w:rsid w:val="00E57BC4"/>
    <w:rsid w:val="00E57BD3"/>
    <w:rsid w:val="00E57E7C"/>
    <w:rsid w:val="00E57F2E"/>
    <w:rsid w:val="00E57F50"/>
    <w:rsid w:val="00E5E308"/>
    <w:rsid w:val="00E600EC"/>
    <w:rsid w:val="00E60356"/>
    <w:rsid w:val="00E60382"/>
    <w:rsid w:val="00E60764"/>
    <w:rsid w:val="00E6079D"/>
    <w:rsid w:val="00E60A05"/>
    <w:rsid w:val="00E60B39"/>
    <w:rsid w:val="00E60D0F"/>
    <w:rsid w:val="00E60FC1"/>
    <w:rsid w:val="00E61156"/>
    <w:rsid w:val="00E6141C"/>
    <w:rsid w:val="00E617DC"/>
    <w:rsid w:val="00E618D6"/>
    <w:rsid w:val="00E61997"/>
    <w:rsid w:val="00E61A76"/>
    <w:rsid w:val="00E61AC2"/>
    <w:rsid w:val="00E61D24"/>
    <w:rsid w:val="00E61DEA"/>
    <w:rsid w:val="00E61F91"/>
    <w:rsid w:val="00E6212E"/>
    <w:rsid w:val="00E62409"/>
    <w:rsid w:val="00E624BB"/>
    <w:rsid w:val="00E62554"/>
    <w:rsid w:val="00E625B1"/>
    <w:rsid w:val="00E626C3"/>
    <w:rsid w:val="00E6279F"/>
    <w:rsid w:val="00E6281C"/>
    <w:rsid w:val="00E6283B"/>
    <w:rsid w:val="00E628A7"/>
    <w:rsid w:val="00E62BC3"/>
    <w:rsid w:val="00E62C5D"/>
    <w:rsid w:val="00E62DD5"/>
    <w:rsid w:val="00E6354A"/>
    <w:rsid w:val="00E63594"/>
    <w:rsid w:val="00E63922"/>
    <w:rsid w:val="00E63A5B"/>
    <w:rsid w:val="00E63A63"/>
    <w:rsid w:val="00E63B8C"/>
    <w:rsid w:val="00E63BF1"/>
    <w:rsid w:val="00E63CBA"/>
    <w:rsid w:val="00E63D5B"/>
    <w:rsid w:val="00E63D87"/>
    <w:rsid w:val="00E63DAC"/>
    <w:rsid w:val="00E63F26"/>
    <w:rsid w:val="00E641C8"/>
    <w:rsid w:val="00E64454"/>
    <w:rsid w:val="00E6468E"/>
    <w:rsid w:val="00E646A6"/>
    <w:rsid w:val="00E64F3C"/>
    <w:rsid w:val="00E6508E"/>
    <w:rsid w:val="00E65265"/>
    <w:rsid w:val="00E65287"/>
    <w:rsid w:val="00E652E2"/>
    <w:rsid w:val="00E652F8"/>
    <w:rsid w:val="00E6531A"/>
    <w:rsid w:val="00E65411"/>
    <w:rsid w:val="00E65578"/>
    <w:rsid w:val="00E655DC"/>
    <w:rsid w:val="00E65677"/>
    <w:rsid w:val="00E659A2"/>
    <w:rsid w:val="00E659A3"/>
    <w:rsid w:val="00E659BD"/>
    <w:rsid w:val="00E65A37"/>
    <w:rsid w:val="00E65A45"/>
    <w:rsid w:val="00E65ACF"/>
    <w:rsid w:val="00E65C5B"/>
    <w:rsid w:val="00E6609F"/>
    <w:rsid w:val="00E66672"/>
    <w:rsid w:val="00E66762"/>
    <w:rsid w:val="00E667ED"/>
    <w:rsid w:val="00E6692E"/>
    <w:rsid w:val="00E66995"/>
    <w:rsid w:val="00E66A2F"/>
    <w:rsid w:val="00E66A5C"/>
    <w:rsid w:val="00E66B56"/>
    <w:rsid w:val="00E66B98"/>
    <w:rsid w:val="00E66C7D"/>
    <w:rsid w:val="00E66EE3"/>
    <w:rsid w:val="00E67020"/>
    <w:rsid w:val="00E67219"/>
    <w:rsid w:val="00E67310"/>
    <w:rsid w:val="00E673D1"/>
    <w:rsid w:val="00E675C7"/>
    <w:rsid w:val="00E6767B"/>
    <w:rsid w:val="00E67686"/>
    <w:rsid w:val="00E67848"/>
    <w:rsid w:val="00E678F0"/>
    <w:rsid w:val="00E67C25"/>
    <w:rsid w:val="00E67C3B"/>
    <w:rsid w:val="00E67D0C"/>
    <w:rsid w:val="00E67D93"/>
    <w:rsid w:val="00E67E44"/>
    <w:rsid w:val="00E67EC7"/>
    <w:rsid w:val="00E67FA9"/>
    <w:rsid w:val="00E7012C"/>
    <w:rsid w:val="00E701FB"/>
    <w:rsid w:val="00E70266"/>
    <w:rsid w:val="00E7026F"/>
    <w:rsid w:val="00E704D5"/>
    <w:rsid w:val="00E706B3"/>
    <w:rsid w:val="00E7070D"/>
    <w:rsid w:val="00E70713"/>
    <w:rsid w:val="00E70802"/>
    <w:rsid w:val="00E7089C"/>
    <w:rsid w:val="00E70A40"/>
    <w:rsid w:val="00E70AD7"/>
    <w:rsid w:val="00E70AF7"/>
    <w:rsid w:val="00E70BB5"/>
    <w:rsid w:val="00E70DC5"/>
    <w:rsid w:val="00E70DCD"/>
    <w:rsid w:val="00E710F2"/>
    <w:rsid w:val="00E71145"/>
    <w:rsid w:val="00E712CF"/>
    <w:rsid w:val="00E7168B"/>
    <w:rsid w:val="00E716FC"/>
    <w:rsid w:val="00E7177F"/>
    <w:rsid w:val="00E717E2"/>
    <w:rsid w:val="00E71B85"/>
    <w:rsid w:val="00E71DD5"/>
    <w:rsid w:val="00E71E40"/>
    <w:rsid w:val="00E71EB8"/>
    <w:rsid w:val="00E71F17"/>
    <w:rsid w:val="00E71F9B"/>
    <w:rsid w:val="00E720C0"/>
    <w:rsid w:val="00E7224C"/>
    <w:rsid w:val="00E7238E"/>
    <w:rsid w:val="00E72475"/>
    <w:rsid w:val="00E725EF"/>
    <w:rsid w:val="00E7270E"/>
    <w:rsid w:val="00E7289F"/>
    <w:rsid w:val="00E72903"/>
    <w:rsid w:val="00E72936"/>
    <w:rsid w:val="00E729BA"/>
    <w:rsid w:val="00E72A09"/>
    <w:rsid w:val="00E72D64"/>
    <w:rsid w:val="00E72EF3"/>
    <w:rsid w:val="00E73025"/>
    <w:rsid w:val="00E73041"/>
    <w:rsid w:val="00E73092"/>
    <w:rsid w:val="00E730FE"/>
    <w:rsid w:val="00E73304"/>
    <w:rsid w:val="00E7346B"/>
    <w:rsid w:val="00E73517"/>
    <w:rsid w:val="00E7363E"/>
    <w:rsid w:val="00E73714"/>
    <w:rsid w:val="00E73747"/>
    <w:rsid w:val="00E73896"/>
    <w:rsid w:val="00E73912"/>
    <w:rsid w:val="00E73CAE"/>
    <w:rsid w:val="00E73D1F"/>
    <w:rsid w:val="00E73D95"/>
    <w:rsid w:val="00E73D9D"/>
    <w:rsid w:val="00E73DCB"/>
    <w:rsid w:val="00E73DFA"/>
    <w:rsid w:val="00E740FD"/>
    <w:rsid w:val="00E7422D"/>
    <w:rsid w:val="00E7429B"/>
    <w:rsid w:val="00E74864"/>
    <w:rsid w:val="00E74905"/>
    <w:rsid w:val="00E74906"/>
    <w:rsid w:val="00E749AE"/>
    <w:rsid w:val="00E74A8C"/>
    <w:rsid w:val="00E74AA7"/>
    <w:rsid w:val="00E74E20"/>
    <w:rsid w:val="00E74E52"/>
    <w:rsid w:val="00E74E67"/>
    <w:rsid w:val="00E74FE2"/>
    <w:rsid w:val="00E750C9"/>
    <w:rsid w:val="00E75340"/>
    <w:rsid w:val="00E756C0"/>
    <w:rsid w:val="00E76400"/>
    <w:rsid w:val="00E76459"/>
    <w:rsid w:val="00E766E2"/>
    <w:rsid w:val="00E76739"/>
    <w:rsid w:val="00E76757"/>
    <w:rsid w:val="00E767B5"/>
    <w:rsid w:val="00E768BE"/>
    <w:rsid w:val="00E76F85"/>
    <w:rsid w:val="00E77152"/>
    <w:rsid w:val="00E77190"/>
    <w:rsid w:val="00E771F1"/>
    <w:rsid w:val="00E773BA"/>
    <w:rsid w:val="00E7790C"/>
    <w:rsid w:val="00E77A24"/>
    <w:rsid w:val="00E77B3E"/>
    <w:rsid w:val="00E77BF7"/>
    <w:rsid w:val="00E77C1A"/>
    <w:rsid w:val="00E77F3C"/>
    <w:rsid w:val="00E8001E"/>
    <w:rsid w:val="00E80219"/>
    <w:rsid w:val="00E8032D"/>
    <w:rsid w:val="00E80779"/>
    <w:rsid w:val="00E80876"/>
    <w:rsid w:val="00E80CDC"/>
    <w:rsid w:val="00E80E28"/>
    <w:rsid w:val="00E811C1"/>
    <w:rsid w:val="00E81252"/>
    <w:rsid w:val="00E814E3"/>
    <w:rsid w:val="00E81528"/>
    <w:rsid w:val="00E81539"/>
    <w:rsid w:val="00E8170E"/>
    <w:rsid w:val="00E81895"/>
    <w:rsid w:val="00E81A18"/>
    <w:rsid w:val="00E81AC1"/>
    <w:rsid w:val="00E81B63"/>
    <w:rsid w:val="00E81D72"/>
    <w:rsid w:val="00E8205B"/>
    <w:rsid w:val="00E82111"/>
    <w:rsid w:val="00E8273B"/>
    <w:rsid w:val="00E827AB"/>
    <w:rsid w:val="00E828AB"/>
    <w:rsid w:val="00E82910"/>
    <w:rsid w:val="00E82A38"/>
    <w:rsid w:val="00E82F59"/>
    <w:rsid w:val="00E83342"/>
    <w:rsid w:val="00E833D5"/>
    <w:rsid w:val="00E83693"/>
    <w:rsid w:val="00E83761"/>
    <w:rsid w:val="00E837CA"/>
    <w:rsid w:val="00E838F5"/>
    <w:rsid w:val="00E83B94"/>
    <w:rsid w:val="00E83DE4"/>
    <w:rsid w:val="00E83E40"/>
    <w:rsid w:val="00E83FA5"/>
    <w:rsid w:val="00E8414D"/>
    <w:rsid w:val="00E841DC"/>
    <w:rsid w:val="00E8434A"/>
    <w:rsid w:val="00E843F9"/>
    <w:rsid w:val="00E844C3"/>
    <w:rsid w:val="00E8450C"/>
    <w:rsid w:val="00E847A9"/>
    <w:rsid w:val="00E84841"/>
    <w:rsid w:val="00E849F9"/>
    <w:rsid w:val="00E84AAF"/>
    <w:rsid w:val="00E84BB1"/>
    <w:rsid w:val="00E84BEB"/>
    <w:rsid w:val="00E84F4F"/>
    <w:rsid w:val="00E85088"/>
    <w:rsid w:val="00E85098"/>
    <w:rsid w:val="00E851C2"/>
    <w:rsid w:val="00E85251"/>
    <w:rsid w:val="00E8529D"/>
    <w:rsid w:val="00E8562B"/>
    <w:rsid w:val="00E85678"/>
    <w:rsid w:val="00E85947"/>
    <w:rsid w:val="00E8596B"/>
    <w:rsid w:val="00E85D3D"/>
    <w:rsid w:val="00E85D95"/>
    <w:rsid w:val="00E85DDD"/>
    <w:rsid w:val="00E861A3"/>
    <w:rsid w:val="00E863AF"/>
    <w:rsid w:val="00E8646D"/>
    <w:rsid w:val="00E86482"/>
    <w:rsid w:val="00E86743"/>
    <w:rsid w:val="00E86990"/>
    <w:rsid w:val="00E869E1"/>
    <w:rsid w:val="00E87036"/>
    <w:rsid w:val="00E873B2"/>
    <w:rsid w:val="00E87668"/>
    <w:rsid w:val="00E87783"/>
    <w:rsid w:val="00E878E8"/>
    <w:rsid w:val="00E87954"/>
    <w:rsid w:val="00E87C20"/>
    <w:rsid w:val="00E87D77"/>
    <w:rsid w:val="00E87E0E"/>
    <w:rsid w:val="00E87FD9"/>
    <w:rsid w:val="00E90258"/>
    <w:rsid w:val="00E9039E"/>
    <w:rsid w:val="00E90635"/>
    <w:rsid w:val="00E906EF"/>
    <w:rsid w:val="00E9082B"/>
    <w:rsid w:val="00E9084F"/>
    <w:rsid w:val="00E9097A"/>
    <w:rsid w:val="00E90B87"/>
    <w:rsid w:val="00E90B8C"/>
    <w:rsid w:val="00E90D7B"/>
    <w:rsid w:val="00E90E95"/>
    <w:rsid w:val="00E90E96"/>
    <w:rsid w:val="00E9108E"/>
    <w:rsid w:val="00E910B8"/>
    <w:rsid w:val="00E913EB"/>
    <w:rsid w:val="00E91410"/>
    <w:rsid w:val="00E91799"/>
    <w:rsid w:val="00E917B4"/>
    <w:rsid w:val="00E919B7"/>
    <w:rsid w:val="00E91DCE"/>
    <w:rsid w:val="00E91E4F"/>
    <w:rsid w:val="00E91F4A"/>
    <w:rsid w:val="00E92159"/>
    <w:rsid w:val="00E9238F"/>
    <w:rsid w:val="00E924DD"/>
    <w:rsid w:val="00E92524"/>
    <w:rsid w:val="00E9257B"/>
    <w:rsid w:val="00E925E5"/>
    <w:rsid w:val="00E9265C"/>
    <w:rsid w:val="00E92A44"/>
    <w:rsid w:val="00E92B76"/>
    <w:rsid w:val="00E92BC5"/>
    <w:rsid w:val="00E92BE4"/>
    <w:rsid w:val="00E9308A"/>
    <w:rsid w:val="00E9341B"/>
    <w:rsid w:val="00E935DB"/>
    <w:rsid w:val="00E93A43"/>
    <w:rsid w:val="00E93A72"/>
    <w:rsid w:val="00E93ABA"/>
    <w:rsid w:val="00E93D5A"/>
    <w:rsid w:val="00E93E7E"/>
    <w:rsid w:val="00E9408A"/>
    <w:rsid w:val="00E94097"/>
    <w:rsid w:val="00E9417D"/>
    <w:rsid w:val="00E9437C"/>
    <w:rsid w:val="00E943A0"/>
    <w:rsid w:val="00E94611"/>
    <w:rsid w:val="00E94664"/>
    <w:rsid w:val="00E947A3"/>
    <w:rsid w:val="00E9490E"/>
    <w:rsid w:val="00E94B0C"/>
    <w:rsid w:val="00E94CF3"/>
    <w:rsid w:val="00E94F9B"/>
    <w:rsid w:val="00E94FE8"/>
    <w:rsid w:val="00E950B7"/>
    <w:rsid w:val="00E95109"/>
    <w:rsid w:val="00E95455"/>
    <w:rsid w:val="00E957D1"/>
    <w:rsid w:val="00E95931"/>
    <w:rsid w:val="00E95F81"/>
    <w:rsid w:val="00E95F91"/>
    <w:rsid w:val="00E9606D"/>
    <w:rsid w:val="00E96116"/>
    <w:rsid w:val="00E962A1"/>
    <w:rsid w:val="00E9649E"/>
    <w:rsid w:val="00E964AF"/>
    <w:rsid w:val="00E96650"/>
    <w:rsid w:val="00E9693C"/>
    <w:rsid w:val="00E969A8"/>
    <w:rsid w:val="00E96D13"/>
    <w:rsid w:val="00E9728C"/>
    <w:rsid w:val="00E97383"/>
    <w:rsid w:val="00E974C5"/>
    <w:rsid w:val="00E97571"/>
    <w:rsid w:val="00E9782C"/>
    <w:rsid w:val="00E97975"/>
    <w:rsid w:val="00E9799B"/>
    <w:rsid w:val="00EA04A4"/>
    <w:rsid w:val="00EA04FF"/>
    <w:rsid w:val="00EA0745"/>
    <w:rsid w:val="00EA095F"/>
    <w:rsid w:val="00EA0A38"/>
    <w:rsid w:val="00EA0D92"/>
    <w:rsid w:val="00EA0DF9"/>
    <w:rsid w:val="00EA0EB7"/>
    <w:rsid w:val="00EA1284"/>
    <w:rsid w:val="00EA13AF"/>
    <w:rsid w:val="00EA13FB"/>
    <w:rsid w:val="00EA1455"/>
    <w:rsid w:val="00EA14D3"/>
    <w:rsid w:val="00EA14D4"/>
    <w:rsid w:val="00EA1611"/>
    <w:rsid w:val="00EA194F"/>
    <w:rsid w:val="00EA1ACC"/>
    <w:rsid w:val="00EA1B81"/>
    <w:rsid w:val="00EA1F6F"/>
    <w:rsid w:val="00EA20AD"/>
    <w:rsid w:val="00EA2232"/>
    <w:rsid w:val="00EA2420"/>
    <w:rsid w:val="00EA246A"/>
    <w:rsid w:val="00EA24DB"/>
    <w:rsid w:val="00EA25C1"/>
    <w:rsid w:val="00EA2629"/>
    <w:rsid w:val="00EA296F"/>
    <w:rsid w:val="00EA2A96"/>
    <w:rsid w:val="00EA2EA5"/>
    <w:rsid w:val="00EA2F51"/>
    <w:rsid w:val="00EA2FA6"/>
    <w:rsid w:val="00EA3029"/>
    <w:rsid w:val="00EA308E"/>
    <w:rsid w:val="00EA30E7"/>
    <w:rsid w:val="00EA35BA"/>
    <w:rsid w:val="00EA3672"/>
    <w:rsid w:val="00EA36C7"/>
    <w:rsid w:val="00EA398D"/>
    <w:rsid w:val="00EA3B13"/>
    <w:rsid w:val="00EA3B23"/>
    <w:rsid w:val="00EA3BCA"/>
    <w:rsid w:val="00EA3DA2"/>
    <w:rsid w:val="00EA409E"/>
    <w:rsid w:val="00EA40BF"/>
    <w:rsid w:val="00EA410F"/>
    <w:rsid w:val="00EA41C6"/>
    <w:rsid w:val="00EA4564"/>
    <w:rsid w:val="00EA4683"/>
    <w:rsid w:val="00EA49BD"/>
    <w:rsid w:val="00EA4D35"/>
    <w:rsid w:val="00EA4E6A"/>
    <w:rsid w:val="00EA4F79"/>
    <w:rsid w:val="00EA53E6"/>
    <w:rsid w:val="00EA5416"/>
    <w:rsid w:val="00EA5567"/>
    <w:rsid w:val="00EA5602"/>
    <w:rsid w:val="00EA5CE8"/>
    <w:rsid w:val="00EA5D8A"/>
    <w:rsid w:val="00EA5DCA"/>
    <w:rsid w:val="00EA5E7B"/>
    <w:rsid w:val="00EA61CE"/>
    <w:rsid w:val="00EA633C"/>
    <w:rsid w:val="00EA6436"/>
    <w:rsid w:val="00EA659D"/>
    <w:rsid w:val="00EA65CA"/>
    <w:rsid w:val="00EA6A6F"/>
    <w:rsid w:val="00EA6AEE"/>
    <w:rsid w:val="00EA6B77"/>
    <w:rsid w:val="00EA6C19"/>
    <w:rsid w:val="00EA6C39"/>
    <w:rsid w:val="00EA6CEC"/>
    <w:rsid w:val="00EA6CF7"/>
    <w:rsid w:val="00EA6CF9"/>
    <w:rsid w:val="00EA6EB4"/>
    <w:rsid w:val="00EA6FAC"/>
    <w:rsid w:val="00EA6FE1"/>
    <w:rsid w:val="00EA6FE5"/>
    <w:rsid w:val="00EA708E"/>
    <w:rsid w:val="00EA7114"/>
    <w:rsid w:val="00EA720F"/>
    <w:rsid w:val="00EA7420"/>
    <w:rsid w:val="00EA746A"/>
    <w:rsid w:val="00EA74E9"/>
    <w:rsid w:val="00EA752F"/>
    <w:rsid w:val="00EA7691"/>
    <w:rsid w:val="00EA775B"/>
    <w:rsid w:val="00EA780A"/>
    <w:rsid w:val="00EA7887"/>
    <w:rsid w:val="00EA78A6"/>
    <w:rsid w:val="00EA7EFE"/>
    <w:rsid w:val="00EB011E"/>
    <w:rsid w:val="00EB0289"/>
    <w:rsid w:val="00EB03F8"/>
    <w:rsid w:val="00EB04F3"/>
    <w:rsid w:val="00EB057C"/>
    <w:rsid w:val="00EB05B5"/>
    <w:rsid w:val="00EB0668"/>
    <w:rsid w:val="00EB0716"/>
    <w:rsid w:val="00EB075A"/>
    <w:rsid w:val="00EB0789"/>
    <w:rsid w:val="00EB07A2"/>
    <w:rsid w:val="00EB083D"/>
    <w:rsid w:val="00EB09CA"/>
    <w:rsid w:val="00EB0C24"/>
    <w:rsid w:val="00EB0C58"/>
    <w:rsid w:val="00EB0CA0"/>
    <w:rsid w:val="00EB0DF7"/>
    <w:rsid w:val="00EB0F26"/>
    <w:rsid w:val="00EB0F31"/>
    <w:rsid w:val="00EB0F9D"/>
    <w:rsid w:val="00EB1321"/>
    <w:rsid w:val="00EB1463"/>
    <w:rsid w:val="00EB14C8"/>
    <w:rsid w:val="00EB180A"/>
    <w:rsid w:val="00EB1AAE"/>
    <w:rsid w:val="00EB1C59"/>
    <w:rsid w:val="00EB1C9D"/>
    <w:rsid w:val="00EB2122"/>
    <w:rsid w:val="00EB22EB"/>
    <w:rsid w:val="00EB231B"/>
    <w:rsid w:val="00EB24F6"/>
    <w:rsid w:val="00EB251C"/>
    <w:rsid w:val="00EB2670"/>
    <w:rsid w:val="00EB26AA"/>
    <w:rsid w:val="00EB28BE"/>
    <w:rsid w:val="00EB29C9"/>
    <w:rsid w:val="00EB29D9"/>
    <w:rsid w:val="00EB2A35"/>
    <w:rsid w:val="00EB301D"/>
    <w:rsid w:val="00EB3159"/>
    <w:rsid w:val="00EB3302"/>
    <w:rsid w:val="00EB38BB"/>
    <w:rsid w:val="00EB3935"/>
    <w:rsid w:val="00EB3987"/>
    <w:rsid w:val="00EB3D1C"/>
    <w:rsid w:val="00EB3DE9"/>
    <w:rsid w:val="00EB3EDC"/>
    <w:rsid w:val="00EB4036"/>
    <w:rsid w:val="00EB4206"/>
    <w:rsid w:val="00EB42EE"/>
    <w:rsid w:val="00EB42F7"/>
    <w:rsid w:val="00EB439B"/>
    <w:rsid w:val="00EB45C0"/>
    <w:rsid w:val="00EB49BC"/>
    <w:rsid w:val="00EB4F9D"/>
    <w:rsid w:val="00EB4FF7"/>
    <w:rsid w:val="00EB501C"/>
    <w:rsid w:val="00EB5038"/>
    <w:rsid w:val="00EB54F1"/>
    <w:rsid w:val="00EB56F4"/>
    <w:rsid w:val="00EB576C"/>
    <w:rsid w:val="00EB5CC7"/>
    <w:rsid w:val="00EB5D20"/>
    <w:rsid w:val="00EB5DB5"/>
    <w:rsid w:val="00EB5F8A"/>
    <w:rsid w:val="00EB6083"/>
    <w:rsid w:val="00EB608B"/>
    <w:rsid w:val="00EB6156"/>
    <w:rsid w:val="00EB6198"/>
    <w:rsid w:val="00EB6206"/>
    <w:rsid w:val="00EB630D"/>
    <w:rsid w:val="00EB6434"/>
    <w:rsid w:val="00EB6745"/>
    <w:rsid w:val="00EB6AD4"/>
    <w:rsid w:val="00EB6B03"/>
    <w:rsid w:val="00EB6CE6"/>
    <w:rsid w:val="00EB72F6"/>
    <w:rsid w:val="00EB73C1"/>
    <w:rsid w:val="00EB7523"/>
    <w:rsid w:val="00EB7722"/>
    <w:rsid w:val="00EB7867"/>
    <w:rsid w:val="00EB79AD"/>
    <w:rsid w:val="00EB7B3D"/>
    <w:rsid w:val="00EB7C76"/>
    <w:rsid w:val="00EB7F30"/>
    <w:rsid w:val="00EB7F58"/>
    <w:rsid w:val="00EB7F91"/>
    <w:rsid w:val="00EC0023"/>
    <w:rsid w:val="00EC01CE"/>
    <w:rsid w:val="00EC0A4D"/>
    <w:rsid w:val="00EC0B95"/>
    <w:rsid w:val="00EC0CB2"/>
    <w:rsid w:val="00EC0D7C"/>
    <w:rsid w:val="00EC0F5D"/>
    <w:rsid w:val="00EC1096"/>
    <w:rsid w:val="00EC11E6"/>
    <w:rsid w:val="00EC129A"/>
    <w:rsid w:val="00EC12DD"/>
    <w:rsid w:val="00EC1311"/>
    <w:rsid w:val="00EC186C"/>
    <w:rsid w:val="00EC1874"/>
    <w:rsid w:val="00EC1896"/>
    <w:rsid w:val="00EC1A98"/>
    <w:rsid w:val="00EC1B60"/>
    <w:rsid w:val="00EC2262"/>
    <w:rsid w:val="00EC2506"/>
    <w:rsid w:val="00EC2614"/>
    <w:rsid w:val="00EC26BC"/>
    <w:rsid w:val="00EC279C"/>
    <w:rsid w:val="00EC3026"/>
    <w:rsid w:val="00EC3137"/>
    <w:rsid w:val="00EC31D6"/>
    <w:rsid w:val="00EC3490"/>
    <w:rsid w:val="00EC3550"/>
    <w:rsid w:val="00EC35A5"/>
    <w:rsid w:val="00EC368B"/>
    <w:rsid w:val="00EC36FB"/>
    <w:rsid w:val="00EC3834"/>
    <w:rsid w:val="00EC423A"/>
    <w:rsid w:val="00EC4445"/>
    <w:rsid w:val="00EC4482"/>
    <w:rsid w:val="00EC44A0"/>
    <w:rsid w:val="00EC4910"/>
    <w:rsid w:val="00EC4A53"/>
    <w:rsid w:val="00EC4B66"/>
    <w:rsid w:val="00EC4DF4"/>
    <w:rsid w:val="00EC4E53"/>
    <w:rsid w:val="00EC4F87"/>
    <w:rsid w:val="00EC5519"/>
    <w:rsid w:val="00EC5550"/>
    <w:rsid w:val="00EC5675"/>
    <w:rsid w:val="00EC571D"/>
    <w:rsid w:val="00EC5761"/>
    <w:rsid w:val="00EC57A2"/>
    <w:rsid w:val="00EC58B8"/>
    <w:rsid w:val="00EC5AC4"/>
    <w:rsid w:val="00EC5BAD"/>
    <w:rsid w:val="00EC5D34"/>
    <w:rsid w:val="00EC5E76"/>
    <w:rsid w:val="00EC5F59"/>
    <w:rsid w:val="00EC614E"/>
    <w:rsid w:val="00EC654E"/>
    <w:rsid w:val="00EC65B7"/>
    <w:rsid w:val="00EC66CE"/>
    <w:rsid w:val="00EC6859"/>
    <w:rsid w:val="00EC68CD"/>
    <w:rsid w:val="00EC6984"/>
    <w:rsid w:val="00EC6B05"/>
    <w:rsid w:val="00EC6B18"/>
    <w:rsid w:val="00EC6B3B"/>
    <w:rsid w:val="00EC6C8F"/>
    <w:rsid w:val="00EC6CBA"/>
    <w:rsid w:val="00EC6CE8"/>
    <w:rsid w:val="00EC6E49"/>
    <w:rsid w:val="00EC71CD"/>
    <w:rsid w:val="00EC726F"/>
    <w:rsid w:val="00EC72B5"/>
    <w:rsid w:val="00EC76DB"/>
    <w:rsid w:val="00EC778B"/>
    <w:rsid w:val="00EC77C6"/>
    <w:rsid w:val="00EC78F1"/>
    <w:rsid w:val="00EC793D"/>
    <w:rsid w:val="00EC79A9"/>
    <w:rsid w:val="00EC7A4D"/>
    <w:rsid w:val="00EC7B5B"/>
    <w:rsid w:val="00EC7C11"/>
    <w:rsid w:val="00EC7C80"/>
    <w:rsid w:val="00EC7CE7"/>
    <w:rsid w:val="00EC7D92"/>
    <w:rsid w:val="00EC7DEF"/>
    <w:rsid w:val="00EC7E03"/>
    <w:rsid w:val="00ED015A"/>
    <w:rsid w:val="00ED02F0"/>
    <w:rsid w:val="00ED0626"/>
    <w:rsid w:val="00ED0671"/>
    <w:rsid w:val="00ED0934"/>
    <w:rsid w:val="00ED0984"/>
    <w:rsid w:val="00ED0999"/>
    <w:rsid w:val="00ED09F4"/>
    <w:rsid w:val="00ED0B03"/>
    <w:rsid w:val="00ED0E2C"/>
    <w:rsid w:val="00ED11C4"/>
    <w:rsid w:val="00ED13A5"/>
    <w:rsid w:val="00ED1792"/>
    <w:rsid w:val="00ED17A9"/>
    <w:rsid w:val="00ED1A81"/>
    <w:rsid w:val="00ED1BC6"/>
    <w:rsid w:val="00ED206B"/>
    <w:rsid w:val="00ED23F7"/>
    <w:rsid w:val="00ED242B"/>
    <w:rsid w:val="00ED24EB"/>
    <w:rsid w:val="00ED26EC"/>
    <w:rsid w:val="00ED27D6"/>
    <w:rsid w:val="00ED29D5"/>
    <w:rsid w:val="00ED2B2D"/>
    <w:rsid w:val="00ED2C38"/>
    <w:rsid w:val="00ED2E51"/>
    <w:rsid w:val="00ED2FCD"/>
    <w:rsid w:val="00ED31F3"/>
    <w:rsid w:val="00ED32F2"/>
    <w:rsid w:val="00ED33BD"/>
    <w:rsid w:val="00ED3442"/>
    <w:rsid w:val="00ED34B0"/>
    <w:rsid w:val="00ED34E7"/>
    <w:rsid w:val="00ED3511"/>
    <w:rsid w:val="00ED35CD"/>
    <w:rsid w:val="00ED3736"/>
    <w:rsid w:val="00ED3874"/>
    <w:rsid w:val="00ED3875"/>
    <w:rsid w:val="00ED39FD"/>
    <w:rsid w:val="00ED3B08"/>
    <w:rsid w:val="00ED3CEA"/>
    <w:rsid w:val="00ED3F09"/>
    <w:rsid w:val="00ED3FCF"/>
    <w:rsid w:val="00ED40A1"/>
    <w:rsid w:val="00ED4369"/>
    <w:rsid w:val="00ED442E"/>
    <w:rsid w:val="00ED4538"/>
    <w:rsid w:val="00ED4557"/>
    <w:rsid w:val="00ED471B"/>
    <w:rsid w:val="00ED4751"/>
    <w:rsid w:val="00ED4A45"/>
    <w:rsid w:val="00ED4BA6"/>
    <w:rsid w:val="00ED506E"/>
    <w:rsid w:val="00ED529F"/>
    <w:rsid w:val="00ED536B"/>
    <w:rsid w:val="00ED5412"/>
    <w:rsid w:val="00ED54E9"/>
    <w:rsid w:val="00ED54F0"/>
    <w:rsid w:val="00ED5565"/>
    <w:rsid w:val="00ED56E4"/>
    <w:rsid w:val="00ED5843"/>
    <w:rsid w:val="00ED59C9"/>
    <w:rsid w:val="00ED5A13"/>
    <w:rsid w:val="00ED5B0C"/>
    <w:rsid w:val="00ED5D5F"/>
    <w:rsid w:val="00ED605F"/>
    <w:rsid w:val="00ED616D"/>
    <w:rsid w:val="00ED61E7"/>
    <w:rsid w:val="00ED645D"/>
    <w:rsid w:val="00ED663A"/>
    <w:rsid w:val="00ED6678"/>
    <w:rsid w:val="00ED689E"/>
    <w:rsid w:val="00ED6D69"/>
    <w:rsid w:val="00ED6DAC"/>
    <w:rsid w:val="00ED7174"/>
    <w:rsid w:val="00ED7349"/>
    <w:rsid w:val="00ED7445"/>
    <w:rsid w:val="00ED78C6"/>
    <w:rsid w:val="00ED78EC"/>
    <w:rsid w:val="00ED79F1"/>
    <w:rsid w:val="00ED7BF7"/>
    <w:rsid w:val="00ED7BFB"/>
    <w:rsid w:val="00ED7EEE"/>
    <w:rsid w:val="00EE00AF"/>
    <w:rsid w:val="00EE02E9"/>
    <w:rsid w:val="00EE03F0"/>
    <w:rsid w:val="00EE0535"/>
    <w:rsid w:val="00EE0630"/>
    <w:rsid w:val="00EE06BF"/>
    <w:rsid w:val="00EE0B83"/>
    <w:rsid w:val="00EE0BD5"/>
    <w:rsid w:val="00EE0C7D"/>
    <w:rsid w:val="00EE0CF5"/>
    <w:rsid w:val="00EE0DE8"/>
    <w:rsid w:val="00EE0E03"/>
    <w:rsid w:val="00EE0FEF"/>
    <w:rsid w:val="00EE10F2"/>
    <w:rsid w:val="00EE1311"/>
    <w:rsid w:val="00EE133F"/>
    <w:rsid w:val="00EE140F"/>
    <w:rsid w:val="00EE15D5"/>
    <w:rsid w:val="00EE1601"/>
    <w:rsid w:val="00EE17D9"/>
    <w:rsid w:val="00EE1819"/>
    <w:rsid w:val="00EE18FF"/>
    <w:rsid w:val="00EE1B39"/>
    <w:rsid w:val="00EE1B5D"/>
    <w:rsid w:val="00EE2039"/>
    <w:rsid w:val="00EE2088"/>
    <w:rsid w:val="00EE20B2"/>
    <w:rsid w:val="00EE2345"/>
    <w:rsid w:val="00EE2744"/>
    <w:rsid w:val="00EE27DF"/>
    <w:rsid w:val="00EE2AD6"/>
    <w:rsid w:val="00EE2D54"/>
    <w:rsid w:val="00EE2E9B"/>
    <w:rsid w:val="00EE3272"/>
    <w:rsid w:val="00EE328D"/>
    <w:rsid w:val="00EE3528"/>
    <w:rsid w:val="00EE3541"/>
    <w:rsid w:val="00EE369D"/>
    <w:rsid w:val="00EE374A"/>
    <w:rsid w:val="00EE3751"/>
    <w:rsid w:val="00EE379F"/>
    <w:rsid w:val="00EE3899"/>
    <w:rsid w:val="00EE3C7E"/>
    <w:rsid w:val="00EE3F12"/>
    <w:rsid w:val="00EE3F68"/>
    <w:rsid w:val="00EE3FC9"/>
    <w:rsid w:val="00EE3FF1"/>
    <w:rsid w:val="00EE412D"/>
    <w:rsid w:val="00EE4180"/>
    <w:rsid w:val="00EE43B6"/>
    <w:rsid w:val="00EE453C"/>
    <w:rsid w:val="00EE45BE"/>
    <w:rsid w:val="00EE49F5"/>
    <w:rsid w:val="00EE4A45"/>
    <w:rsid w:val="00EE4BF7"/>
    <w:rsid w:val="00EE4D86"/>
    <w:rsid w:val="00EE4DBC"/>
    <w:rsid w:val="00EE4DCA"/>
    <w:rsid w:val="00EE4E7D"/>
    <w:rsid w:val="00EE4EE6"/>
    <w:rsid w:val="00EE502F"/>
    <w:rsid w:val="00EE54F3"/>
    <w:rsid w:val="00EE5603"/>
    <w:rsid w:val="00EE5711"/>
    <w:rsid w:val="00EE5B78"/>
    <w:rsid w:val="00EE5C0B"/>
    <w:rsid w:val="00EE5E9F"/>
    <w:rsid w:val="00EE60F3"/>
    <w:rsid w:val="00EE6137"/>
    <w:rsid w:val="00EE62DF"/>
    <w:rsid w:val="00EE6545"/>
    <w:rsid w:val="00EE6720"/>
    <w:rsid w:val="00EE69AF"/>
    <w:rsid w:val="00EE6EE8"/>
    <w:rsid w:val="00EE6F51"/>
    <w:rsid w:val="00EE6FA0"/>
    <w:rsid w:val="00EE7327"/>
    <w:rsid w:val="00EE735E"/>
    <w:rsid w:val="00EE740C"/>
    <w:rsid w:val="00EE744C"/>
    <w:rsid w:val="00EE763F"/>
    <w:rsid w:val="00EE769A"/>
    <w:rsid w:val="00EE7A47"/>
    <w:rsid w:val="00EE7F1C"/>
    <w:rsid w:val="00EF03F4"/>
    <w:rsid w:val="00EF0451"/>
    <w:rsid w:val="00EF05D4"/>
    <w:rsid w:val="00EF06C6"/>
    <w:rsid w:val="00EF0A06"/>
    <w:rsid w:val="00EF0CF0"/>
    <w:rsid w:val="00EF0F0E"/>
    <w:rsid w:val="00EF1148"/>
    <w:rsid w:val="00EF1804"/>
    <w:rsid w:val="00EF1A5B"/>
    <w:rsid w:val="00EF1AF0"/>
    <w:rsid w:val="00EF1DB6"/>
    <w:rsid w:val="00EF2001"/>
    <w:rsid w:val="00EF26AE"/>
    <w:rsid w:val="00EF2717"/>
    <w:rsid w:val="00EF27AF"/>
    <w:rsid w:val="00EF30FB"/>
    <w:rsid w:val="00EF32A3"/>
    <w:rsid w:val="00EF3506"/>
    <w:rsid w:val="00EF35C5"/>
    <w:rsid w:val="00EF361C"/>
    <w:rsid w:val="00EF365E"/>
    <w:rsid w:val="00EF3726"/>
    <w:rsid w:val="00EF3FEE"/>
    <w:rsid w:val="00EF4598"/>
    <w:rsid w:val="00EF46E8"/>
    <w:rsid w:val="00EF476A"/>
    <w:rsid w:val="00EF48AB"/>
    <w:rsid w:val="00EF49A9"/>
    <w:rsid w:val="00EF4AA6"/>
    <w:rsid w:val="00EF4B2E"/>
    <w:rsid w:val="00EF4B58"/>
    <w:rsid w:val="00EF4C48"/>
    <w:rsid w:val="00EF587F"/>
    <w:rsid w:val="00EF58D1"/>
    <w:rsid w:val="00EF58D9"/>
    <w:rsid w:val="00EF5A5B"/>
    <w:rsid w:val="00EF5AAF"/>
    <w:rsid w:val="00EF5AC0"/>
    <w:rsid w:val="00EF5C70"/>
    <w:rsid w:val="00EF5E2F"/>
    <w:rsid w:val="00EF60B3"/>
    <w:rsid w:val="00EF6489"/>
    <w:rsid w:val="00EF68DD"/>
    <w:rsid w:val="00EF692F"/>
    <w:rsid w:val="00EF6A01"/>
    <w:rsid w:val="00EF6B32"/>
    <w:rsid w:val="00EF6D81"/>
    <w:rsid w:val="00EF6FC2"/>
    <w:rsid w:val="00EF707E"/>
    <w:rsid w:val="00EF70B7"/>
    <w:rsid w:val="00EF7370"/>
    <w:rsid w:val="00EF7858"/>
    <w:rsid w:val="00EF7C54"/>
    <w:rsid w:val="00EF7CE2"/>
    <w:rsid w:val="00EF7E60"/>
    <w:rsid w:val="00F004C1"/>
    <w:rsid w:val="00F00541"/>
    <w:rsid w:val="00F0060B"/>
    <w:rsid w:val="00F00706"/>
    <w:rsid w:val="00F00C18"/>
    <w:rsid w:val="00F00C4D"/>
    <w:rsid w:val="00F00D04"/>
    <w:rsid w:val="00F00DDD"/>
    <w:rsid w:val="00F01030"/>
    <w:rsid w:val="00F0123C"/>
    <w:rsid w:val="00F012D2"/>
    <w:rsid w:val="00F01363"/>
    <w:rsid w:val="00F013B1"/>
    <w:rsid w:val="00F015FC"/>
    <w:rsid w:val="00F0187F"/>
    <w:rsid w:val="00F01B70"/>
    <w:rsid w:val="00F01D1A"/>
    <w:rsid w:val="00F01EFB"/>
    <w:rsid w:val="00F021F4"/>
    <w:rsid w:val="00F02201"/>
    <w:rsid w:val="00F0221D"/>
    <w:rsid w:val="00F022B3"/>
    <w:rsid w:val="00F023C5"/>
    <w:rsid w:val="00F024AF"/>
    <w:rsid w:val="00F025E5"/>
    <w:rsid w:val="00F02652"/>
    <w:rsid w:val="00F02681"/>
    <w:rsid w:val="00F026A7"/>
    <w:rsid w:val="00F029EA"/>
    <w:rsid w:val="00F02A28"/>
    <w:rsid w:val="00F02E83"/>
    <w:rsid w:val="00F02EE5"/>
    <w:rsid w:val="00F03672"/>
    <w:rsid w:val="00F037A4"/>
    <w:rsid w:val="00F038FC"/>
    <w:rsid w:val="00F03AB0"/>
    <w:rsid w:val="00F03C6A"/>
    <w:rsid w:val="00F03C8F"/>
    <w:rsid w:val="00F03F24"/>
    <w:rsid w:val="00F04093"/>
    <w:rsid w:val="00F040A1"/>
    <w:rsid w:val="00F04164"/>
    <w:rsid w:val="00F042A4"/>
    <w:rsid w:val="00F0432E"/>
    <w:rsid w:val="00F048C9"/>
    <w:rsid w:val="00F0492C"/>
    <w:rsid w:val="00F04B53"/>
    <w:rsid w:val="00F04B6A"/>
    <w:rsid w:val="00F05205"/>
    <w:rsid w:val="00F0534C"/>
    <w:rsid w:val="00F05A6D"/>
    <w:rsid w:val="00F05B24"/>
    <w:rsid w:val="00F05B2E"/>
    <w:rsid w:val="00F05BBB"/>
    <w:rsid w:val="00F05FB7"/>
    <w:rsid w:val="00F061EF"/>
    <w:rsid w:val="00F06307"/>
    <w:rsid w:val="00F06321"/>
    <w:rsid w:val="00F0638F"/>
    <w:rsid w:val="00F06650"/>
    <w:rsid w:val="00F06A90"/>
    <w:rsid w:val="00F06BB3"/>
    <w:rsid w:val="00F06C27"/>
    <w:rsid w:val="00F06C82"/>
    <w:rsid w:val="00F070BA"/>
    <w:rsid w:val="00F070DF"/>
    <w:rsid w:val="00F073CE"/>
    <w:rsid w:val="00F073E1"/>
    <w:rsid w:val="00F0749D"/>
    <w:rsid w:val="00F074B9"/>
    <w:rsid w:val="00F074D6"/>
    <w:rsid w:val="00F0799E"/>
    <w:rsid w:val="00F07E5D"/>
    <w:rsid w:val="00F10312"/>
    <w:rsid w:val="00F10508"/>
    <w:rsid w:val="00F1072D"/>
    <w:rsid w:val="00F1073E"/>
    <w:rsid w:val="00F1079E"/>
    <w:rsid w:val="00F10BA9"/>
    <w:rsid w:val="00F10DD4"/>
    <w:rsid w:val="00F10E7B"/>
    <w:rsid w:val="00F10EB2"/>
    <w:rsid w:val="00F11108"/>
    <w:rsid w:val="00F1112A"/>
    <w:rsid w:val="00F111EB"/>
    <w:rsid w:val="00F1128C"/>
    <w:rsid w:val="00F11405"/>
    <w:rsid w:val="00F114AC"/>
    <w:rsid w:val="00F11880"/>
    <w:rsid w:val="00F119AD"/>
    <w:rsid w:val="00F119E0"/>
    <w:rsid w:val="00F11AB1"/>
    <w:rsid w:val="00F11B18"/>
    <w:rsid w:val="00F11B85"/>
    <w:rsid w:val="00F11B91"/>
    <w:rsid w:val="00F11C36"/>
    <w:rsid w:val="00F11E22"/>
    <w:rsid w:val="00F11F27"/>
    <w:rsid w:val="00F1204D"/>
    <w:rsid w:val="00F121B2"/>
    <w:rsid w:val="00F12670"/>
    <w:rsid w:val="00F126AD"/>
    <w:rsid w:val="00F12780"/>
    <w:rsid w:val="00F12814"/>
    <w:rsid w:val="00F1287B"/>
    <w:rsid w:val="00F12E07"/>
    <w:rsid w:val="00F135DC"/>
    <w:rsid w:val="00F13797"/>
    <w:rsid w:val="00F137D7"/>
    <w:rsid w:val="00F137EC"/>
    <w:rsid w:val="00F1382C"/>
    <w:rsid w:val="00F13A71"/>
    <w:rsid w:val="00F13E81"/>
    <w:rsid w:val="00F13F7E"/>
    <w:rsid w:val="00F141EE"/>
    <w:rsid w:val="00F142CC"/>
    <w:rsid w:val="00F142CD"/>
    <w:rsid w:val="00F143E5"/>
    <w:rsid w:val="00F1441C"/>
    <w:rsid w:val="00F14706"/>
    <w:rsid w:val="00F149F1"/>
    <w:rsid w:val="00F14B74"/>
    <w:rsid w:val="00F14CD8"/>
    <w:rsid w:val="00F14F9E"/>
    <w:rsid w:val="00F1573E"/>
    <w:rsid w:val="00F15780"/>
    <w:rsid w:val="00F1583C"/>
    <w:rsid w:val="00F15DD4"/>
    <w:rsid w:val="00F15E83"/>
    <w:rsid w:val="00F16172"/>
    <w:rsid w:val="00F1650D"/>
    <w:rsid w:val="00F169AB"/>
    <w:rsid w:val="00F169C8"/>
    <w:rsid w:val="00F16C67"/>
    <w:rsid w:val="00F16E3E"/>
    <w:rsid w:val="00F16F06"/>
    <w:rsid w:val="00F16FCB"/>
    <w:rsid w:val="00F170FD"/>
    <w:rsid w:val="00F1716F"/>
    <w:rsid w:val="00F172FA"/>
    <w:rsid w:val="00F1782C"/>
    <w:rsid w:val="00F1792B"/>
    <w:rsid w:val="00F17A7B"/>
    <w:rsid w:val="00F17A8D"/>
    <w:rsid w:val="00F17E30"/>
    <w:rsid w:val="00F17EA6"/>
    <w:rsid w:val="00F17EE4"/>
    <w:rsid w:val="00F200B6"/>
    <w:rsid w:val="00F20201"/>
    <w:rsid w:val="00F2028F"/>
    <w:rsid w:val="00F20401"/>
    <w:rsid w:val="00F2053A"/>
    <w:rsid w:val="00F20A81"/>
    <w:rsid w:val="00F20C11"/>
    <w:rsid w:val="00F20E74"/>
    <w:rsid w:val="00F2112A"/>
    <w:rsid w:val="00F2118A"/>
    <w:rsid w:val="00F21238"/>
    <w:rsid w:val="00F212A0"/>
    <w:rsid w:val="00F2139D"/>
    <w:rsid w:val="00F2151B"/>
    <w:rsid w:val="00F216C6"/>
    <w:rsid w:val="00F219B8"/>
    <w:rsid w:val="00F21CCB"/>
    <w:rsid w:val="00F21DB9"/>
    <w:rsid w:val="00F21DF7"/>
    <w:rsid w:val="00F21F64"/>
    <w:rsid w:val="00F2205D"/>
    <w:rsid w:val="00F221D8"/>
    <w:rsid w:val="00F22311"/>
    <w:rsid w:val="00F223C8"/>
    <w:rsid w:val="00F226EA"/>
    <w:rsid w:val="00F22727"/>
    <w:rsid w:val="00F22B10"/>
    <w:rsid w:val="00F230E9"/>
    <w:rsid w:val="00F233BA"/>
    <w:rsid w:val="00F23550"/>
    <w:rsid w:val="00F23965"/>
    <w:rsid w:val="00F23AF9"/>
    <w:rsid w:val="00F23C88"/>
    <w:rsid w:val="00F23CEB"/>
    <w:rsid w:val="00F23F0F"/>
    <w:rsid w:val="00F2405F"/>
    <w:rsid w:val="00F24310"/>
    <w:rsid w:val="00F243D7"/>
    <w:rsid w:val="00F24407"/>
    <w:rsid w:val="00F246E8"/>
    <w:rsid w:val="00F24722"/>
    <w:rsid w:val="00F24801"/>
    <w:rsid w:val="00F248AB"/>
    <w:rsid w:val="00F24998"/>
    <w:rsid w:val="00F24B18"/>
    <w:rsid w:val="00F24E0F"/>
    <w:rsid w:val="00F24E85"/>
    <w:rsid w:val="00F24FAE"/>
    <w:rsid w:val="00F25052"/>
    <w:rsid w:val="00F2516D"/>
    <w:rsid w:val="00F25342"/>
    <w:rsid w:val="00F25458"/>
    <w:rsid w:val="00F254A2"/>
    <w:rsid w:val="00F25584"/>
    <w:rsid w:val="00F25783"/>
    <w:rsid w:val="00F257A1"/>
    <w:rsid w:val="00F257AC"/>
    <w:rsid w:val="00F25981"/>
    <w:rsid w:val="00F259C7"/>
    <w:rsid w:val="00F26004"/>
    <w:rsid w:val="00F260FD"/>
    <w:rsid w:val="00F26176"/>
    <w:rsid w:val="00F26291"/>
    <w:rsid w:val="00F26500"/>
    <w:rsid w:val="00F267FE"/>
    <w:rsid w:val="00F26AC2"/>
    <w:rsid w:val="00F26C4C"/>
    <w:rsid w:val="00F26D6A"/>
    <w:rsid w:val="00F27030"/>
    <w:rsid w:val="00F27210"/>
    <w:rsid w:val="00F273AA"/>
    <w:rsid w:val="00F2764F"/>
    <w:rsid w:val="00F27792"/>
    <w:rsid w:val="00F277DC"/>
    <w:rsid w:val="00F27887"/>
    <w:rsid w:val="00F278AD"/>
    <w:rsid w:val="00F278AF"/>
    <w:rsid w:val="00F27A81"/>
    <w:rsid w:val="00F27F88"/>
    <w:rsid w:val="00F27FE6"/>
    <w:rsid w:val="00F301BF"/>
    <w:rsid w:val="00F3028F"/>
    <w:rsid w:val="00F3031B"/>
    <w:rsid w:val="00F3054D"/>
    <w:rsid w:val="00F305E6"/>
    <w:rsid w:val="00F3062F"/>
    <w:rsid w:val="00F307E8"/>
    <w:rsid w:val="00F30B3E"/>
    <w:rsid w:val="00F30C75"/>
    <w:rsid w:val="00F30DBA"/>
    <w:rsid w:val="00F30FB3"/>
    <w:rsid w:val="00F3103C"/>
    <w:rsid w:val="00F312A9"/>
    <w:rsid w:val="00F313BB"/>
    <w:rsid w:val="00F316E9"/>
    <w:rsid w:val="00F31707"/>
    <w:rsid w:val="00F31850"/>
    <w:rsid w:val="00F31919"/>
    <w:rsid w:val="00F319DF"/>
    <w:rsid w:val="00F31B12"/>
    <w:rsid w:val="00F31CC3"/>
    <w:rsid w:val="00F31EE3"/>
    <w:rsid w:val="00F321A5"/>
    <w:rsid w:val="00F321BE"/>
    <w:rsid w:val="00F32534"/>
    <w:rsid w:val="00F3276A"/>
    <w:rsid w:val="00F32793"/>
    <w:rsid w:val="00F32988"/>
    <w:rsid w:val="00F329B7"/>
    <w:rsid w:val="00F32C9D"/>
    <w:rsid w:val="00F32D14"/>
    <w:rsid w:val="00F330B3"/>
    <w:rsid w:val="00F3314E"/>
    <w:rsid w:val="00F33254"/>
    <w:rsid w:val="00F332FD"/>
    <w:rsid w:val="00F333AF"/>
    <w:rsid w:val="00F33672"/>
    <w:rsid w:val="00F336B9"/>
    <w:rsid w:val="00F3389C"/>
    <w:rsid w:val="00F33970"/>
    <w:rsid w:val="00F33BB6"/>
    <w:rsid w:val="00F33D40"/>
    <w:rsid w:val="00F33FCC"/>
    <w:rsid w:val="00F34392"/>
    <w:rsid w:val="00F34401"/>
    <w:rsid w:val="00F34493"/>
    <w:rsid w:val="00F344EF"/>
    <w:rsid w:val="00F34543"/>
    <w:rsid w:val="00F34598"/>
    <w:rsid w:val="00F3465A"/>
    <w:rsid w:val="00F346AE"/>
    <w:rsid w:val="00F348EC"/>
    <w:rsid w:val="00F34905"/>
    <w:rsid w:val="00F34A21"/>
    <w:rsid w:val="00F34CB4"/>
    <w:rsid w:val="00F34D00"/>
    <w:rsid w:val="00F34D01"/>
    <w:rsid w:val="00F34D13"/>
    <w:rsid w:val="00F34EC7"/>
    <w:rsid w:val="00F34F73"/>
    <w:rsid w:val="00F3508D"/>
    <w:rsid w:val="00F3526C"/>
    <w:rsid w:val="00F3526D"/>
    <w:rsid w:val="00F354B2"/>
    <w:rsid w:val="00F35AE8"/>
    <w:rsid w:val="00F35AF3"/>
    <w:rsid w:val="00F35B06"/>
    <w:rsid w:val="00F35B2A"/>
    <w:rsid w:val="00F35CAF"/>
    <w:rsid w:val="00F35E0F"/>
    <w:rsid w:val="00F35E62"/>
    <w:rsid w:val="00F360DB"/>
    <w:rsid w:val="00F36123"/>
    <w:rsid w:val="00F36464"/>
    <w:rsid w:val="00F364C7"/>
    <w:rsid w:val="00F36544"/>
    <w:rsid w:val="00F36939"/>
    <w:rsid w:val="00F369BC"/>
    <w:rsid w:val="00F36C79"/>
    <w:rsid w:val="00F36F0F"/>
    <w:rsid w:val="00F372D8"/>
    <w:rsid w:val="00F373C9"/>
    <w:rsid w:val="00F3741D"/>
    <w:rsid w:val="00F37439"/>
    <w:rsid w:val="00F375D9"/>
    <w:rsid w:val="00F37642"/>
    <w:rsid w:val="00F37AB4"/>
    <w:rsid w:val="00F37B02"/>
    <w:rsid w:val="00F37D45"/>
    <w:rsid w:val="00F40028"/>
    <w:rsid w:val="00F400AA"/>
    <w:rsid w:val="00F40106"/>
    <w:rsid w:val="00F4010C"/>
    <w:rsid w:val="00F40171"/>
    <w:rsid w:val="00F401BB"/>
    <w:rsid w:val="00F40617"/>
    <w:rsid w:val="00F409AC"/>
    <w:rsid w:val="00F409F0"/>
    <w:rsid w:val="00F40BA1"/>
    <w:rsid w:val="00F40BFD"/>
    <w:rsid w:val="00F40C22"/>
    <w:rsid w:val="00F412EE"/>
    <w:rsid w:val="00F41355"/>
    <w:rsid w:val="00F413D9"/>
    <w:rsid w:val="00F41563"/>
    <w:rsid w:val="00F41A18"/>
    <w:rsid w:val="00F41C6A"/>
    <w:rsid w:val="00F41C9D"/>
    <w:rsid w:val="00F41D1C"/>
    <w:rsid w:val="00F41E3A"/>
    <w:rsid w:val="00F41E72"/>
    <w:rsid w:val="00F424B3"/>
    <w:rsid w:val="00F424DB"/>
    <w:rsid w:val="00F424F7"/>
    <w:rsid w:val="00F42508"/>
    <w:rsid w:val="00F42A8A"/>
    <w:rsid w:val="00F42C50"/>
    <w:rsid w:val="00F42CFA"/>
    <w:rsid w:val="00F42E8E"/>
    <w:rsid w:val="00F42F07"/>
    <w:rsid w:val="00F42F33"/>
    <w:rsid w:val="00F42F74"/>
    <w:rsid w:val="00F431A6"/>
    <w:rsid w:val="00F431E7"/>
    <w:rsid w:val="00F43347"/>
    <w:rsid w:val="00F433F1"/>
    <w:rsid w:val="00F43431"/>
    <w:rsid w:val="00F4349F"/>
    <w:rsid w:val="00F43545"/>
    <w:rsid w:val="00F43B98"/>
    <w:rsid w:val="00F43EED"/>
    <w:rsid w:val="00F44074"/>
    <w:rsid w:val="00F44078"/>
    <w:rsid w:val="00F440A3"/>
    <w:rsid w:val="00F441D4"/>
    <w:rsid w:val="00F4435E"/>
    <w:rsid w:val="00F44894"/>
    <w:rsid w:val="00F448FD"/>
    <w:rsid w:val="00F44A6E"/>
    <w:rsid w:val="00F44D64"/>
    <w:rsid w:val="00F44DC5"/>
    <w:rsid w:val="00F44E06"/>
    <w:rsid w:val="00F44E14"/>
    <w:rsid w:val="00F44F2B"/>
    <w:rsid w:val="00F452F3"/>
    <w:rsid w:val="00F453BD"/>
    <w:rsid w:val="00F4543A"/>
    <w:rsid w:val="00F4546E"/>
    <w:rsid w:val="00F45897"/>
    <w:rsid w:val="00F45915"/>
    <w:rsid w:val="00F45920"/>
    <w:rsid w:val="00F45A2E"/>
    <w:rsid w:val="00F45C0B"/>
    <w:rsid w:val="00F45C39"/>
    <w:rsid w:val="00F45C93"/>
    <w:rsid w:val="00F45C94"/>
    <w:rsid w:val="00F45CCC"/>
    <w:rsid w:val="00F45D62"/>
    <w:rsid w:val="00F45ED9"/>
    <w:rsid w:val="00F45F0E"/>
    <w:rsid w:val="00F45F1A"/>
    <w:rsid w:val="00F4602D"/>
    <w:rsid w:val="00F46226"/>
    <w:rsid w:val="00F46290"/>
    <w:rsid w:val="00F4638B"/>
    <w:rsid w:val="00F46672"/>
    <w:rsid w:val="00F46AE2"/>
    <w:rsid w:val="00F46C2F"/>
    <w:rsid w:val="00F46E1B"/>
    <w:rsid w:val="00F4712D"/>
    <w:rsid w:val="00F47372"/>
    <w:rsid w:val="00F47595"/>
    <w:rsid w:val="00F475C1"/>
    <w:rsid w:val="00F47628"/>
    <w:rsid w:val="00F476C3"/>
    <w:rsid w:val="00F477E7"/>
    <w:rsid w:val="00F47890"/>
    <w:rsid w:val="00F478AA"/>
    <w:rsid w:val="00F47DD4"/>
    <w:rsid w:val="00F50383"/>
    <w:rsid w:val="00F503B4"/>
    <w:rsid w:val="00F504E8"/>
    <w:rsid w:val="00F5051C"/>
    <w:rsid w:val="00F50581"/>
    <w:rsid w:val="00F505B0"/>
    <w:rsid w:val="00F50772"/>
    <w:rsid w:val="00F50865"/>
    <w:rsid w:val="00F5092C"/>
    <w:rsid w:val="00F509B9"/>
    <w:rsid w:val="00F50AD7"/>
    <w:rsid w:val="00F50AEB"/>
    <w:rsid w:val="00F50C09"/>
    <w:rsid w:val="00F511CD"/>
    <w:rsid w:val="00F51549"/>
    <w:rsid w:val="00F51682"/>
    <w:rsid w:val="00F51696"/>
    <w:rsid w:val="00F516FB"/>
    <w:rsid w:val="00F51782"/>
    <w:rsid w:val="00F5190C"/>
    <w:rsid w:val="00F51B08"/>
    <w:rsid w:val="00F51BB5"/>
    <w:rsid w:val="00F51E1E"/>
    <w:rsid w:val="00F51E9E"/>
    <w:rsid w:val="00F522D8"/>
    <w:rsid w:val="00F524BC"/>
    <w:rsid w:val="00F525A5"/>
    <w:rsid w:val="00F5262B"/>
    <w:rsid w:val="00F52849"/>
    <w:rsid w:val="00F52A03"/>
    <w:rsid w:val="00F52CEF"/>
    <w:rsid w:val="00F52D84"/>
    <w:rsid w:val="00F52E0F"/>
    <w:rsid w:val="00F52EBF"/>
    <w:rsid w:val="00F52F47"/>
    <w:rsid w:val="00F53451"/>
    <w:rsid w:val="00F534DE"/>
    <w:rsid w:val="00F536E4"/>
    <w:rsid w:val="00F53949"/>
    <w:rsid w:val="00F53CC3"/>
    <w:rsid w:val="00F53EF0"/>
    <w:rsid w:val="00F53F5D"/>
    <w:rsid w:val="00F54023"/>
    <w:rsid w:val="00F5422D"/>
    <w:rsid w:val="00F54297"/>
    <w:rsid w:val="00F5463A"/>
    <w:rsid w:val="00F54801"/>
    <w:rsid w:val="00F54813"/>
    <w:rsid w:val="00F54A39"/>
    <w:rsid w:val="00F54C0C"/>
    <w:rsid w:val="00F54CEA"/>
    <w:rsid w:val="00F54DB7"/>
    <w:rsid w:val="00F54F98"/>
    <w:rsid w:val="00F55258"/>
    <w:rsid w:val="00F5528B"/>
    <w:rsid w:val="00F552BF"/>
    <w:rsid w:val="00F553F9"/>
    <w:rsid w:val="00F555B0"/>
    <w:rsid w:val="00F555EB"/>
    <w:rsid w:val="00F556A2"/>
    <w:rsid w:val="00F556A4"/>
    <w:rsid w:val="00F557B8"/>
    <w:rsid w:val="00F55898"/>
    <w:rsid w:val="00F55960"/>
    <w:rsid w:val="00F559C6"/>
    <w:rsid w:val="00F55D99"/>
    <w:rsid w:val="00F560B4"/>
    <w:rsid w:val="00F562ED"/>
    <w:rsid w:val="00F5630F"/>
    <w:rsid w:val="00F56352"/>
    <w:rsid w:val="00F56387"/>
    <w:rsid w:val="00F563E2"/>
    <w:rsid w:val="00F5644D"/>
    <w:rsid w:val="00F5656F"/>
    <w:rsid w:val="00F56592"/>
    <w:rsid w:val="00F565E3"/>
    <w:rsid w:val="00F56793"/>
    <w:rsid w:val="00F56895"/>
    <w:rsid w:val="00F568CF"/>
    <w:rsid w:val="00F56C10"/>
    <w:rsid w:val="00F56C4A"/>
    <w:rsid w:val="00F56DED"/>
    <w:rsid w:val="00F56FB4"/>
    <w:rsid w:val="00F57029"/>
    <w:rsid w:val="00F570A3"/>
    <w:rsid w:val="00F5721C"/>
    <w:rsid w:val="00F5723D"/>
    <w:rsid w:val="00F57274"/>
    <w:rsid w:val="00F572C9"/>
    <w:rsid w:val="00F57399"/>
    <w:rsid w:val="00F575B3"/>
    <w:rsid w:val="00F57602"/>
    <w:rsid w:val="00F57698"/>
    <w:rsid w:val="00F5775D"/>
    <w:rsid w:val="00F577E0"/>
    <w:rsid w:val="00F57AEA"/>
    <w:rsid w:val="00F6000D"/>
    <w:rsid w:val="00F6006E"/>
    <w:rsid w:val="00F60203"/>
    <w:rsid w:val="00F6031C"/>
    <w:rsid w:val="00F605E2"/>
    <w:rsid w:val="00F60675"/>
    <w:rsid w:val="00F60BC4"/>
    <w:rsid w:val="00F60C20"/>
    <w:rsid w:val="00F60CDB"/>
    <w:rsid w:val="00F60E03"/>
    <w:rsid w:val="00F60E9C"/>
    <w:rsid w:val="00F60F48"/>
    <w:rsid w:val="00F610C2"/>
    <w:rsid w:val="00F611F2"/>
    <w:rsid w:val="00F6144E"/>
    <w:rsid w:val="00F6156D"/>
    <w:rsid w:val="00F61616"/>
    <w:rsid w:val="00F616A7"/>
    <w:rsid w:val="00F618C1"/>
    <w:rsid w:val="00F61AF6"/>
    <w:rsid w:val="00F61D5B"/>
    <w:rsid w:val="00F62016"/>
    <w:rsid w:val="00F620EF"/>
    <w:rsid w:val="00F62315"/>
    <w:rsid w:val="00F625C3"/>
    <w:rsid w:val="00F6265D"/>
    <w:rsid w:val="00F626AA"/>
    <w:rsid w:val="00F626CB"/>
    <w:rsid w:val="00F62CF1"/>
    <w:rsid w:val="00F62D80"/>
    <w:rsid w:val="00F62E10"/>
    <w:rsid w:val="00F6306D"/>
    <w:rsid w:val="00F63356"/>
    <w:rsid w:val="00F6337E"/>
    <w:rsid w:val="00F63453"/>
    <w:rsid w:val="00F63608"/>
    <w:rsid w:val="00F636E2"/>
    <w:rsid w:val="00F63AA8"/>
    <w:rsid w:val="00F63BE5"/>
    <w:rsid w:val="00F63D1D"/>
    <w:rsid w:val="00F63D92"/>
    <w:rsid w:val="00F63E4F"/>
    <w:rsid w:val="00F640CC"/>
    <w:rsid w:val="00F642C7"/>
    <w:rsid w:val="00F64470"/>
    <w:rsid w:val="00F644C8"/>
    <w:rsid w:val="00F6454E"/>
    <w:rsid w:val="00F64950"/>
    <w:rsid w:val="00F64A06"/>
    <w:rsid w:val="00F64A39"/>
    <w:rsid w:val="00F64B07"/>
    <w:rsid w:val="00F64B1F"/>
    <w:rsid w:val="00F64C7E"/>
    <w:rsid w:val="00F64EF2"/>
    <w:rsid w:val="00F652A6"/>
    <w:rsid w:val="00F6542B"/>
    <w:rsid w:val="00F65632"/>
    <w:rsid w:val="00F65790"/>
    <w:rsid w:val="00F65AC5"/>
    <w:rsid w:val="00F65E42"/>
    <w:rsid w:val="00F65EA2"/>
    <w:rsid w:val="00F65FA3"/>
    <w:rsid w:val="00F661FB"/>
    <w:rsid w:val="00F662CB"/>
    <w:rsid w:val="00F6678C"/>
    <w:rsid w:val="00F66920"/>
    <w:rsid w:val="00F6697C"/>
    <w:rsid w:val="00F66999"/>
    <w:rsid w:val="00F66A3F"/>
    <w:rsid w:val="00F66E16"/>
    <w:rsid w:val="00F670C6"/>
    <w:rsid w:val="00F67203"/>
    <w:rsid w:val="00F6758B"/>
    <w:rsid w:val="00F676BF"/>
    <w:rsid w:val="00F67740"/>
    <w:rsid w:val="00F67961"/>
    <w:rsid w:val="00F67A07"/>
    <w:rsid w:val="00F67B78"/>
    <w:rsid w:val="00F67B8B"/>
    <w:rsid w:val="00F67BD0"/>
    <w:rsid w:val="00F67C9C"/>
    <w:rsid w:val="00F67CBB"/>
    <w:rsid w:val="00F67F2C"/>
    <w:rsid w:val="00F70048"/>
    <w:rsid w:val="00F70107"/>
    <w:rsid w:val="00F70143"/>
    <w:rsid w:val="00F7014C"/>
    <w:rsid w:val="00F701B1"/>
    <w:rsid w:val="00F70231"/>
    <w:rsid w:val="00F70307"/>
    <w:rsid w:val="00F7036B"/>
    <w:rsid w:val="00F70406"/>
    <w:rsid w:val="00F7047F"/>
    <w:rsid w:val="00F704F3"/>
    <w:rsid w:val="00F706F8"/>
    <w:rsid w:val="00F70731"/>
    <w:rsid w:val="00F709FF"/>
    <w:rsid w:val="00F70A92"/>
    <w:rsid w:val="00F70AFA"/>
    <w:rsid w:val="00F70BA5"/>
    <w:rsid w:val="00F70BE0"/>
    <w:rsid w:val="00F70CCE"/>
    <w:rsid w:val="00F70D40"/>
    <w:rsid w:val="00F70E5C"/>
    <w:rsid w:val="00F70FD2"/>
    <w:rsid w:val="00F710E5"/>
    <w:rsid w:val="00F714F7"/>
    <w:rsid w:val="00F71594"/>
    <w:rsid w:val="00F7175D"/>
    <w:rsid w:val="00F71788"/>
    <w:rsid w:val="00F71AD1"/>
    <w:rsid w:val="00F71B1A"/>
    <w:rsid w:val="00F71CD1"/>
    <w:rsid w:val="00F71DAD"/>
    <w:rsid w:val="00F71E85"/>
    <w:rsid w:val="00F72029"/>
    <w:rsid w:val="00F72043"/>
    <w:rsid w:val="00F722F0"/>
    <w:rsid w:val="00F724B4"/>
    <w:rsid w:val="00F72675"/>
    <w:rsid w:val="00F72871"/>
    <w:rsid w:val="00F7288D"/>
    <w:rsid w:val="00F72ACB"/>
    <w:rsid w:val="00F72DAE"/>
    <w:rsid w:val="00F72E80"/>
    <w:rsid w:val="00F72ED8"/>
    <w:rsid w:val="00F73350"/>
    <w:rsid w:val="00F733A6"/>
    <w:rsid w:val="00F733C3"/>
    <w:rsid w:val="00F73514"/>
    <w:rsid w:val="00F7373A"/>
    <w:rsid w:val="00F73847"/>
    <w:rsid w:val="00F738BC"/>
    <w:rsid w:val="00F73AEA"/>
    <w:rsid w:val="00F73D3F"/>
    <w:rsid w:val="00F73D7D"/>
    <w:rsid w:val="00F73FD5"/>
    <w:rsid w:val="00F73FFC"/>
    <w:rsid w:val="00F74326"/>
    <w:rsid w:val="00F74486"/>
    <w:rsid w:val="00F74998"/>
    <w:rsid w:val="00F74A7A"/>
    <w:rsid w:val="00F74C4E"/>
    <w:rsid w:val="00F74CC5"/>
    <w:rsid w:val="00F74EC0"/>
    <w:rsid w:val="00F750D8"/>
    <w:rsid w:val="00F75399"/>
    <w:rsid w:val="00F753BE"/>
    <w:rsid w:val="00F75792"/>
    <w:rsid w:val="00F7590B"/>
    <w:rsid w:val="00F75A43"/>
    <w:rsid w:val="00F75F7F"/>
    <w:rsid w:val="00F761B9"/>
    <w:rsid w:val="00F763AA"/>
    <w:rsid w:val="00F763F7"/>
    <w:rsid w:val="00F76560"/>
    <w:rsid w:val="00F76577"/>
    <w:rsid w:val="00F766C5"/>
    <w:rsid w:val="00F767DD"/>
    <w:rsid w:val="00F76C1C"/>
    <w:rsid w:val="00F76CEA"/>
    <w:rsid w:val="00F76DE0"/>
    <w:rsid w:val="00F7719F"/>
    <w:rsid w:val="00F771FC"/>
    <w:rsid w:val="00F772E0"/>
    <w:rsid w:val="00F772F6"/>
    <w:rsid w:val="00F774BF"/>
    <w:rsid w:val="00F77551"/>
    <w:rsid w:val="00F775A1"/>
    <w:rsid w:val="00F7783C"/>
    <w:rsid w:val="00F77957"/>
    <w:rsid w:val="00F77C82"/>
    <w:rsid w:val="00F77CC3"/>
    <w:rsid w:val="00F77CF7"/>
    <w:rsid w:val="00F77F12"/>
    <w:rsid w:val="00F800ED"/>
    <w:rsid w:val="00F80244"/>
    <w:rsid w:val="00F8024F"/>
    <w:rsid w:val="00F80272"/>
    <w:rsid w:val="00F803D2"/>
    <w:rsid w:val="00F80798"/>
    <w:rsid w:val="00F80830"/>
    <w:rsid w:val="00F80A90"/>
    <w:rsid w:val="00F80AE7"/>
    <w:rsid w:val="00F80DA6"/>
    <w:rsid w:val="00F8100A"/>
    <w:rsid w:val="00F811C3"/>
    <w:rsid w:val="00F81653"/>
    <w:rsid w:val="00F81860"/>
    <w:rsid w:val="00F81B4C"/>
    <w:rsid w:val="00F81C00"/>
    <w:rsid w:val="00F81C02"/>
    <w:rsid w:val="00F81D35"/>
    <w:rsid w:val="00F81DB9"/>
    <w:rsid w:val="00F81F96"/>
    <w:rsid w:val="00F820E0"/>
    <w:rsid w:val="00F8213E"/>
    <w:rsid w:val="00F821C1"/>
    <w:rsid w:val="00F82200"/>
    <w:rsid w:val="00F822E8"/>
    <w:rsid w:val="00F8243F"/>
    <w:rsid w:val="00F824A9"/>
    <w:rsid w:val="00F824D8"/>
    <w:rsid w:val="00F82563"/>
    <w:rsid w:val="00F82768"/>
    <w:rsid w:val="00F82998"/>
    <w:rsid w:val="00F82B43"/>
    <w:rsid w:val="00F82C52"/>
    <w:rsid w:val="00F82CC9"/>
    <w:rsid w:val="00F82ECE"/>
    <w:rsid w:val="00F8339A"/>
    <w:rsid w:val="00F83443"/>
    <w:rsid w:val="00F834DA"/>
    <w:rsid w:val="00F8390F"/>
    <w:rsid w:val="00F83AAB"/>
    <w:rsid w:val="00F83AB4"/>
    <w:rsid w:val="00F83B84"/>
    <w:rsid w:val="00F83E2B"/>
    <w:rsid w:val="00F83E2C"/>
    <w:rsid w:val="00F83E97"/>
    <w:rsid w:val="00F841A8"/>
    <w:rsid w:val="00F8459F"/>
    <w:rsid w:val="00F846F4"/>
    <w:rsid w:val="00F84777"/>
    <w:rsid w:val="00F84786"/>
    <w:rsid w:val="00F84CDF"/>
    <w:rsid w:val="00F84D7F"/>
    <w:rsid w:val="00F84D93"/>
    <w:rsid w:val="00F85576"/>
    <w:rsid w:val="00F855C2"/>
    <w:rsid w:val="00F8577D"/>
    <w:rsid w:val="00F85869"/>
    <w:rsid w:val="00F85937"/>
    <w:rsid w:val="00F8595E"/>
    <w:rsid w:val="00F859E7"/>
    <w:rsid w:val="00F85E23"/>
    <w:rsid w:val="00F85EF2"/>
    <w:rsid w:val="00F8636C"/>
    <w:rsid w:val="00F864A8"/>
    <w:rsid w:val="00F864D6"/>
    <w:rsid w:val="00F8655C"/>
    <w:rsid w:val="00F86592"/>
    <w:rsid w:val="00F865B5"/>
    <w:rsid w:val="00F86722"/>
    <w:rsid w:val="00F8695E"/>
    <w:rsid w:val="00F86B1C"/>
    <w:rsid w:val="00F86B3D"/>
    <w:rsid w:val="00F871BB"/>
    <w:rsid w:val="00F8758C"/>
    <w:rsid w:val="00F875B5"/>
    <w:rsid w:val="00F87938"/>
    <w:rsid w:val="00F87C1D"/>
    <w:rsid w:val="00F87C9F"/>
    <w:rsid w:val="00F87D06"/>
    <w:rsid w:val="00F87EB4"/>
    <w:rsid w:val="00F87FA8"/>
    <w:rsid w:val="00F901FB"/>
    <w:rsid w:val="00F90301"/>
    <w:rsid w:val="00F9032F"/>
    <w:rsid w:val="00F9039B"/>
    <w:rsid w:val="00F90474"/>
    <w:rsid w:val="00F90778"/>
    <w:rsid w:val="00F90855"/>
    <w:rsid w:val="00F90AFE"/>
    <w:rsid w:val="00F90C4B"/>
    <w:rsid w:val="00F9101E"/>
    <w:rsid w:val="00F9141E"/>
    <w:rsid w:val="00F915B5"/>
    <w:rsid w:val="00F916B8"/>
    <w:rsid w:val="00F916F9"/>
    <w:rsid w:val="00F91703"/>
    <w:rsid w:val="00F9181F"/>
    <w:rsid w:val="00F91B0F"/>
    <w:rsid w:val="00F91C3F"/>
    <w:rsid w:val="00F91D46"/>
    <w:rsid w:val="00F91DC2"/>
    <w:rsid w:val="00F91E65"/>
    <w:rsid w:val="00F921B2"/>
    <w:rsid w:val="00F923D6"/>
    <w:rsid w:val="00F9240D"/>
    <w:rsid w:val="00F9257F"/>
    <w:rsid w:val="00F929BB"/>
    <w:rsid w:val="00F92A2F"/>
    <w:rsid w:val="00F92A5B"/>
    <w:rsid w:val="00F92B61"/>
    <w:rsid w:val="00F92D72"/>
    <w:rsid w:val="00F92E33"/>
    <w:rsid w:val="00F92F54"/>
    <w:rsid w:val="00F930A9"/>
    <w:rsid w:val="00F93109"/>
    <w:rsid w:val="00F93239"/>
    <w:rsid w:val="00F932E9"/>
    <w:rsid w:val="00F93449"/>
    <w:rsid w:val="00F935EE"/>
    <w:rsid w:val="00F937AA"/>
    <w:rsid w:val="00F93844"/>
    <w:rsid w:val="00F93AF7"/>
    <w:rsid w:val="00F93DF3"/>
    <w:rsid w:val="00F93E70"/>
    <w:rsid w:val="00F93FFC"/>
    <w:rsid w:val="00F940E6"/>
    <w:rsid w:val="00F9413E"/>
    <w:rsid w:val="00F942CE"/>
    <w:rsid w:val="00F943A1"/>
    <w:rsid w:val="00F945EE"/>
    <w:rsid w:val="00F946E0"/>
    <w:rsid w:val="00F94748"/>
    <w:rsid w:val="00F947A6"/>
    <w:rsid w:val="00F94A52"/>
    <w:rsid w:val="00F94B65"/>
    <w:rsid w:val="00F94D02"/>
    <w:rsid w:val="00F94EF2"/>
    <w:rsid w:val="00F94FD0"/>
    <w:rsid w:val="00F950FC"/>
    <w:rsid w:val="00F95351"/>
    <w:rsid w:val="00F9536F"/>
    <w:rsid w:val="00F95B80"/>
    <w:rsid w:val="00F95DF9"/>
    <w:rsid w:val="00F96212"/>
    <w:rsid w:val="00F96229"/>
    <w:rsid w:val="00F96A5C"/>
    <w:rsid w:val="00F96B64"/>
    <w:rsid w:val="00F96D00"/>
    <w:rsid w:val="00F96EB7"/>
    <w:rsid w:val="00F96ED4"/>
    <w:rsid w:val="00F96FAF"/>
    <w:rsid w:val="00F97307"/>
    <w:rsid w:val="00F9743F"/>
    <w:rsid w:val="00F97560"/>
    <w:rsid w:val="00F976EC"/>
    <w:rsid w:val="00F97A24"/>
    <w:rsid w:val="00F97A3E"/>
    <w:rsid w:val="00F97A7A"/>
    <w:rsid w:val="00F97C95"/>
    <w:rsid w:val="00F97CEF"/>
    <w:rsid w:val="00F97E39"/>
    <w:rsid w:val="00FA00DF"/>
    <w:rsid w:val="00FA0619"/>
    <w:rsid w:val="00FA0799"/>
    <w:rsid w:val="00FA087D"/>
    <w:rsid w:val="00FA08AD"/>
    <w:rsid w:val="00FA0A04"/>
    <w:rsid w:val="00FA0C6F"/>
    <w:rsid w:val="00FA0FDA"/>
    <w:rsid w:val="00FA10E4"/>
    <w:rsid w:val="00FA11EF"/>
    <w:rsid w:val="00FA15E2"/>
    <w:rsid w:val="00FA163B"/>
    <w:rsid w:val="00FA16AD"/>
    <w:rsid w:val="00FA16EF"/>
    <w:rsid w:val="00FA188F"/>
    <w:rsid w:val="00FA1CC4"/>
    <w:rsid w:val="00FA2152"/>
    <w:rsid w:val="00FA220F"/>
    <w:rsid w:val="00FA2270"/>
    <w:rsid w:val="00FA22F0"/>
    <w:rsid w:val="00FA241A"/>
    <w:rsid w:val="00FA2582"/>
    <w:rsid w:val="00FA27FC"/>
    <w:rsid w:val="00FA30B2"/>
    <w:rsid w:val="00FA30D5"/>
    <w:rsid w:val="00FA34F9"/>
    <w:rsid w:val="00FA351A"/>
    <w:rsid w:val="00FA35FA"/>
    <w:rsid w:val="00FA3655"/>
    <w:rsid w:val="00FA371E"/>
    <w:rsid w:val="00FA38D9"/>
    <w:rsid w:val="00FA3B58"/>
    <w:rsid w:val="00FA3D1D"/>
    <w:rsid w:val="00FA3D60"/>
    <w:rsid w:val="00FA3DD0"/>
    <w:rsid w:val="00FA3ED6"/>
    <w:rsid w:val="00FA4106"/>
    <w:rsid w:val="00FA4163"/>
    <w:rsid w:val="00FA418F"/>
    <w:rsid w:val="00FA4364"/>
    <w:rsid w:val="00FA482A"/>
    <w:rsid w:val="00FA4869"/>
    <w:rsid w:val="00FA4B15"/>
    <w:rsid w:val="00FA4B45"/>
    <w:rsid w:val="00FA4C30"/>
    <w:rsid w:val="00FA4C3E"/>
    <w:rsid w:val="00FA4DD5"/>
    <w:rsid w:val="00FA4E8B"/>
    <w:rsid w:val="00FA4EC8"/>
    <w:rsid w:val="00FA50C1"/>
    <w:rsid w:val="00FA53A7"/>
    <w:rsid w:val="00FA5548"/>
    <w:rsid w:val="00FA56A9"/>
    <w:rsid w:val="00FA57C0"/>
    <w:rsid w:val="00FA5A07"/>
    <w:rsid w:val="00FA5B22"/>
    <w:rsid w:val="00FA5BDB"/>
    <w:rsid w:val="00FA5CC1"/>
    <w:rsid w:val="00FA614C"/>
    <w:rsid w:val="00FA6392"/>
    <w:rsid w:val="00FA63C1"/>
    <w:rsid w:val="00FA6705"/>
    <w:rsid w:val="00FA675E"/>
    <w:rsid w:val="00FA67D5"/>
    <w:rsid w:val="00FA6845"/>
    <w:rsid w:val="00FA68D8"/>
    <w:rsid w:val="00FA6909"/>
    <w:rsid w:val="00FA6E67"/>
    <w:rsid w:val="00FA6FCF"/>
    <w:rsid w:val="00FA7080"/>
    <w:rsid w:val="00FA7118"/>
    <w:rsid w:val="00FA713F"/>
    <w:rsid w:val="00FA71EE"/>
    <w:rsid w:val="00FA722E"/>
    <w:rsid w:val="00FA74E5"/>
    <w:rsid w:val="00FA7815"/>
    <w:rsid w:val="00FA7865"/>
    <w:rsid w:val="00FA7996"/>
    <w:rsid w:val="00FA79E7"/>
    <w:rsid w:val="00FA7A70"/>
    <w:rsid w:val="00FA7AD6"/>
    <w:rsid w:val="00FA7B82"/>
    <w:rsid w:val="00FA7D96"/>
    <w:rsid w:val="00FB00C7"/>
    <w:rsid w:val="00FB0319"/>
    <w:rsid w:val="00FB0558"/>
    <w:rsid w:val="00FB0AAB"/>
    <w:rsid w:val="00FB0B79"/>
    <w:rsid w:val="00FB0D5F"/>
    <w:rsid w:val="00FB0E79"/>
    <w:rsid w:val="00FB0FAE"/>
    <w:rsid w:val="00FB1057"/>
    <w:rsid w:val="00FB106B"/>
    <w:rsid w:val="00FB1115"/>
    <w:rsid w:val="00FB12E2"/>
    <w:rsid w:val="00FB149E"/>
    <w:rsid w:val="00FB1613"/>
    <w:rsid w:val="00FB191B"/>
    <w:rsid w:val="00FB19BB"/>
    <w:rsid w:val="00FB1D48"/>
    <w:rsid w:val="00FB232E"/>
    <w:rsid w:val="00FB233B"/>
    <w:rsid w:val="00FB2971"/>
    <w:rsid w:val="00FB2BBB"/>
    <w:rsid w:val="00FB2C1B"/>
    <w:rsid w:val="00FB2E62"/>
    <w:rsid w:val="00FB2E8B"/>
    <w:rsid w:val="00FB3019"/>
    <w:rsid w:val="00FB318A"/>
    <w:rsid w:val="00FB3207"/>
    <w:rsid w:val="00FB343A"/>
    <w:rsid w:val="00FB3561"/>
    <w:rsid w:val="00FB36AD"/>
    <w:rsid w:val="00FB36B0"/>
    <w:rsid w:val="00FB3991"/>
    <w:rsid w:val="00FB3A11"/>
    <w:rsid w:val="00FB3B96"/>
    <w:rsid w:val="00FB3D4E"/>
    <w:rsid w:val="00FB4438"/>
    <w:rsid w:val="00FB44F4"/>
    <w:rsid w:val="00FB4506"/>
    <w:rsid w:val="00FB475E"/>
    <w:rsid w:val="00FB4831"/>
    <w:rsid w:val="00FB48E9"/>
    <w:rsid w:val="00FB49BB"/>
    <w:rsid w:val="00FB4A49"/>
    <w:rsid w:val="00FB4B3E"/>
    <w:rsid w:val="00FB4C1E"/>
    <w:rsid w:val="00FB4CCA"/>
    <w:rsid w:val="00FB4E2B"/>
    <w:rsid w:val="00FB514C"/>
    <w:rsid w:val="00FB537E"/>
    <w:rsid w:val="00FB5516"/>
    <w:rsid w:val="00FB55E9"/>
    <w:rsid w:val="00FB58F4"/>
    <w:rsid w:val="00FB5AEB"/>
    <w:rsid w:val="00FB5E25"/>
    <w:rsid w:val="00FB5E48"/>
    <w:rsid w:val="00FB5EC6"/>
    <w:rsid w:val="00FB5FE7"/>
    <w:rsid w:val="00FB600E"/>
    <w:rsid w:val="00FB60E3"/>
    <w:rsid w:val="00FB61BF"/>
    <w:rsid w:val="00FB62E4"/>
    <w:rsid w:val="00FB6486"/>
    <w:rsid w:val="00FB6619"/>
    <w:rsid w:val="00FB6637"/>
    <w:rsid w:val="00FB666D"/>
    <w:rsid w:val="00FB68B6"/>
    <w:rsid w:val="00FB699B"/>
    <w:rsid w:val="00FB6DFA"/>
    <w:rsid w:val="00FB71CF"/>
    <w:rsid w:val="00FB74F4"/>
    <w:rsid w:val="00FB75D0"/>
    <w:rsid w:val="00FB75E7"/>
    <w:rsid w:val="00FB7646"/>
    <w:rsid w:val="00FB7686"/>
    <w:rsid w:val="00FB79A2"/>
    <w:rsid w:val="00FB79D5"/>
    <w:rsid w:val="00FC01B1"/>
    <w:rsid w:val="00FC01C6"/>
    <w:rsid w:val="00FC041B"/>
    <w:rsid w:val="00FC0652"/>
    <w:rsid w:val="00FC0657"/>
    <w:rsid w:val="00FC0960"/>
    <w:rsid w:val="00FC0C5E"/>
    <w:rsid w:val="00FC0C96"/>
    <w:rsid w:val="00FC0E99"/>
    <w:rsid w:val="00FC1438"/>
    <w:rsid w:val="00FC1557"/>
    <w:rsid w:val="00FC15C4"/>
    <w:rsid w:val="00FC18D0"/>
    <w:rsid w:val="00FC19C2"/>
    <w:rsid w:val="00FC1C63"/>
    <w:rsid w:val="00FC22B4"/>
    <w:rsid w:val="00FC23C4"/>
    <w:rsid w:val="00FC23FB"/>
    <w:rsid w:val="00FC2532"/>
    <w:rsid w:val="00FC25FD"/>
    <w:rsid w:val="00FC27B4"/>
    <w:rsid w:val="00FC27DC"/>
    <w:rsid w:val="00FC2A1F"/>
    <w:rsid w:val="00FC2A92"/>
    <w:rsid w:val="00FC2CA8"/>
    <w:rsid w:val="00FC2DDC"/>
    <w:rsid w:val="00FC3002"/>
    <w:rsid w:val="00FC3141"/>
    <w:rsid w:val="00FC31C8"/>
    <w:rsid w:val="00FC37E1"/>
    <w:rsid w:val="00FC3C53"/>
    <w:rsid w:val="00FC3CE5"/>
    <w:rsid w:val="00FC3DB0"/>
    <w:rsid w:val="00FC4191"/>
    <w:rsid w:val="00FC4258"/>
    <w:rsid w:val="00FC4329"/>
    <w:rsid w:val="00FC4523"/>
    <w:rsid w:val="00FC4669"/>
    <w:rsid w:val="00FC46DE"/>
    <w:rsid w:val="00FC487A"/>
    <w:rsid w:val="00FC488B"/>
    <w:rsid w:val="00FC495F"/>
    <w:rsid w:val="00FC4C45"/>
    <w:rsid w:val="00FC4CBA"/>
    <w:rsid w:val="00FC4FD2"/>
    <w:rsid w:val="00FC5120"/>
    <w:rsid w:val="00FC54D3"/>
    <w:rsid w:val="00FC5794"/>
    <w:rsid w:val="00FC582E"/>
    <w:rsid w:val="00FC590E"/>
    <w:rsid w:val="00FC5A29"/>
    <w:rsid w:val="00FC5EBD"/>
    <w:rsid w:val="00FC5EDA"/>
    <w:rsid w:val="00FC6033"/>
    <w:rsid w:val="00FC60A9"/>
    <w:rsid w:val="00FC636A"/>
    <w:rsid w:val="00FC64A2"/>
    <w:rsid w:val="00FC6D1B"/>
    <w:rsid w:val="00FC701E"/>
    <w:rsid w:val="00FC7087"/>
    <w:rsid w:val="00FC7142"/>
    <w:rsid w:val="00FC745F"/>
    <w:rsid w:val="00FC748A"/>
    <w:rsid w:val="00FC7772"/>
    <w:rsid w:val="00FC78D1"/>
    <w:rsid w:val="00FC7987"/>
    <w:rsid w:val="00FC7B00"/>
    <w:rsid w:val="00FC7DB8"/>
    <w:rsid w:val="00FD05C2"/>
    <w:rsid w:val="00FD06D6"/>
    <w:rsid w:val="00FD06FB"/>
    <w:rsid w:val="00FD07A2"/>
    <w:rsid w:val="00FD0962"/>
    <w:rsid w:val="00FD096E"/>
    <w:rsid w:val="00FD09E9"/>
    <w:rsid w:val="00FD0A06"/>
    <w:rsid w:val="00FD0A25"/>
    <w:rsid w:val="00FD0B11"/>
    <w:rsid w:val="00FD0B7C"/>
    <w:rsid w:val="00FD0E01"/>
    <w:rsid w:val="00FD0FF0"/>
    <w:rsid w:val="00FD1535"/>
    <w:rsid w:val="00FD1583"/>
    <w:rsid w:val="00FD16E2"/>
    <w:rsid w:val="00FD16F8"/>
    <w:rsid w:val="00FD1BAA"/>
    <w:rsid w:val="00FD1D58"/>
    <w:rsid w:val="00FD1DEB"/>
    <w:rsid w:val="00FD1F47"/>
    <w:rsid w:val="00FD1FF0"/>
    <w:rsid w:val="00FD1FF1"/>
    <w:rsid w:val="00FD2547"/>
    <w:rsid w:val="00FD2865"/>
    <w:rsid w:val="00FD28BC"/>
    <w:rsid w:val="00FD298B"/>
    <w:rsid w:val="00FD29A5"/>
    <w:rsid w:val="00FD2A42"/>
    <w:rsid w:val="00FD2B03"/>
    <w:rsid w:val="00FD2BDE"/>
    <w:rsid w:val="00FD2CB7"/>
    <w:rsid w:val="00FD2D00"/>
    <w:rsid w:val="00FD2D8C"/>
    <w:rsid w:val="00FD2D94"/>
    <w:rsid w:val="00FD34AB"/>
    <w:rsid w:val="00FD3507"/>
    <w:rsid w:val="00FD39C4"/>
    <w:rsid w:val="00FD39E6"/>
    <w:rsid w:val="00FD3C55"/>
    <w:rsid w:val="00FD3E86"/>
    <w:rsid w:val="00FD3F4B"/>
    <w:rsid w:val="00FD4167"/>
    <w:rsid w:val="00FD4218"/>
    <w:rsid w:val="00FD43D7"/>
    <w:rsid w:val="00FD4A66"/>
    <w:rsid w:val="00FD4D40"/>
    <w:rsid w:val="00FD5235"/>
    <w:rsid w:val="00FD557D"/>
    <w:rsid w:val="00FD55FE"/>
    <w:rsid w:val="00FD5ADB"/>
    <w:rsid w:val="00FD5CC5"/>
    <w:rsid w:val="00FD5DA2"/>
    <w:rsid w:val="00FD5E79"/>
    <w:rsid w:val="00FD5EA5"/>
    <w:rsid w:val="00FD5F0F"/>
    <w:rsid w:val="00FD61A5"/>
    <w:rsid w:val="00FD6212"/>
    <w:rsid w:val="00FD66C0"/>
    <w:rsid w:val="00FD67C1"/>
    <w:rsid w:val="00FD686C"/>
    <w:rsid w:val="00FD68B8"/>
    <w:rsid w:val="00FD6BD4"/>
    <w:rsid w:val="00FD6BFF"/>
    <w:rsid w:val="00FD6CA0"/>
    <w:rsid w:val="00FD6D85"/>
    <w:rsid w:val="00FD6FB9"/>
    <w:rsid w:val="00FD709A"/>
    <w:rsid w:val="00FD724A"/>
    <w:rsid w:val="00FD738C"/>
    <w:rsid w:val="00FD7545"/>
    <w:rsid w:val="00FD7659"/>
    <w:rsid w:val="00FD793E"/>
    <w:rsid w:val="00FD7C13"/>
    <w:rsid w:val="00FD7E54"/>
    <w:rsid w:val="00FD7EB3"/>
    <w:rsid w:val="00FE006F"/>
    <w:rsid w:val="00FE0154"/>
    <w:rsid w:val="00FE01A5"/>
    <w:rsid w:val="00FE0253"/>
    <w:rsid w:val="00FE0274"/>
    <w:rsid w:val="00FE0343"/>
    <w:rsid w:val="00FE0749"/>
    <w:rsid w:val="00FE0760"/>
    <w:rsid w:val="00FE0A25"/>
    <w:rsid w:val="00FE0AEA"/>
    <w:rsid w:val="00FE0D7C"/>
    <w:rsid w:val="00FE0E18"/>
    <w:rsid w:val="00FE12BE"/>
    <w:rsid w:val="00FE150A"/>
    <w:rsid w:val="00FE16AD"/>
    <w:rsid w:val="00FE198D"/>
    <w:rsid w:val="00FE1A8B"/>
    <w:rsid w:val="00FE1A90"/>
    <w:rsid w:val="00FE1ED7"/>
    <w:rsid w:val="00FE1EF7"/>
    <w:rsid w:val="00FE209C"/>
    <w:rsid w:val="00FE242B"/>
    <w:rsid w:val="00FE26EA"/>
    <w:rsid w:val="00FE277C"/>
    <w:rsid w:val="00FE2A07"/>
    <w:rsid w:val="00FE2B3B"/>
    <w:rsid w:val="00FE2B59"/>
    <w:rsid w:val="00FE2EEC"/>
    <w:rsid w:val="00FE2FA5"/>
    <w:rsid w:val="00FE30D8"/>
    <w:rsid w:val="00FE31D6"/>
    <w:rsid w:val="00FE3260"/>
    <w:rsid w:val="00FE34BF"/>
    <w:rsid w:val="00FE3675"/>
    <w:rsid w:val="00FE3A6F"/>
    <w:rsid w:val="00FE3C8D"/>
    <w:rsid w:val="00FE3CD9"/>
    <w:rsid w:val="00FE3F3C"/>
    <w:rsid w:val="00FE404D"/>
    <w:rsid w:val="00FE4158"/>
    <w:rsid w:val="00FE4405"/>
    <w:rsid w:val="00FE44BA"/>
    <w:rsid w:val="00FE454E"/>
    <w:rsid w:val="00FE4802"/>
    <w:rsid w:val="00FE491F"/>
    <w:rsid w:val="00FE4929"/>
    <w:rsid w:val="00FE4B8F"/>
    <w:rsid w:val="00FE4C51"/>
    <w:rsid w:val="00FE4E1D"/>
    <w:rsid w:val="00FE4F0C"/>
    <w:rsid w:val="00FE4F5A"/>
    <w:rsid w:val="00FE5037"/>
    <w:rsid w:val="00FE5180"/>
    <w:rsid w:val="00FE542A"/>
    <w:rsid w:val="00FE553B"/>
    <w:rsid w:val="00FE57B9"/>
    <w:rsid w:val="00FE583C"/>
    <w:rsid w:val="00FE58E5"/>
    <w:rsid w:val="00FE5A81"/>
    <w:rsid w:val="00FE5BCC"/>
    <w:rsid w:val="00FE5F53"/>
    <w:rsid w:val="00FE646E"/>
    <w:rsid w:val="00FE660D"/>
    <w:rsid w:val="00FE6630"/>
    <w:rsid w:val="00FE6EE4"/>
    <w:rsid w:val="00FE709A"/>
    <w:rsid w:val="00FE718D"/>
    <w:rsid w:val="00FE71D9"/>
    <w:rsid w:val="00FE725B"/>
    <w:rsid w:val="00FE72FD"/>
    <w:rsid w:val="00FE735A"/>
    <w:rsid w:val="00FE743B"/>
    <w:rsid w:val="00FE75AC"/>
    <w:rsid w:val="00FE7723"/>
    <w:rsid w:val="00FE7754"/>
    <w:rsid w:val="00FE7819"/>
    <w:rsid w:val="00FE79D9"/>
    <w:rsid w:val="00FE7BD3"/>
    <w:rsid w:val="00FE7F60"/>
    <w:rsid w:val="00FF0046"/>
    <w:rsid w:val="00FF004A"/>
    <w:rsid w:val="00FF0138"/>
    <w:rsid w:val="00FF018E"/>
    <w:rsid w:val="00FF0438"/>
    <w:rsid w:val="00FF05FD"/>
    <w:rsid w:val="00FF0851"/>
    <w:rsid w:val="00FF09AC"/>
    <w:rsid w:val="00FF09C1"/>
    <w:rsid w:val="00FF09EE"/>
    <w:rsid w:val="00FF0A3F"/>
    <w:rsid w:val="00FF0ADF"/>
    <w:rsid w:val="00FF0B74"/>
    <w:rsid w:val="00FF0C9E"/>
    <w:rsid w:val="00FF0E01"/>
    <w:rsid w:val="00FF0E77"/>
    <w:rsid w:val="00FF108A"/>
    <w:rsid w:val="00FF127D"/>
    <w:rsid w:val="00FF1467"/>
    <w:rsid w:val="00FF17B4"/>
    <w:rsid w:val="00FF17DD"/>
    <w:rsid w:val="00FF19F8"/>
    <w:rsid w:val="00FF1BFA"/>
    <w:rsid w:val="00FF1D20"/>
    <w:rsid w:val="00FF1F87"/>
    <w:rsid w:val="00FF2080"/>
    <w:rsid w:val="00FF23EB"/>
    <w:rsid w:val="00FF27F5"/>
    <w:rsid w:val="00FF290D"/>
    <w:rsid w:val="00FF2E2E"/>
    <w:rsid w:val="00FF2F29"/>
    <w:rsid w:val="00FF3132"/>
    <w:rsid w:val="00FF31D3"/>
    <w:rsid w:val="00FF3236"/>
    <w:rsid w:val="00FF337C"/>
    <w:rsid w:val="00FF3847"/>
    <w:rsid w:val="00FF388F"/>
    <w:rsid w:val="00FF3923"/>
    <w:rsid w:val="00FF39DF"/>
    <w:rsid w:val="00FF3A95"/>
    <w:rsid w:val="00FF3C45"/>
    <w:rsid w:val="00FF3F13"/>
    <w:rsid w:val="00FF42AE"/>
    <w:rsid w:val="00FF4807"/>
    <w:rsid w:val="00FF487B"/>
    <w:rsid w:val="00FF4A41"/>
    <w:rsid w:val="00FF4AF8"/>
    <w:rsid w:val="00FF4E1C"/>
    <w:rsid w:val="00FF4E43"/>
    <w:rsid w:val="00FF52C4"/>
    <w:rsid w:val="00FF53B1"/>
    <w:rsid w:val="00FF55EF"/>
    <w:rsid w:val="00FF5866"/>
    <w:rsid w:val="00FF5A4E"/>
    <w:rsid w:val="00FF5BEF"/>
    <w:rsid w:val="00FF5DF2"/>
    <w:rsid w:val="00FF5EC9"/>
    <w:rsid w:val="00FF605A"/>
    <w:rsid w:val="00FF629F"/>
    <w:rsid w:val="00FF64F7"/>
    <w:rsid w:val="00FF651F"/>
    <w:rsid w:val="00FF6667"/>
    <w:rsid w:val="00FF66D4"/>
    <w:rsid w:val="00FF66FB"/>
    <w:rsid w:val="00FF6C06"/>
    <w:rsid w:val="00FF6C39"/>
    <w:rsid w:val="00FF6E49"/>
    <w:rsid w:val="00FF6E55"/>
    <w:rsid w:val="00FF7032"/>
    <w:rsid w:val="00FF70ED"/>
    <w:rsid w:val="00FF7375"/>
    <w:rsid w:val="00FF74FB"/>
    <w:rsid w:val="00FF7707"/>
    <w:rsid w:val="00FF79D8"/>
    <w:rsid w:val="00FF7BC8"/>
    <w:rsid w:val="00FF7C8C"/>
    <w:rsid w:val="00FF7CA8"/>
    <w:rsid w:val="013318B2"/>
    <w:rsid w:val="01464859"/>
    <w:rsid w:val="014E3597"/>
    <w:rsid w:val="0151CF90"/>
    <w:rsid w:val="01617030"/>
    <w:rsid w:val="016202F8"/>
    <w:rsid w:val="01638882"/>
    <w:rsid w:val="0165CF44"/>
    <w:rsid w:val="0172F09A"/>
    <w:rsid w:val="01778508"/>
    <w:rsid w:val="0178643C"/>
    <w:rsid w:val="018020FC"/>
    <w:rsid w:val="01829892"/>
    <w:rsid w:val="0183CCC4"/>
    <w:rsid w:val="0184172E"/>
    <w:rsid w:val="018686B5"/>
    <w:rsid w:val="01890B64"/>
    <w:rsid w:val="01945FB4"/>
    <w:rsid w:val="0197409A"/>
    <w:rsid w:val="019FB860"/>
    <w:rsid w:val="01A16A34"/>
    <w:rsid w:val="01B0A424"/>
    <w:rsid w:val="01B0BC04"/>
    <w:rsid w:val="01B1F023"/>
    <w:rsid w:val="01BC51BF"/>
    <w:rsid w:val="01BC919C"/>
    <w:rsid w:val="01C71E2A"/>
    <w:rsid w:val="01C8F941"/>
    <w:rsid w:val="01D40CCB"/>
    <w:rsid w:val="01DA6E02"/>
    <w:rsid w:val="01E22FC0"/>
    <w:rsid w:val="01EB5A40"/>
    <w:rsid w:val="0203A0FF"/>
    <w:rsid w:val="02173057"/>
    <w:rsid w:val="021F5FC9"/>
    <w:rsid w:val="0236F6D4"/>
    <w:rsid w:val="0242B89A"/>
    <w:rsid w:val="024D31FA"/>
    <w:rsid w:val="02562087"/>
    <w:rsid w:val="02659106"/>
    <w:rsid w:val="027F6AAC"/>
    <w:rsid w:val="027FDA4F"/>
    <w:rsid w:val="02803A14"/>
    <w:rsid w:val="0281299C"/>
    <w:rsid w:val="0294AD09"/>
    <w:rsid w:val="029D6CEA"/>
    <w:rsid w:val="02AE8480"/>
    <w:rsid w:val="02AF69B4"/>
    <w:rsid w:val="02AFAF6A"/>
    <w:rsid w:val="02BEB5D4"/>
    <w:rsid w:val="02C15D9B"/>
    <w:rsid w:val="02C183A2"/>
    <w:rsid w:val="02C1E47D"/>
    <w:rsid w:val="02D3FDCD"/>
    <w:rsid w:val="02D79680"/>
    <w:rsid w:val="02D9059F"/>
    <w:rsid w:val="02DB9828"/>
    <w:rsid w:val="02E07BC1"/>
    <w:rsid w:val="02EB63F5"/>
    <w:rsid w:val="02F15DBC"/>
    <w:rsid w:val="02F1F979"/>
    <w:rsid w:val="02F5496A"/>
    <w:rsid w:val="02F78B91"/>
    <w:rsid w:val="02F94790"/>
    <w:rsid w:val="030A153F"/>
    <w:rsid w:val="030AB4E7"/>
    <w:rsid w:val="031B3CBE"/>
    <w:rsid w:val="03241395"/>
    <w:rsid w:val="032E806F"/>
    <w:rsid w:val="03360C3F"/>
    <w:rsid w:val="0349E43C"/>
    <w:rsid w:val="034B2EC7"/>
    <w:rsid w:val="034FEC4A"/>
    <w:rsid w:val="03529552"/>
    <w:rsid w:val="03542519"/>
    <w:rsid w:val="035C9AC0"/>
    <w:rsid w:val="035E4893"/>
    <w:rsid w:val="03757902"/>
    <w:rsid w:val="037D8EBC"/>
    <w:rsid w:val="038B779D"/>
    <w:rsid w:val="03B917E1"/>
    <w:rsid w:val="03BD7E62"/>
    <w:rsid w:val="03C4E200"/>
    <w:rsid w:val="03E1698B"/>
    <w:rsid w:val="03E95981"/>
    <w:rsid w:val="03F28A71"/>
    <w:rsid w:val="03F41523"/>
    <w:rsid w:val="03F52392"/>
    <w:rsid w:val="0408E30C"/>
    <w:rsid w:val="040AD287"/>
    <w:rsid w:val="040D0FC1"/>
    <w:rsid w:val="0414FA53"/>
    <w:rsid w:val="042D77C6"/>
    <w:rsid w:val="04307751"/>
    <w:rsid w:val="04381730"/>
    <w:rsid w:val="043B2A91"/>
    <w:rsid w:val="043BAD29"/>
    <w:rsid w:val="043F6621"/>
    <w:rsid w:val="04454D32"/>
    <w:rsid w:val="044F3ECC"/>
    <w:rsid w:val="0451166C"/>
    <w:rsid w:val="045DE69A"/>
    <w:rsid w:val="046A3BD4"/>
    <w:rsid w:val="04753A22"/>
    <w:rsid w:val="0478D657"/>
    <w:rsid w:val="0486E021"/>
    <w:rsid w:val="04880E67"/>
    <w:rsid w:val="048DF075"/>
    <w:rsid w:val="04A94B5B"/>
    <w:rsid w:val="04AD9B95"/>
    <w:rsid w:val="04B637EB"/>
    <w:rsid w:val="04B940F6"/>
    <w:rsid w:val="04BCA2EC"/>
    <w:rsid w:val="04C72C9B"/>
    <w:rsid w:val="04C78E79"/>
    <w:rsid w:val="04CE9354"/>
    <w:rsid w:val="04CFFCC4"/>
    <w:rsid w:val="04D47170"/>
    <w:rsid w:val="04D90EEB"/>
    <w:rsid w:val="04E11BB6"/>
    <w:rsid w:val="04E1CCA1"/>
    <w:rsid w:val="04E50620"/>
    <w:rsid w:val="04EC8445"/>
    <w:rsid w:val="04ED1383"/>
    <w:rsid w:val="04F677A7"/>
    <w:rsid w:val="04F82387"/>
    <w:rsid w:val="04FD173C"/>
    <w:rsid w:val="0501AFAD"/>
    <w:rsid w:val="0503FF1B"/>
    <w:rsid w:val="05055525"/>
    <w:rsid w:val="050E4C8E"/>
    <w:rsid w:val="0519767D"/>
    <w:rsid w:val="0523E089"/>
    <w:rsid w:val="052652A2"/>
    <w:rsid w:val="052B98F6"/>
    <w:rsid w:val="0531ECD5"/>
    <w:rsid w:val="0532C475"/>
    <w:rsid w:val="0535042A"/>
    <w:rsid w:val="05366FB1"/>
    <w:rsid w:val="05424320"/>
    <w:rsid w:val="05464B54"/>
    <w:rsid w:val="05483C93"/>
    <w:rsid w:val="0549950C"/>
    <w:rsid w:val="05499F0F"/>
    <w:rsid w:val="054E4959"/>
    <w:rsid w:val="05547724"/>
    <w:rsid w:val="055E936A"/>
    <w:rsid w:val="056B5354"/>
    <w:rsid w:val="056B8DCA"/>
    <w:rsid w:val="056C9BEC"/>
    <w:rsid w:val="05704EB6"/>
    <w:rsid w:val="05749CEA"/>
    <w:rsid w:val="0578E6A5"/>
    <w:rsid w:val="0585C8C7"/>
    <w:rsid w:val="058AADAA"/>
    <w:rsid w:val="058C922D"/>
    <w:rsid w:val="059337DD"/>
    <w:rsid w:val="05943713"/>
    <w:rsid w:val="059C9FA4"/>
    <w:rsid w:val="05ABD964"/>
    <w:rsid w:val="05AED50A"/>
    <w:rsid w:val="05B662BF"/>
    <w:rsid w:val="05B89390"/>
    <w:rsid w:val="05DA1947"/>
    <w:rsid w:val="05DDACD0"/>
    <w:rsid w:val="05DE9B21"/>
    <w:rsid w:val="05DFD0FB"/>
    <w:rsid w:val="05DFD2DF"/>
    <w:rsid w:val="05E4BD91"/>
    <w:rsid w:val="05F0C059"/>
    <w:rsid w:val="05F28E08"/>
    <w:rsid w:val="05F48F62"/>
    <w:rsid w:val="05FA5A30"/>
    <w:rsid w:val="05FFE195"/>
    <w:rsid w:val="06193F15"/>
    <w:rsid w:val="061F3549"/>
    <w:rsid w:val="062A05BF"/>
    <w:rsid w:val="06333E74"/>
    <w:rsid w:val="06350A50"/>
    <w:rsid w:val="06397495"/>
    <w:rsid w:val="0639F7C5"/>
    <w:rsid w:val="06580634"/>
    <w:rsid w:val="065EFE33"/>
    <w:rsid w:val="0661FAAF"/>
    <w:rsid w:val="06690F32"/>
    <w:rsid w:val="0680B935"/>
    <w:rsid w:val="06890562"/>
    <w:rsid w:val="06932FDC"/>
    <w:rsid w:val="0693B24D"/>
    <w:rsid w:val="0694A629"/>
    <w:rsid w:val="06998D37"/>
    <w:rsid w:val="06C7D6B4"/>
    <w:rsid w:val="06C82A4E"/>
    <w:rsid w:val="06CE0EF4"/>
    <w:rsid w:val="06CEDC06"/>
    <w:rsid w:val="06D17874"/>
    <w:rsid w:val="06DAFEFA"/>
    <w:rsid w:val="06EC67EC"/>
    <w:rsid w:val="06F16C7F"/>
    <w:rsid w:val="06F86B47"/>
    <w:rsid w:val="06FFAD2B"/>
    <w:rsid w:val="0703177D"/>
    <w:rsid w:val="07075E2B"/>
    <w:rsid w:val="070928B9"/>
    <w:rsid w:val="07092A0C"/>
    <w:rsid w:val="07194BD1"/>
    <w:rsid w:val="0728B26A"/>
    <w:rsid w:val="07334F6D"/>
    <w:rsid w:val="07409349"/>
    <w:rsid w:val="074FA89C"/>
    <w:rsid w:val="07579B0B"/>
    <w:rsid w:val="0757DB4E"/>
    <w:rsid w:val="0758E692"/>
    <w:rsid w:val="07597404"/>
    <w:rsid w:val="075E734B"/>
    <w:rsid w:val="07625F72"/>
    <w:rsid w:val="07700612"/>
    <w:rsid w:val="07720F6E"/>
    <w:rsid w:val="077468C0"/>
    <w:rsid w:val="077A0367"/>
    <w:rsid w:val="077AA4B5"/>
    <w:rsid w:val="077C1D59"/>
    <w:rsid w:val="077DABFD"/>
    <w:rsid w:val="07873F05"/>
    <w:rsid w:val="078A5486"/>
    <w:rsid w:val="079ABBA7"/>
    <w:rsid w:val="079EB601"/>
    <w:rsid w:val="07A304B2"/>
    <w:rsid w:val="07A74BA7"/>
    <w:rsid w:val="07B07AAB"/>
    <w:rsid w:val="07BA9FA0"/>
    <w:rsid w:val="07BE8891"/>
    <w:rsid w:val="07BFCDF4"/>
    <w:rsid w:val="07C3622E"/>
    <w:rsid w:val="07C3EE76"/>
    <w:rsid w:val="07C405A0"/>
    <w:rsid w:val="07C53CFD"/>
    <w:rsid w:val="07E5A0BE"/>
    <w:rsid w:val="07F8AF87"/>
    <w:rsid w:val="07FCFE2C"/>
    <w:rsid w:val="0800B1D2"/>
    <w:rsid w:val="08063416"/>
    <w:rsid w:val="080D54D4"/>
    <w:rsid w:val="081D057B"/>
    <w:rsid w:val="08278723"/>
    <w:rsid w:val="083EA5C7"/>
    <w:rsid w:val="0856EF12"/>
    <w:rsid w:val="085834C8"/>
    <w:rsid w:val="085A6D90"/>
    <w:rsid w:val="086725BE"/>
    <w:rsid w:val="086D691E"/>
    <w:rsid w:val="086DB249"/>
    <w:rsid w:val="086EE958"/>
    <w:rsid w:val="087452A4"/>
    <w:rsid w:val="08775F53"/>
    <w:rsid w:val="088ADD72"/>
    <w:rsid w:val="0895D30A"/>
    <w:rsid w:val="08AE9790"/>
    <w:rsid w:val="08B28AA1"/>
    <w:rsid w:val="08B2A922"/>
    <w:rsid w:val="08D113E3"/>
    <w:rsid w:val="08DBE6DF"/>
    <w:rsid w:val="08DF8560"/>
    <w:rsid w:val="08DF95D0"/>
    <w:rsid w:val="08E2122A"/>
    <w:rsid w:val="08EE84C6"/>
    <w:rsid w:val="08F15468"/>
    <w:rsid w:val="0914B49D"/>
    <w:rsid w:val="09157F09"/>
    <w:rsid w:val="091B6155"/>
    <w:rsid w:val="091BF4C0"/>
    <w:rsid w:val="091E6AC0"/>
    <w:rsid w:val="0922BDB9"/>
    <w:rsid w:val="0928906D"/>
    <w:rsid w:val="0930551B"/>
    <w:rsid w:val="093220E6"/>
    <w:rsid w:val="0938E3E5"/>
    <w:rsid w:val="093B649A"/>
    <w:rsid w:val="093D63D3"/>
    <w:rsid w:val="0946788E"/>
    <w:rsid w:val="094952B9"/>
    <w:rsid w:val="094A0122"/>
    <w:rsid w:val="094B9117"/>
    <w:rsid w:val="09551097"/>
    <w:rsid w:val="09559724"/>
    <w:rsid w:val="095B18E5"/>
    <w:rsid w:val="096131F7"/>
    <w:rsid w:val="09670D47"/>
    <w:rsid w:val="096E0CE7"/>
    <w:rsid w:val="0971BFE6"/>
    <w:rsid w:val="0974C96E"/>
    <w:rsid w:val="0976A782"/>
    <w:rsid w:val="098BD5A2"/>
    <w:rsid w:val="098FB601"/>
    <w:rsid w:val="09971ECB"/>
    <w:rsid w:val="09A79A8E"/>
    <w:rsid w:val="09A83A45"/>
    <w:rsid w:val="09A902BA"/>
    <w:rsid w:val="09B4F8D8"/>
    <w:rsid w:val="09BF8906"/>
    <w:rsid w:val="09C63D4A"/>
    <w:rsid w:val="09D3F7DB"/>
    <w:rsid w:val="09D42598"/>
    <w:rsid w:val="09D98D5C"/>
    <w:rsid w:val="09DD141E"/>
    <w:rsid w:val="09E492DD"/>
    <w:rsid w:val="09FB31BA"/>
    <w:rsid w:val="0A139357"/>
    <w:rsid w:val="0A155953"/>
    <w:rsid w:val="0A170FDD"/>
    <w:rsid w:val="0A45E49A"/>
    <w:rsid w:val="0A469054"/>
    <w:rsid w:val="0A4C9C7F"/>
    <w:rsid w:val="0A514846"/>
    <w:rsid w:val="0A52BADD"/>
    <w:rsid w:val="0A547736"/>
    <w:rsid w:val="0A55FCA1"/>
    <w:rsid w:val="0A68C013"/>
    <w:rsid w:val="0A6D8943"/>
    <w:rsid w:val="0A7D6075"/>
    <w:rsid w:val="0A7EDEAD"/>
    <w:rsid w:val="0A8B076A"/>
    <w:rsid w:val="0A9508AA"/>
    <w:rsid w:val="0A97DB10"/>
    <w:rsid w:val="0AA238A6"/>
    <w:rsid w:val="0AA2F8E0"/>
    <w:rsid w:val="0AA49598"/>
    <w:rsid w:val="0AA78D11"/>
    <w:rsid w:val="0AAA104F"/>
    <w:rsid w:val="0AAB859C"/>
    <w:rsid w:val="0AB36E77"/>
    <w:rsid w:val="0AB51433"/>
    <w:rsid w:val="0ABD3832"/>
    <w:rsid w:val="0ABFD968"/>
    <w:rsid w:val="0ACD2D01"/>
    <w:rsid w:val="0AD3B768"/>
    <w:rsid w:val="0AE338A6"/>
    <w:rsid w:val="0AEA639C"/>
    <w:rsid w:val="0AF0E12D"/>
    <w:rsid w:val="0AF4C784"/>
    <w:rsid w:val="0B07BA7D"/>
    <w:rsid w:val="0B10005A"/>
    <w:rsid w:val="0B18018F"/>
    <w:rsid w:val="0B1C84E5"/>
    <w:rsid w:val="0B3645DF"/>
    <w:rsid w:val="0B36D01C"/>
    <w:rsid w:val="0B396751"/>
    <w:rsid w:val="0B39B76F"/>
    <w:rsid w:val="0B3B3E13"/>
    <w:rsid w:val="0B3D45B0"/>
    <w:rsid w:val="0B43A226"/>
    <w:rsid w:val="0B4C7A29"/>
    <w:rsid w:val="0B550698"/>
    <w:rsid w:val="0B56EB8F"/>
    <w:rsid w:val="0B596B9A"/>
    <w:rsid w:val="0B67A558"/>
    <w:rsid w:val="0B6ABE76"/>
    <w:rsid w:val="0B6DF80A"/>
    <w:rsid w:val="0B6EDF39"/>
    <w:rsid w:val="0B8691C2"/>
    <w:rsid w:val="0B888E4C"/>
    <w:rsid w:val="0B88F929"/>
    <w:rsid w:val="0B89FED9"/>
    <w:rsid w:val="0B8E24BD"/>
    <w:rsid w:val="0B90B207"/>
    <w:rsid w:val="0B9A7E42"/>
    <w:rsid w:val="0BA1A684"/>
    <w:rsid w:val="0BA75792"/>
    <w:rsid w:val="0BAB5DD6"/>
    <w:rsid w:val="0BB0E77E"/>
    <w:rsid w:val="0BBDA33A"/>
    <w:rsid w:val="0BC2B9F4"/>
    <w:rsid w:val="0BC6E871"/>
    <w:rsid w:val="0BCC7A38"/>
    <w:rsid w:val="0BCF96D2"/>
    <w:rsid w:val="0BE1D482"/>
    <w:rsid w:val="0BE6A978"/>
    <w:rsid w:val="0BF434A7"/>
    <w:rsid w:val="0BF4B846"/>
    <w:rsid w:val="0BF7C0D0"/>
    <w:rsid w:val="0BFD6F85"/>
    <w:rsid w:val="0BFF6192"/>
    <w:rsid w:val="0C099BBA"/>
    <w:rsid w:val="0C0B5660"/>
    <w:rsid w:val="0C0C3A0F"/>
    <w:rsid w:val="0C0D10C5"/>
    <w:rsid w:val="0C15EF74"/>
    <w:rsid w:val="0C17D5EB"/>
    <w:rsid w:val="0C2693E7"/>
    <w:rsid w:val="0C361A91"/>
    <w:rsid w:val="0C429E4D"/>
    <w:rsid w:val="0C455B81"/>
    <w:rsid w:val="0C4BC84B"/>
    <w:rsid w:val="0C4F727C"/>
    <w:rsid w:val="0C53E49E"/>
    <w:rsid w:val="0C54E0B1"/>
    <w:rsid w:val="0C5C52E7"/>
    <w:rsid w:val="0C6D5EBF"/>
    <w:rsid w:val="0C6E26A6"/>
    <w:rsid w:val="0C7227AE"/>
    <w:rsid w:val="0C770CD8"/>
    <w:rsid w:val="0C810DAD"/>
    <w:rsid w:val="0C84E27B"/>
    <w:rsid w:val="0C8A0475"/>
    <w:rsid w:val="0C8AB883"/>
    <w:rsid w:val="0C8F97AD"/>
    <w:rsid w:val="0C95DFEC"/>
    <w:rsid w:val="0C96101C"/>
    <w:rsid w:val="0C9DC66C"/>
    <w:rsid w:val="0C9FBC1C"/>
    <w:rsid w:val="0CA199DC"/>
    <w:rsid w:val="0CAA2D78"/>
    <w:rsid w:val="0CAE636E"/>
    <w:rsid w:val="0CB2C05D"/>
    <w:rsid w:val="0CB42EE1"/>
    <w:rsid w:val="0CB8661D"/>
    <w:rsid w:val="0CC520BE"/>
    <w:rsid w:val="0CCA6884"/>
    <w:rsid w:val="0CCAB6B5"/>
    <w:rsid w:val="0CD2E3FC"/>
    <w:rsid w:val="0CDC14D9"/>
    <w:rsid w:val="0CE3B7AE"/>
    <w:rsid w:val="0CE568F3"/>
    <w:rsid w:val="0CE67F6D"/>
    <w:rsid w:val="0CEC49EA"/>
    <w:rsid w:val="0CEEBE3B"/>
    <w:rsid w:val="0CF40C2F"/>
    <w:rsid w:val="0CF549C4"/>
    <w:rsid w:val="0CFB67E0"/>
    <w:rsid w:val="0D006ED1"/>
    <w:rsid w:val="0D01B149"/>
    <w:rsid w:val="0D044BDC"/>
    <w:rsid w:val="0D07553F"/>
    <w:rsid w:val="0D0A5B37"/>
    <w:rsid w:val="0D0B7625"/>
    <w:rsid w:val="0D305578"/>
    <w:rsid w:val="0D415E78"/>
    <w:rsid w:val="0D4BFA00"/>
    <w:rsid w:val="0D51BDE1"/>
    <w:rsid w:val="0D5BEF9A"/>
    <w:rsid w:val="0D60CA34"/>
    <w:rsid w:val="0D6ED50F"/>
    <w:rsid w:val="0D7FFEEC"/>
    <w:rsid w:val="0D8E8571"/>
    <w:rsid w:val="0D9158BB"/>
    <w:rsid w:val="0DA726C1"/>
    <w:rsid w:val="0DAE972D"/>
    <w:rsid w:val="0DB1AE0B"/>
    <w:rsid w:val="0DBCBBEC"/>
    <w:rsid w:val="0DC644CD"/>
    <w:rsid w:val="0DC71C2E"/>
    <w:rsid w:val="0DCB4811"/>
    <w:rsid w:val="0DE074AB"/>
    <w:rsid w:val="0DEC6FCB"/>
    <w:rsid w:val="0DFF1A16"/>
    <w:rsid w:val="0E10AE2C"/>
    <w:rsid w:val="0E12DE18"/>
    <w:rsid w:val="0E162CCB"/>
    <w:rsid w:val="0E1D6CB0"/>
    <w:rsid w:val="0E2C002D"/>
    <w:rsid w:val="0E2E414C"/>
    <w:rsid w:val="0E393024"/>
    <w:rsid w:val="0E41D97A"/>
    <w:rsid w:val="0E425637"/>
    <w:rsid w:val="0E42B10F"/>
    <w:rsid w:val="0E433346"/>
    <w:rsid w:val="0E460C5D"/>
    <w:rsid w:val="0E48AFB1"/>
    <w:rsid w:val="0E55CFA5"/>
    <w:rsid w:val="0E6591DE"/>
    <w:rsid w:val="0E66ADF2"/>
    <w:rsid w:val="0E66D99E"/>
    <w:rsid w:val="0E6A6493"/>
    <w:rsid w:val="0E6D0FE3"/>
    <w:rsid w:val="0E7535FD"/>
    <w:rsid w:val="0E894C3B"/>
    <w:rsid w:val="0E8CA165"/>
    <w:rsid w:val="0E9F9F07"/>
    <w:rsid w:val="0EA4F46E"/>
    <w:rsid w:val="0EA98F80"/>
    <w:rsid w:val="0EB77CE0"/>
    <w:rsid w:val="0EC7DA76"/>
    <w:rsid w:val="0ECB665B"/>
    <w:rsid w:val="0ED224C4"/>
    <w:rsid w:val="0ED3AAAE"/>
    <w:rsid w:val="0ED3EB05"/>
    <w:rsid w:val="0ED459C9"/>
    <w:rsid w:val="0EE0DDA4"/>
    <w:rsid w:val="0EE6C4B8"/>
    <w:rsid w:val="0EE89A6A"/>
    <w:rsid w:val="0EFEAA53"/>
    <w:rsid w:val="0F008E14"/>
    <w:rsid w:val="0F0150E2"/>
    <w:rsid w:val="0F01CD85"/>
    <w:rsid w:val="0F041AFA"/>
    <w:rsid w:val="0F068DD1"/>
    <w:rsid w:val="0F090837"/>
    <w:rsid w:val="0F0E1650"/>
    <w:rsid w:val="0F0EA0C7"/>
    <w:rsid w:val="0F125FF3"/>
    <w:rsid w:val="0F1683CB"/>
    <w:rsid w:val="0F16F4F5"/>
    <w:rsid w:val="0F1A6C4E"/>
    <w:rsid w:val="0F1F4B04"/>
    <w:rsid w:val="0F20A768"/>
    <w:rsid w:val="0F210005"/>
    <w:rsid w:val="0F23CE16"/>
    <w:rsid w:val="0F2B7EDB"/>
    <w:rsid w:val="0F303F3E"/>
    <w:rsid w:val="0F329761"/>
    <w:rsid w:val="0F380554"/>
    <w:rsid w:val="0F408FE2"/>
    <w:rsid w:val="0F51D61A"/>
    <w:rsid w:val="0F55398D"/>
    <w:rsid w:val="0F5EECCD"/>
    <w:rsid w:val="0F5F6BA3"/>
    <w:rsid w:val="0F61DFD8"/>
    <w:rsid w:val="0F656538"/>
    <w:rsid w:val="0F78FE6D"/>
    <w:rsid w:val="0F80031B"/>
    <w:rsid w:val="0F80DECF"/>
    <w:rsid w:val="0F837A5A"/>
    <w:rsid w:val="0F88709D"/>
    <w:rsid w:val="0F97D6F0"/>
    <w:rsid w:val="0FB6380D"/>
    <w:rsid w:val="0FB6A6CC"/>
    <w:rsid w:val="0FBC2404"/>
    <w:rsid w:val="0FC32230"/>
    <w:rsid w:val="0FC43262"/>
    <w:rsid w:val="0FCCF9DA"/>
    <w:rsid w:val="0FD12B33"/>
    <w:rsid w:val="0FD17560"/>
    <w:rsid w:val="0FD36140"/>
    <w:rsid w:val="0FD490A5"/>
    <w:rsid w:val="0FD9E903"/>
    <w:rsid w:val="0FE18E9D"/>
    <w:rsid w:val="0FEFECCB"/>
    <w:rsid w:val="0FF344BC"/>
    <w:rsid w:val="0FF4D1E1"/>
    <w:rsid w:val="0FF7B504"/>
    <w:rsid w:val="0FFAD42D"/>
    <w:rsid w:val="10015087"/>
    <w:rsid w:val="10092420"/>
    <w:rsid w:val="100AB4F8"/>
    <w:rsid w:val="100B8A33"/>
    <w:rsid w:val="100C66FB"/>
    <w:rsid w:val="100F1AFD"/>
    <w:rsid w:val="1011065E"/>
    <w:rsid w:val="1026E62F"/>
    <w:rsid w:val="10295B96"/>
    <w:rsid w:val="102A65FE"/>
    <w:rsid w:val="1032B75C"/>
    <w:rsid w:val="103643E6"/>
    <w:rsid w:val="1037E52E"/>
    <w:rsid w:val="103A2F7C"/>
    <w:rsid w:val="103BC8C6"/>
    <w:rsid w:val="1045F8E3"/>
    <w:rsid w:val="104A72EC"/>
    <w:rsid w:val="104B60F9"/>
    <w:rsid w:val="105AD46E"/>
    <w:rsid w:val="105ADC36"/>
    <w:rsid w:val="1060A4C3"/>
    <w:rsid w:val="1066948A"/>
    <w:rsid w:val="1066AAFA"/>
    <w:rsid w:val="10683566"/>
    <w:rsid w:val="1069E74A"/>
    <w:rsid w:val="1075B24C"/>
    <w:rsid w:val="1077987B"/>
    <w:rsid w:val="107C04DB"/>
    <w:rsid w:val="107E4909"/>
    <w:rsid w:val="10846B6C"/>
    <w:rsid w:val="108F733E"/>
    <w:rsid w:val="10970C1F"/>
    <w:rsid w:val="1099E05A"/>
    <w:rsid w:val="109B9839"/>
    <w:rsid w:val="10B42A98"/>
    <w:rsid w:val="10BCFE60"/>
    <w:rsid w:val="10BF2CBC"/>
    <w:rsid w:val="10C2D077"/>
    <w:rsid w:val="10D4A749"/>
    <w:rsid w:val="10E07CD5"/>
    <w:rsid w:val="10E43535"/>
    <w:rsid w:val="10EE2A23"/>
    <w:rsid w:val="10FC431C"/>
    <w:rsid w:val="1104D4E4"/>
    <w:rsid w:val="1119AD99"/>
    <w:rsid w:val="111FB24F"/>
    <w:rsid w:val="11249EE7"/>
    <w:rsid w:val="1138C566"/>
    <w:rsid w:val="11547ED0"/>
    <w:rsid w:val="116303D6"/>
    <w:rsid w:val="116B9258"/>
    <w:rsid w:val="116DA72D"/>
    <w:rsid w:val="11702F0A"/>
    <w:rsid w:val="117081DE"/>
    <w:rsid w:val="117D4982"/>
    <w:rsid w:val="11805C70"/>
    <w:rsid w:val="11808D9E"/>
    <w:rsid w:val="118C0037"/>
    <w:rsid w:val="11943F59"/>
    <w:rsid w:val="119E88C3"/>
    <w:rsid w:val="11A0A0AE"/>
    <w:rsid w:val="11ADD4E6"/>
    <w:rsid w:val="11B5A147"/>
    <w:rsid w:val="11BB4718"/>
    <w:rsid w:val="11C2FF67"/>
    <w:rsid w:val="11C72F89"/>
    <w:rsid w:val="11C98A11"/>
    <w:rsid w:val="11CC87FD"/>
    <w:rsid w:val="11CEA61C"/>
    <w:rsid w:val="11CF6794"/>
    <w:rsid w:val="11D030D2"/>
    <w:rsid w:val="11D8B905"/>
    <w:rsid w:val="11ED3FCA"/>
    <w:rsid w:val="11F89E4A"/>
    <w:rsid w:val="120771A2"/>
    <w:rsid w:val="1209DDDD"/>
    <w:rsid w:val="120CAE18"/>
    <w:rsid w:val="121B84FE"/>
    <w:rsid w:val="1220404A"/>
    <w:rsid w:val="122334F2"/>
    <w:rsid w:val="12299D53"/>
    <w:rsid w:val="12360DC4"/>
    <w:rsid w:val="1256DD1B"/>
    <w:rsid w:val="125BBCCD"/>
    <w:rsid w:val="125C4665"/>
    <w:rsid w:val="12696A80"/>
    <w:rsid w:val="127A99D0"/>
    <w:rsid w:val="1287E6CA"/>
    <w:rsid w:val="12880614"/>
    <w:rsid w:val="12882DD4"/>
    <w:rsid w:val="1288F26C"/>
    <w:rsid w:val="12961252"/>
    <w:rsid w:val="129FAED8"/>
    <w:rsid w:val="12B31883"/>
    <w:rsid w:val="12BCDA88"/>
    <w:rsid w:val="12C5FE10"/>
    <w:rsid w:val="12CB7C9D"/>
    <w:rsid w:val="12CE5F8F"/>
    <w:rsid w:val="12D5FAF5"/>
    <w:rsid w:val="12E85C58"/>
    <w:rsid w:val="12F733F9"/>
    <w:rsid w:val="12F83500"/>
    <w:rsid w:val="12FA0BC6"/>
    <w:rsid w:val="12FD933B"/>
    <w:rsid w:val="130DF907"/>
    <w:rsid w:val="13164CE2"/>
    <w:rsid w:val="1316911A"/>
    <w:rsid w:val="131F9D6E"/>
    <w:rsid w:val="1321B1F6"/>
    <w:rsid w:val="1325E1CF"/>
    <w:rsid w:val="132BBE0A"/>
    <w:rsid w:val="132F44AE"/>
    <w:rsid w:val="1330B580"/>
    <w:rsid w:val="1331F365"/>
    <w:rsid w:val="1333D316"/>
    <w:rsid w:val="133502BF"/>
    <w:rsid w:val="133CA9A1"/>
    <w:rsid w:val="13406BD9"/>
    <w:rsid w:val="1348B60A"/>
    <w:rsid w:val="134CC9D6"/>
    <w:rsid w:val="13537235"/>
    <w:rsid w:val="1358380F"/>
    <w:rsid w:val="1359C783"/>
    <w:rsid w:val="135A52C5"/>
    <w:rsid w:val="135DD7F7"/>
    <w:rsid w:val="13675B01"/>
    <w:rsid w:val="138DA72B"/>
    <w:rsid w:val="13968B9F"/>
    <w:rsid w:val="139E1C73"/>
    <w:rsid w:val="13A25FF6"/>
    <w:rsid w:val="13B34DEF"/>
    <w:rsid w:val="13BD5E31"/>
    <w:rsid w:val="13BE977F"/>
    <w:rsid w:val="13C0E5A5"/>
    <w:rsid w:val="13C96B3D"/>
    <w:rsid w:val="13E8A365"/>
    <w:rsid w:val="13E911C3"/>
    <w:rsid w:val="14267ED5"/>
    <w:rsid w:val="142A3FAC"/>
    <w:rsid w:val="142BBC73"/>
    <w:rsid w:val="142E0391"/>
    <w:rsid w:val="142F968B"/>
    <w:rsid w:val="1434189F"/>
    <w:rsid w:val="14354CDE"/>
    <w:rsid w:val="14400087"/>
    <w:rsid w:val="1448206E"/>
    <w:rsid w:val="1448404C"/>
    <w:rsid w:val="144E214D"/>
    <w:rsid w:val="145DF06A"/>
    <w:rsid w:val="14615626"/>
    <w:rsid w:val="14678717"/>
    <w:rsid w:val="14684F0B"/>
    <w:rsid w:val="146AB7B2"/>
    <w:rsid w:val="146D9375"/>
    <w:rsid w:val="146E391C"/>
    <w:rsid w:val="14770EF4"/>
    <w:rsid w:val="14777380"/>
    <w:rsid w:val="1482ED17"/>
    <w:rsid w:val="1482FDF1"/>
    <w:rsid w:val="1485FD5D"/>
    <w:rsid w:val="148F1DBB"/>
    <w:rsid w:val="148F7697"/>
    <w:rsid w:val="149644AB"/>
    <w:rsid w:val="149A7089"/>
    <w:rsid w:val="14A0BACA"/>
    <w:rsid w:val="14A2EF23"/>
    <w:rsid w:val="14AE8932"/>
    <w:rsid w:val="14B38BF0"/>
    <w:rsid w:val="14BA11C5"/>
    <w:rsid w:val="14BD8150"/>
    <w:rsid w:val="14BE567F"/>
    <w:rsid w:val="14C9D9A9"/>
    <w:rsid w:val="14CADC62"/>
    <w:rsid w:val="14DFAC99"/>
    <w:rsid w:val="14E3202E"/>
    <w:rsid w:val="14E47E71"/>
    <w:rsid w:val="14EEDA28"/>
    <w:rsid w:val="14EF5C83"/>
    <w:rsid w:val="14F026A2"/>
    <w:rsid w:val="14F0E579"/>
    <w:rsid w:val="150C9DD7"/>
    <w:rsid w:val="150CA243"/>
    <w:rsid w:val="15114F58"/>
    <w:rsid w:val="151FAC0B"/>
    <w:rsid w:val="1528B1FF"/>
    <w:rsid w:val="152CD883"/>
    <w:rsid w:val="15325F11"/>
    <w:rsid w:val="1538E58C"/>
    <w:rsid w:val="15404B92"/>
    <w:rsid w:val="15471D0B"/>
    <w:rsid w:val="154B6495"/>
    <w:rsid w:val="15567CA1"/>
    <w:rsid w:val="1558B969"/>
    <w:rsid w:val="155AA305"/>
    <w:rsid w:val="155D2D14"/>
    <w:rsid w:val="15628A1B"/>
    <w:rsid w:val="1577B660"/>
    <w:rsid w:val="1585254F"/>
    <w:rsid w:val="158A0280"/>
    <w:rsid w:val="1590A6ED"/>
    <w:rsid w:val="159BD07D"/>
    <w:rsid w:val="15A27B00"/>
    <w:rsid w:val="15A4794F"/>
    <w:rsid w:val="15A756C3"/>
    <w:rsid w:val="15AE395F"/>
    <w:rsid w:val="15AF23CC"/>
    <w:rsid w:val="15AF60D5"/>
    <w:rsid w:val="15B0161C"/>
    <w:rsid w:val="15B75CEA"/>
    <w:rsid w:val="15C4E464"/>
    <w:rsid w:val="15CF249B"/>
    <w:rsid w:val="15D087FA"/>
    <w:rsid w:val="15E97BAB"/>
    <w:rsid w:val="15EB49E2"/>
    <w:rsid w:val="15F2AC04"/>
    <w:rsid w:val="15F390BF"/>
    <w:rsid w:val="15FA731D"/>
    <w:rsid w:val="160D4250"/>
    <w:rsid w:val="161708DD"/>
    <w:rsid w:val="161A663A"/>
    <w:rsid w:val="162A8CC8"/>
    <w:rsid w:val="162CD73B"/>
    <w:rsid w:val="162FE425"/>
    <w:rsid w:val="1641B024"/>
    <w:rsid w:val="164A0F18"/>
    <w:rsid w:val="164E7046"/>
    <w:rsid w:val="1654B3C1"/>
    <w:rsid w:val="16668045"/>
    <w:rsid w:val="166BE2B6"/>
    <w:rsid w:val="1671B2D3"/>
    <w:rsid w:val="167B9E36"/>
    <w:rsid w:val="168BFA4C"/>
    <w:rsid w:val="16926966"/>
    <w:rsid w:val="169480EA"/>
    <w:rsid w:val="1694A8F2"/>
    <w:rsid w:val="16956A32"/>
    <w:rsid w:val="1695E44E"/>
    <w:rsid w:val="16996258"/>
    <w:rsid w:val="16A2DF86"/>
    <w:rsid w:val="16A72C66"/>
    <w:rsid w:val="16AA3191"/>
    <w:rsid w:val="16AE1612"/>
    <w:rsid w:val="16AEB4B3"/>
    <w:rsid w:val="16AF0CE8"/>
    <w:rsid w:val="16B24C01"/>
    <w:rsid w:val="16BB43BE"/>
    <w:rsid w:val="16BFD434"/>
    <w:rsid w:val="16C8756D"/>
    <w:rsid w:val="16CDD637"/>
    <w:rsid w:val="16D1B153"/>
    <w:rsid w:val="16D2227B"/>
    <w:rsid w:val="16D58F32"/>
    <w:rsid w:val="16E0DA46"/>
    <w:rsid w:val="16E223BB"/>
    <w:rsid w:val="16EAEEF9"/>
    <w:rsid w:val="16EE6881"/>
    <w:rsid w:val="16FE25D2"/>
    <w:rsid w:val="17008D70"/>
    <w:rsid w:val="17038A61"/>
    <w:rsid w:val="1708CD3B"/>
    <w:rsid w:val="1709693C"/>
    <w:rsid w:val="17226B8F"/>
    <w:rsid w:val="17332B03"/>
    <w:rsid w:val="1746851E"/>
    <w:rsid w:val="17489636"/>
    <w:rsid w:val="17489DF2"/>
    <w:rsid w:val="174CC7F4"/>
    <w:rsid w:val="175342D1"/>
    <w:rsid w:val="175E73A3"/>
    <w:rsid w:val="1766D37E"/>
    <w:rsid w:val="176BC983"/>
    <w:rsid w:val="177A8E09"/>
    <w:rsid w:val="178287FF"/>
    <w:rsid w:val="1783EF0C"/>
    <w:rsid w:val="1784BFFD"/>
    <w:rsid w:val="17887D04"/>
    <w:rsid w:val="1788C723"/>
    <w:rsid w:val="17946EB3"/>
    <w:rsid w:val="1795F347"/>
    <w:rsid w:val="1796518C"/>
    <w:rsid w:val="179D3ECB"/>
    <w:rsid w:val="179DEE5B"/>
    <w:rsid w:val="17A8D4CE"/>
    <w:rsid w:val="17BDF918"/>
    <w:rsid w:val="17D6C41E"/>
    <w:rsid w:val="17DC44D1"/>
    <w:rsid w:val="17DD7304"/>
    <w:rsid w:val="17DEBD30"/>
    <w:rsid w:val="17E13C37"/>
    <w:rsid w:val="17E8C94F"/>
    <w:rsid w:val="17E99363"/>
    <w:rsid w:val="17EE6EA0"/>
    <w:rsid w:val="17F08422"/>
    <w:rsid w:val="180307A5"/>
    <w:rsid w:val="18066B2D"/>
    <w:rsid w:val="180D7F6A"/>
    <w:rsid w:val="181A0AED"/>
    <w:rsid w:val="182E19C8"/>
    <w:rsid w:val="18308803"/>
    <w:rsid w:val="1830A006"/>
    <w:rsid w:val="18323E36"/>
    <w:rsid w:val="183248D1"/>
    <w:rsid w:val="183998D2"/>
    <w:rsid w:val="1843242D"/>
    <w:rsid w:val="18438EBF"/>
    <w:rsid w:val="1846DAD9"/>
    <w:rsid w:val="184F26A3"/>
    <w:rsid w:val="1853A189"/>
    <w:rsid w:val="18575CB1"/>
    <w:rsid w:val="185D9D70"/>
    <w:rsid w:val="186970F8"/>
    <w:rsid w:val="186A4B0C"/>
    <w:rsid w:val="186C5837"/>
    <w:rsid w:val="186CD237"/>
    <w:rsid w:val="186CD88F"/>
    <w:rsid w:val="186FDF8C"/>
    <w:rsid w:val="187D5C2A"/>
    <w:rsid w:val="188113A0"/>
    <w:rsid w:val="18831856"/>
    <w:rsid w:val="1887F142"/>
    <w:rsid w:val="188CF505"/>
    <w:rsid w:val="1891D4E3"/>
    <w:rsid w:val="18987ACA"/>
    <w:rsid w:val="189A91B7"/>
    <w:rsid w:val="189D9569"/>
    <w:rsid w:val="18A233AE"/>
    <w:rsid w:val="18A597A7"/>
    <w:rsid w:val="18B60866"/>
    <w:rsid w:val="18BCE58E"/>
    <w:rsid w:val="18CB0E93"/>
    <w:rsid w:val="18D125DD"/>
    <w:rsid w:val="18D6BB03"/>
    <w:rsid w:val="18D86E50"/>
    <w:rsid w:val="18D8F0AC"/>
    <w:rsid w:val="18DB058E"/>
    <w:rsid w:val="18E216E9"/>
    <w:rsid w:val="18E27F02"/>
    <w:rsid w:val="18E8AF25"/>
    <w:rsid w:val="18EF0249"/>
    <w:rsid w:val="18F3FBF9"/>
    <w:rsid w:val="18F50DE2"/>
    <w:rsid w:val="18F8EE32"/>
    <w:rsid w:val="1902B1E2"/>
    <w:rsid w:val="191218F4"/>
    <w:rsid w:val="19176D7E"/>
    <w:rsid w:val="19182EB4"/>
    <w:rsid w:val="191C83D8"/>
    <w:rsid w:val="192DFFD1"/>
    <w:rsid w:val="192FEC42"/>
    <w:rsid w:val="19321471"/>
    <w:rsid w:val="194D7DE8"/>
    <w:rsid w:val="195BFFF5"/>
    <w:rsid w:val="19642C30"/>
    <w:rsid w:val="19677116"/>
    <w:rsid w:val="1968A5B5"/>
    <w:rsid w:val="1969C921"/>
    <w:rsid w:val="196BBBC9"/>
    <w:rsid w:val="196D0BEF"/>
    <w:rsid w:val="1970EAA7"/>
    <w:rsid w:val="197184D7"/>
    <w:rsid w:val="1987FC95"/>
    <w:rsid w:val="19A0EC29"/>
    <w:rsid w:val="19AD6A13"/>
    <w:rsid w:val="19B56B53"/>
    <w:rsid w:val="19BBEB2F"/>
    <w:rsid w:val="19C338B7"/>
    <w:rsid w:val="19CD96FA"/>
    <w:rsid w:val="19CEF334"/>
    <w:rsid w:val="19D2258D"/>
    <w:rsid w:val="1A0AC84B"/>
    <w:rsid w:val="1A0E535B"/>
    <w:rsid w:val="1A188174"/>
    <w:rsid w:val="1A202230"/>
    <w:rsid w:val="1A2730C8"/>
    <w:rsid w:val="1A3AE633"/>
    <w:rsid w:val="1A3AE70A"/>
    <w:rsid w:val="1A3B4578"/>
    <w:rsid w:val="1A5009FD"/>
    <w:rsid w:val="1A522187"/>
    <w:rsid w:val="1A53272D"/>
    <w:rsid w:val="1A555389"/>
    <w:rsid w:val="1A5EA52E"/>
    <w:rsid w:val="1A6020C2"/>
    <w:rsid w:val="1A64F657"/>
    <w:rsid w:val="1A68791E"/>
    <w:rsid w:val="1A6FCD82"/>
    <w:rsid w:val="1A762A07"/>
    <w:rsid w:val="1A7A015A"/>
    <w:rsid w:val="1A850BEF"/>
    <w:rsid w:val="1A8C891F"/>
    <w:rsid w:val="1A91FE6A"/>
    <w:rsid w:val="1A956E51"/>
    <w:rsid w:val="1AAF1B43"/>
    <w:rsid w:val="1ABDDFBC"/>
    <w:rsid w:val="1AC3103F"/>
    <w:rsid w:val="1AC42DD0"/>
    <w:rsid w:val="1AD13C25"/>
    <w:rsid w:val="1AD8A6BB"/>
    <w:rsid w:val="1AD9B83C"/>
    <w:rsid w:val="1ADA7D30"/>
    <w:rsid w:val="1AE179F7"/>
    <w:rsid w:val="1AE6AD43"/>
    <w:rsid w:val="1AE988D1"/>
    <w:rsid w:val="1AEC4A6B"/>
    <w:rsid w:val="1AF6DB21"/>
    <w:rsid w:val="1B054A2E"/>
    <w:rsid w:val="1B20CA2B"/>
    <w:rsid w:val="1B382C82"/>
    <w:rsid w:val="1B3C22AA"/>
    <w:rsid w:val="1B401D8E"/>
    <w:rsid w:val="1B40D1EA"/>
    <w:rsid w:val="1B587BC1"/>
    <w:rsid w:val="1B5A5C3D"/>
    <w:rsid w:val="1B5CA281"/>
    <w:rsid w:val="1B7CC313"/>
    <w:rsid w:val="1B846B8B"/>
    <w:rsid w:val="1B875AB9"/>
    <w:rsid w:val="1B8CACA1"/>
    <w:rsid w:val="1B8F2312"/>
    <w:rsid w:val="1B919B5A"/>
    <w:rsid w:val="1BB159CB"/>
    <w:rsid w:val="1BB29AFC"/>
    <w:rsid w:val="1BC5330E"/>
    <w:rsid w:val="1BC7F534"/>
    <w:rsid w:val="1BCA3145"/>
    <w:rsid w:val="1BDA9FB3"/>
    <w:rsid w:val="1BF7BE34"/>
    <w:rsid w:val="1C0227D3"/>
    <w:rsid w:val="1C0343DA"/>
    <w:rsid w:val="1C166E77"/>
    <w:rsid w:val="1C16A09B"/>
    <w:rsid w:val="1C19EA84"/>
    <w:rsid w:val="1C2A0497"/>
    <w:rsid w:val="1C33B2D7"/>
    <w:rsid w:val="1C353AC1"/>
    <w:rsid w:val="1C38D9DC"/>
    <w:rsid w:val="1C41F079"/>
    <w:rsid w:val="1C4715F1"/>
    <w:rsid w:val="1C4BC75D"/>
    <w:rsid w:val="1C50EEEF"/>
    <w:rsid w:val="1C5EDAD4"/>
    <w:rsid w:val="1C623C31"/>
    <w:rsid w:val="1C653362"/>
    <w:rsid w:val="1C781F2E"/>
    <w:rsid w:val="1C80C4FF"/>
    <w:rsid w:val="1C8A1CB8"/>
    <w:rsid w:val="1C8BC664"/>
    <w:rsid w:val="1C8C5566"/>
    <w:rsid w:val="1C8DAA59"/>
    <w:rsid w:val="1C965618"/>
    <w:rsid w:val="1C9A6D6D"/>
    <w:rsid w:val="1CA031D5"/>
    <w:rsid w:val="1CA8E3CF"/>
    <w:rsid w:val="1CB0BCAB"/>
    <w:rsid w:val="1CC39824"/>
    <w:rsid w:val="1CC4BACD"/>
    <w:rsid w:val="1CC5FC55"/>
    <w:rsid w:val="1CC91968"/>
    <w:rsid w:val="1CCB98BA"/>
    <w:rsid w:val="1CCDE84B"/>
    <w:rsid w:val="1CD11E08"/>
    <w:rsid w:val="1CD5999A"/>
    <w:rsid w:val="1CD6EBEB"/>
    <w:rsid w:val="1CD9925C"/>
    <w:rsid w:val="1CDCFF46"/>
    <w:rsid w:val="1CE1FFB9"/>
    <w:rsid w:val="1CE54BC7"/>
    <w:rsid w:val="1CEC7F35"/>
    <w:rsid w:val="1D119D07"/>
    <w:rsid w:val="1D144C1B"/>
    <w:rsid w:val="1D179B32"/>
    <w:rsid w:val="1D1C1B88"/>
    <w:rsid w:val="1D1D025F"/>
    <w:rsid w:val="1D1DC710"/>
    <w:rsid w:val="1D2373CB"/>
    <w:rsid w:val="1D2D06B9"/>
    <w:rsid w:val="1D2D2250"/>
    <w:rsid w:val="1D380228"/>
    <w:rsid w:val="1D3CDF76"/>
    <w:rsid w:val="1D412F4C"/>
    <w:rsid w:val="1D4A9039"/>
    <w:rsid w:val="1D4BC7E6"/>
    <w:rsid w:val="1D521BAF"/>
    <w:rsid w:val="1D582AE4"/>
    <w:rsid w:val="1D5D45F9"/>
    <w:rsid w:val="1D6E6E36"/>
    <w:rsid w:val="1D725303"/>
    <w:rsid w:val="1D72871D"/>
    <w:rsid w:val="1D800079"/>
    <w:rsid w:val="1D85FBFB"/>
    <w:rsid w:val="1D923F0E"/>
    <w:rsid w:val="1D9699A6"/>
    <w:rsid w:val="1D971EA3"/>
    <w:rsid w:val="1D99CC0E"/>
    <w:rsid w:val="1D9A0F55"/>
    <w:rsid w:val="1DB82907"/>
    <w:rsid w:val="1DBF4FDD"/>
    <w:rsid w:val="1DC289FE"/>
    <w:rsid w:val="1DD07FC6"/>
    <w:rsid w:val="1DE28013"/>
    <w:rsid w:val="1DF465D5"/>
    <w:rsid w:val="1DF8EB15"/>
    <w:rsid w:val="1E0D6BCA"/>
    <w:rsid w:val="1E107E0A"/>
    <w:rsid w:val="1E13C6DF"/>
    <w:rsid w:val="1E1CE491"/>
    <w:rsid w:val="1E227F69"/>
    <w:rsid w:val="1E2937E5"/>
    <w:rsid w:val="1E39DE4E"/>
    <w:rsid w:val="1E42BF40"/>
    <w:rsid w:val="1E4C34B7"/>
    <w:rsid w:val="1E4E9692"/>
    <w:rsid w:val="1E5A17CD"/>
    <w:rsid w:val="1E658F55"/>
    <w:rsid w:val="1E678AAF"/>
    <w:rsid w:val="1E7CCA25"/>
    <w:rsid w:val="1E82C3B0"/>
    <w:rsid w:val="1E8A62DB"/>
    <w:rsid w:val="1E92D0E3"/>
    <w:rsid w:val="1EA1C5C5"/>
    <w:rsid w:val="1EAD41F4"/>
    <w:rsid w:val="1EB52771"/>
    <w:rsid w:val="1EB973E8"/>
    <w:rsid w:val="1EC4C786"/>
    <w:rsid w:val="1ED4826E"/>
    <w:rsid w:val="1EDC244B"/>
    <w:rsid w:val="1EEA546A"/>
    <w:rsid w:val="1EEFFB44"/>
    <w:rsid w:val="1EF3F357"/>
    <w:rsid w:val="1F023DC5"/>
    <w:rsid w:val="1F0705C9"/>
    <w:rsid w:val="1F09E391"/>
    <w:rsid w:val="1F0ADF13"/>
    <w:rsid w:val="1F121553"/>
    <w:rsid w:val="1F196150"/>
    <w:rsid w:val="1F1B6873"/>
    <w:rsid w:val="1F226BFB"/>
    <w:rsid w:val="1F246D7F"/>
    <w:rsid w:val="1F259F0B"/>
    <w:rsid w:val="1F266133"/>
    <w:rsid w:val="1F3BF46D"/>
    <w:rsid w:val="1F3C99E0"/>
    <w:rsid w:val="1F60FC2F"/>
    <w:rsid w:val="1F642ACA"/>
    <w:rsid w:val="1F693648"/>
    <w:rsid w:val="1F6DC7AA"/>
    <w:rsid w:val="1F72556B"/>
    <w:rsid w:val="1F735B5C"/>
    <w:rsid w:val="1F763D8B"/>
    <w:rsid w:val="1F76B703"/>
    <w:rsid w:val="1F8BF178"/>
    <w:rsid w:val="1F9C6CEC"/>
    <w:rsid w:val="1FAEA314"/>
    <w:rsid w:val="1FC04294"/>
    <w:rsid w:val="1FDA00E7"/>
    <w:rsid w:val="1FDB2FD5"/>
    <w:rsid w:val="1FE09D2B"/>
    <w:rsid w:val="1FE396A7"/>
    <w:rsid w:val="1FF2103F"/>
    <w:rsid w:val="1FF42B2E"/>
    <w:rsid w:val="1FFB7124"/>
    <w:rsid w:val="200AD3DF"/>
    <w:rsid w:val="200D55C0"/>
    <w:rsid w:val="20108EB6"/>
    <w:rsid w:val="20137B96"/>
    <w:rsid w:val="201411EE"/>
    <w:rsid w:val="2016B614"/>
    <w:rsid w:val="20187C66"/>
    <w:rsid w:val="20231729"/>
    <w:rsid w:val="2032EC33"/>
    <w:rsid w:val="2038BF04"/>
    <w:rsid w:val="2040FDD4"/>
    <w:rsid w:val="204AAC7E"/>
    <w:rsid w:val="204D7346"/>
    <w:rsid w:val="205301D6"/>
    <w:rsid w:val="205350FD"/>
    <w:rsid w:val="205752F3"/>
    <w:rsid w:val="20577E2E"/>
    <w:rsid w:val="2058049C"/>
    <w:rsid w:val="2063D4E3"/>
    <w:rsid w:val="207366C2"/>
    <w:rsid w:val="20756AC0"/>
    <w:rsid w:val="20819ED0"/>
    <w:rsid w:val="2081F840"/>
    <w:rsid w:val="208608F7"/>
    <w:rsid w:val="208B88B7"/>
    <w:rsid w:val="20948996"/>
    <w:rsid w:val="2095E5E0"/>
    <w:rsid w:val="209CFE6F"/>
    <w:rsid w:val="209EEB2C"/>
    <w:rsid w:val="20A5CC37"/>
    <w:rsid w:val="20B2607A"/>
    <w:rsid w:val="20C4539E"/>
    <w:rsid w:val="20C777FC"/>
    <w:rsid w:val="20C973BB"/>
    <w:rsid w:val="20CDE043"/>
    <w:rsid w:val="20DC7D97"/>
    <w:rsid w:val="20DDDAEB"/>
    <w:rsid w:val="20F14006"/>
    <w:rsid w:val="2112AF1C"/>
    <w:rsid w:val="211440FD"/>
    <w:rsid w:val="211C65D2"/>
    <w:rsid w:val="212847B0"/>
    <w:rsid w:val="212A8FB8"/>
    <w:rsid w:val="212E2973"/>
    <w:rsid w:val="212F0059"/>
    <w:rsid w:val="213726E8"/>
    <w:rsid w:val="2142C53C"/>
    <w:rsid w:val="2142C9C9"/>
    <w:rsid w:val="21470F8E"/>
    <w:rsid w:val="2156E7CC"/>
    <w:rsid w:val="21573B39"/>
    <w:rsid w:val="215D4000"/>
    <w:rsid w:val="21611B34"/>
    <w:rsid w:val="21713D40"/>
    <w:rsid w:val="217A4B1B"/>
    <w:rsid w:val="217AA49C"/>
    <w:rsid w:val="217D1016"/>
    <w:rsid w:val="218A5594"/>
    <w:rsid w:val="219D3DDE"/>
    <w:rsid w:val="21B75219"/>
    <w:rsid w:val="21B7957C"/>
    <w:rsid w:val="21B8A026"/>
    <w:rsid w:val="21C6ACC7"/>
    <w:rsid w:val="21D0AB42"/>
    <w:rsid w:val="21D23900"/>
    <w:rsid w:val="21E21BE1"/>
    <w:rsid w:val="21E40EFE"/>
    <w:rsid w:val="21E789C8"/>
    <w:rsid w:val="21E97035"/>
    <w:rsid w:val="21EB5414"/>
    <w:rsid w:val="21F0B0FA"/>
    <w:rsid w:val="21F296EA"/>
    <w:rsid w:val="21F3B176"/>
    <w:rsid w:val="21F842B6"/>
    <w:rsid w:val="21F9BA2B"/>
    <w:rsid w:val="22001324"/>
    <w:rsid w:val="220C895C"/>
    <w:rsid w:val="220D61BD"/>
    <w:rsid w:val="221493DF"/>
    <w:rsid w:val="2219F92E"/>
    <w:rsid w:val="22205D10"/>
    <w:rsid w:val="223059F7"/>
    <w:rsid w:val="2237A35A"/>
    <w:rsid w:val="223D1C4B"/>
    <w:rsid w:val="2247C5A3"/>
    <w:rsid w:val="224B5199"/>
    <w:rsid w:val="225BE8F4"/>
    <w:rsid w:val="226185D8"/>
    <w:rsid w:val="2263FFAF"/>
    <w:rsid w:val="2264D194"/>
    <w:rsid w:val="2266A76C"/>
    <w:rsid w:val="22713888"/>
    <w:rsid w:val="2273C705"/>
    <w:rsid w:val="2274AC37"/>
    <w:rsid w:val="227CBD82"/>
    <w:rsid w:val="22841139"/>
    <w:rsid w:val="228F6134"/>
    <w:rsid w:val="229204AB"/>
    <w:rsid w:val="2294C9B5"/>
    <w:rsid w:val="229A4B24"/>
    <w:rsid w:val="229B7BF4"/>
    <w:rsid w:val="229F6D3C"/>
    <w:rsid w:val="22A0B2E1"/>
    <w:rsid w:val="22A8F0E8"/>
    <w:rsid w:val="22AC9021"/>
    <w:rsid w:val="22B2B6F7"/>
    <w:rsid w:val="22BA4CA5"/>
    <w:rsid w:val="22C5C938"/>
    <w:rsid w:val="22C66752"/>
    <w:rsid w:val="22CB6F28"/>
    <w:rsid w:val="22D20C51"/>
    <w:rsid w:val="22D8FC69"/>
    <w:rsid w:val="22DC624F"/>
    <w:rsid w:val="22DCCD5C"/>
    <w:rsid w:val="22DE4669"/>
    <w:rsid w:val="22E3FDBA"/>
    <w:rsid w:val="22F2C05E"/>
    <w:rsid w:val="22F3EC2B"/>
    <w:rsid w:val="2301A16C"/>
    <w:rsid w:val="2303A1C0"/>
    <w:rsid w:val="2313BE22"/>
    <w:rsid w:val="231868AE"/>
    <w:rsid w:val="231B0B25"/>
    <w:rsid w:val="231C9270"/>
    <w:rsid w:val="2321A423"/>
    <w:rsid w:val="23301E90"/>
    <w:rsid w:val="23356AC2"/>
    <w:rsid w:val="23378BCC"/>
    <w:rsid w:val="234018C8"/>
    <w:rsid w:val="2343F1F0"/>
    <w:rsid w:val="234497AF"/>
    <w:rsid w:val="234899E5"/>
    <w:rsid w:val="23547F34"/>
    <w:rsid w:val="235578BF"/>
    <w:rsid w:val="23572B46"/>
    <w:rsid w:val="237088CD"/>
    <w:rsid w:val="237CBD4F"/>
    <w:rsid w:val="237F2804"/>
    <w:rsid w:val="237F617A"/>
    <w:rsid w:val="23997229"/>
    <w:rsid w:val="239C84A7"/>
    <w:rsid w:val="23A2AD58"/>
    <w:rsid w:val="23A5CC75"/>
    <w:rsid w:val="23AEB3AA"/>
    <w:rsid w:val="23B1C3E9"/>
    <w:rsid w:val="23B301FB"/>
    <w:rsid w:val="23C8DB6B"/>
    <w:rsid w:val="23D52DED"/>
    <w:rsid w:val="23D70D9B"/>
    <w:rsid w:val="23DBC55B"/>
    <w:rsid w:val="23DC1141"/>
    <w:rsid w:val="23E0AE2F"/>
    <w:rsid w:val="23E8DA25"/>
    <w:rsid w:val="23F7F3C6"/>
    <w:rsid w:val="23FB0B97"/>
    <w:rsid w:val="23FD7D52"/>
    <w:rsid w:val="24083F2E"/>
    <w:rsid w:val="24120B98"/>
    <w:rsid w:val="2415C853"/>
    <w:rsid w:val="2422F32A"/>
    <w:rsid w:val="24280AF4"/>
    <w:rsid w:val="242A93D0"/>
    <w:rsid w:val="2430E238"/>
    <w:rsid w:val="2438C10D"/>
    <w:rsid w:val="2454498E"/>
    <w:rsid w:val="245FD6A7"/>
    <w:rsid w:val="24667558"/>
    <w:rsid w:val="246AC8BB"/>
    <w:rsid w:val="246AE13D"/>
    <w:rsid w:val="246E6C85"/>
    <w:rsid w:val="247EF42C"/>
    <w:rsid w:val="248DFC68"/>
    <w:rsid w:val="249B75C5"/>
    <w:rsid w:val="249BB9A1"/>
    <w:rsid w:val="24ABED3B"/>
    <w:rsid w:val="24B25240"/>
    <w:rsid w:val="24B9117E"/>
    <w:rsid w:val="24C6A2C0"/>
    <w:rsid w:val="24C91D77"/>
    <w:rsid w:val="24D31E8C"/>
    <w:rsid w:val="24D31EC5"/>
    <w:rsid w:val="24D8F45F"/>
    <w:rsid w:val="24DEEBA4"/>
    <w:rsid w:val="24E7822B"/>
    <w:rsid w:val="24F31BAF"/>
    <w:rsid w:val="24F529CB"/>
    <w:rsid w:val="24F6EFA9"/>
    <w:rsid w:val="24FC9344"/>
    <w:rsid w:val="25018918"/>
    <w:rsid w:val="2502E6E1"/>
    <w:rsid w:val="2506454F"/>
    <w:rsid w:val="250CF362"/>
    <w:rsid w:val="2513AC73"/>
    <w:rsid w:val="251B6964"/>
    <w:rsid w:val="251E6F75"/>
    <w:rsid w:val="2524E684"/>
    <w:rsid w:val="25255A74"/>
    <w:rsid w:val="2530CF59"/>
    <w:rsid w:val="25360528"/>
    <w:rsid w:val="253915F3"/>
    <w:rsid w:val="25442CA6"/>
    <w:rsid w:val="2546F7C6"/>
    <w:rsid w:val="25497BBF"/>
    <w:rsid w:val="254A8759"/>
    <w:rsid w:val="25661CBC"/>
    <w:rsid w:val="2567BA1A"/>
    <w:rsid w:val="256AF56C"/>
    <w:rsid w:val="256F01D1"/>
    <w:rsid w:val="256F9DEF"/>
    <w:rsid w:val="257839A6"/>
    <w:rsid w:val="2578BD9F"/>
    <w:rsid w:val="2587C7BB"/>
    <w:rsid w:val="259199D6"/>
    <w:rsid w:val="25AD8566"/>
    <w:rsid w:val="25B0D0D7"/>
    <w:rsid w:val="25B4ECD7"/>
    <w:rsid w:val="25B5DC43"/>
    <w:rsid w:val="25B89FAA"/>
    <w:rsid w:val="25BEC889"/>
    <w:rsid w:val="25C58E56"/>
    <w:rsid w:val="25CCA83C"/>
    <w:rsid w:val="25CCC592"/>
    <w:rsid w:val="25E03D32"/>
    <w:rsid w:val="25E0F31A"/>
    <w:rsid w:val="25E32957"/>
    <w:rsid w:val="25E7B5D2"/>
    <w:rsid w:val="25F0FDA0"/>
    <w:rsid w:val="25F16271"/>
    <w:rsid w:val="25F1C4E3"/>
    <w:rsid w:val="25FFB235"/>
    <w:rsid w:val="2608BCCA"/>
    <w:rsid w:val="260D0839"/>
    <w:rsid w:val="2613ABE9"/>
    <w:rsid w:val="2613E0C1"/>
    <w:rsid w:val="261792D9"/>
    <w:rsid w:val="261AFA51"/>
    <w:rsid w:val="262011E2"/>
    <w:rsid w:val="262224C2"/>
    <w:rsid w:val="2622884A"/>
    <w:rsid w:val="263D6FDD"/>
    <w:rsid w:val="264247D2"/>
    <w:rsid w:val="2649E037"/>
    <w:rsid w:val="2663B9F3"/>
    <w:rsid w:val="2677213C"/>
    <w:rsid w:val="2678486B"/>
    <w:rsid w:val="26789132"/>
    <w:rsid w:val="267E307F"/>
    <w:rsid w:val="26863FD8"/>
    <w:rsid w:val="268671EA"/>
    <w:rsid w:val="268A0358"/>
    <w:rsid w:val="268A4730"/>
    <w:rsid w:val="269FB344"/>
    <w:rsid w:val="26A0D0E6"/>
    <w:rsid w:val="26A35E0F"/>
    <w:rsid w:val="26A54942"/>
    <w:rsid w:val="26A63B20"/>
    <w:rsid w:val="26A6D748"/>
    <w:rsid w:val="26A9D582"/>
    <w:rsid w:val="26B6E973"/>
    <w:rsid w:val="26B9D5E5"/>
    <w:rsid w:val="26BF4E98"/>
    <w:rsid w:val="26C358C0"/>
    <w:rsid w:val="26C7E6F7"/>
    <w:rsid w:val="26CBD9C0"/>
    <w:rsid w:val="26D18A56"/>
    <w:rsid w:val="26D63D2D"/>
    <w:rsid w:val="26EFDC90"/>
    <w:rsid w:val="2701D870"/>
    <w:rsid w:val="27037D58"/>
    <w:rsid w:val="2709E4DE"/>
    <w:rsid w:val="271641A5"/>
    <w:rsid w:val="271BCE9E"/>
    <w:rsid w:val="271F5753"/>
    <w:rsid w:val="2725116C"/>
    <w:rsid w:val="2725F8F4"/>
    <w:rsid w:val="272603A2"/>
    <w:rsid w:val="272CC681"/>
    <w:rsid w:val="273B3033"/>
    <w:rsid w:val="273DC0C4"/>
    <w:rsid w:val="274F8195"/>
    <w:rsid w:val="275DBDF9"/>
    <w:rsid w:val="275E9A7E"/>
    <w:rsid w:val="27749369"/>
    <w:rsid w:val="2777B355"/>
    <w:rsid w:val="2779BA8B"/>
    <w:rsid w:val="277C8292"/>
    <w:rsid w:val="2786C424"/>
    <w:rsid w:val="278A2402"/>
    <w:rsid w:val="278D5624"/>
    <w:rsid w:val="278E4584"/>
    <w:rsid w:val="278F7063"/>
    <w:rsid w:val="27977BD9"/>
    <w:rsid w:val="2799996C"/>
    <w:rsid w:val="279AA8FC"/>
    <w:rsid w:val="27A05F2D"/>
    <w:rsid w:val="27A6CBE4"/>
    <w:rsid w:val="27A75E32"/>
    <w:rsid w:val="27A91769"/>
    <w:rsid w:val="27AA837D"/>
    <w:rsid w:val="27ACB185"/>
    <w:rsid w:val="27B1A516"/>
    <w:rsid w:val="27BAB325"/>
    <w:rsid w:val="27BB1DD9"/>
    <w:rsid w:val="27CA2E8C"/>
    <w:rsid w:val="27D63AA6"/>
    <w:rsid w:val="27D7C962"/>
    <w:rsid w:val="27DB23E4"/>
    <w:rsid w:val="27DF208B"/>
    <w:rsid w:val="27E414DD"/>
    <w:rsid w:val="27E5B382"/>
    <w:rsid w:val="27E8BA23"/>
    <w:rsid w:val="27E8C366"/>
    <w:rsid w:val="27F9FABE"/>
    <w:rsid w:val="280CD0D2"/>
    <w:rsid w:val="280EBF5D"/>
    <w:rsid w:val="28168E0C"/>
    <w:rsid w:val="281D400C"/>
    <w:rsid w:val="2825E7F6"/>
    <w:rsid w:val="282C0059"/>
    <w:rsid w:val="282CF46F"/>
    <w:rsid w:val="28336784"/>
    <w:rsid w:val="283822DE"/>
    <w:rsid w:val="28396C21"/>
    <w:rsid w:val="284F7A3B"/>
    <w:rsid w:val="285A8AF4"/>
    <w:rsid w:val="285C109A"/>
    <w:rsid w:val="2863D986"/>
    <w:rsid w:val="286B4C7A"/>
    <w:rsid w:val="2877952C"/>
    <w:rsid w:val="28850C4A"/>
    <w:rsid w:val="2898BD17"/>
    <w:rsid w:val="28AD1D18"/>
    <w:rsid w:val="28BAC0A8"/>
    <w:rsid w:val="28CE1029"/>
    <w:rsid w:val="28E11165"/>
    <w:rsid w:val="28E51D93"/>
    <w:rsid w:val="28E69A1A"/>
    <w:rsid w:val="28EF8AAD"/>
    <w:rsid w:val="28F5A0CF"/>
    <w:rsid w:val="28F85F69"/>
    <w:rsid w:val="28FD1141"/>
    <w:rsid w:val="28FE1BDB"/>
    <w:rsid w:val="28FE3523"/>
    <w:rsid w:val="2900D24E"/>
    <w:rsid w:val="290828B4"/>
    <w:rsid w:val="290AC70B"/>
    <w:rsid w:val="29109C16"/>
    <w:rsid w:val="291226A5"/>
    <w:rsid w:val="29141FB6"/>
    <w:rsid w:val="291CDE40"/>
    <w:rsid w:val="292C1DE4"/>
    <w:rsid w:val="29332389"/>
    <w:rsid w:val="2938168B"/>
    <w:rsid w:val="293CE1EA"/>
    <w:rsid w:val="294C9990"/>
    <w:rsid w:val="295224AA"/>
    <w:rsid w:val="29620BFB"/>
    <w:rsid w:val="29625627"/>
    <w:rsid w:val="29654BB6"/>
    <w:rsid w:val="29709F9F"/>
    <w:rsid w:val="2972FF7E"/>
    <w:rsid w:val="2976E4E5"/>
    <w:rsid w:val="2980B33F"/>
    <w:rsid w:val="2983B673"/>
    <w:rsid w:val="2987D82F"/>
    <w:rsid w:val="298C6A27"/>
    <w:rsid w:val="298FD8BE"/>
    <w:rsid w:val="2991FE51"/>
    <w:rsid w:val="2992BCA5"/>
    <w:rsid w:val="29B04B63"/>
    <w:rsid w:val="29B0B4BA"/>
    <w:rsid w:val="29BB3A66"/>
    <w:rsid w:val="29C3A4AE"/>
    <w:rsid w:val="29CAC118"/>
    <w:rsid w:val="29ED735B"/>
    <w:rsid w:val="29F83A11"/>
    <w:rsid w:val="29FA293A"/>
    <w:rsid w:val="2A00AC96"/>
    <w:rsid w:val="2A01EA48"/>
    <w:rsid w:val="2A042CDC"/>
    <w:rsid w:val="2A077D6D"/>
    <w:rsid w:val="2A095380"/>
    <w:rsid w:val="2A107DD7"/>
    <w:rsid w:val="2A198FFA"/>
    <w:rsid w:val="2A3235DC"/>
    <w:rsid w:val="2A32805F"/>
    <w:rsid w:val="2A39ABC5"/>
    <w:rsid w:val="2A5686CF"/>
    <w:rsid w:val="2A5AF5C0"/>
    <w:rsid w:val="2A5D991A"/>
    <w:rsid w:val="2A5E8F7C"/>
    <w:rsid w:val="2A60B10B"/>
    <w:rsid w:val="2A6D1461"/>
    <w:rsid w:val="2A6E98AB"/>
    <w:rsid w:val="2A831EF2"/>
    <w:rsid w:val="2A892D96"/>
    <w:rsid w:val="2A906282"/>
    <w:rsid w:val="2A972449"/>
    <w:rsid w:val="2AB0A20F"/>
    <w:rsid w:val="2AB4EC44"/>
    <w:rsid w:val="2AB77FB1"/>
    <w:rsid w:val="2AC4ABC3"/>
    <w:rsid w:val="2AD244CF"/>
    <w:rsid w:val="2ADC651F"/>
    <w:rsid w:val="2AE0CBE7"/>
    <w:rsid w:val="2AE64B44"/>
    <w:rsid w:val="2AE6903A"/>
    <w:rsid w:val="2AF10CF9"/>
    <w:rsid w:val="2AF37201"/>
    <w:rsid w:val="2AF379E4"/>
    <w:rsid w:val="2AF4BD09"/>
    <w:rsid w:val="2AF71A8D"/>
    <w:rsid w:val="2B34404B"/>
    <w:rsid w:val="2B35D6A3"/>
    <w:rsid w:val="2B40FF55"/>
    <w:rsid w:val="2B4DF0D2"/>
    <w:rsid w:val="2B6027B7"/>
    <w:rsid w:val="2B60A997"/>
    <w:rsid w:val="2B659375"/>
    <w:rsid w:val="2B690F18"/>
    <w:rsid w:val="2B792DD5"/>
    <w:rsid w:val="2B7A2A45"/>
    <w:rsid w:val="2B7A5924"/>
    <w:rsid w:val="2B84843E"/>
    <w:rsid w:val="2B8491CB"/>
    <w:rsid w:val="2B86F105"/>
    <w:rsid w:val="2B8EDCE1"/>
    <w:rsid w:val="2B8EE41F"/>
    <w:rsid w:val="2B8FB69F"/>
    <w:rsid w:val="2B8FFC36"/>
    <w:rsid w:val="2BA1B6AF"/>
    <w:rsid w:val="2BAD496E"/>
    <w:rsid w:val="2BB22C49"/>
    <w:rsid w:val="2BB8D30C"/>
    <w:rsid w:val="2BB9259A"/>
    <w:rsid w:val="2BBAA142"/>
    <w:rsid w:val="2BCCDFC4"/>
    <w:rsid w:val="2BDCF688"/>
    <w:rsid w:val="2BE47998"/>
    <w:rsid w:val="2BE4B268"/>
    <w:rsid w:val="2BEABEB2"/>
    <w:rsid w:val="2BF16B38"/>
    <w:rsid w:val="2BFCEC3F"/>
    <w:rsid w:val="2BFD0C2C"/>
    <w:rsid w:val="2C00BFE7"/>
    <w:rsid w:val="2C08580B"/>
    <w:rsid w:val="2C0A64A0"/>
    <w:rsid w:val="2C0C87C5"/>
    <w:rsid w:val="2C0E8803"/>
    <w:rsid w:val="2C14E13C"/>
    <w:rsid w:val="2C19523E"/>
    <w:rsid w:val="2C2108E2"/>
    <w:rsid w:val="2C30DB06"/>
    <w:rsid w:val="2C4C6F38"/>
    <w:rsid w:val="2C4ED13F"/>
    <w:rsid w:val="2C5454EB"/>
    <w:rsid w:val="2C570367"/>
    <w:rsid w:val="2C6352EC"/>
    <w:rsid w:val="2C671C46"/>
    <w:rsid w:val="2C685228"/>
    <w:rsid w:val="2C740B70"/>
    <w:rsid w:val="2C7CEC42"/>
    <w:rsid w:val="2C84DED0"/>
    <w:rsid w:val="2C85F633"/>
    <w:rsid w:val="2C8FFC62"/>
    <w:rsid w:val="2CAB4FDE"/>
    <w:rsid w:val="2CB325D5"/>
    <w:rsid w:val="2CB47B64"/>
    <w:rsid w:val="2CCA9C2D"/>
    <w:rsid w:val="2CD08DDB"/>
    <w:rsid w:val="2CD84B20"/>
    <w:rsid w:val="2CED5FFB"/>
    <w:rsid w:val="2CF8C7F1"/>
    <w:rsid w:val="2CFF437F"/>
    <w:rsid w:val="2D09F438"/>
    <w:rsid w:val="2D2C4F1D"/>
    <w:rsid w:val="2D3B51B1"/>
    <w:rsid w:val="2D4F2B25"/>
    <w:rsid w:val="2D532474"/>
    <w:rsid w:val="2D5D00B2"/>
    <w:rsid w:val="2D645096"/>
    <w:rsid w:val="2D64AB5A"/>
    <w:rsid w:val="2D65EDAF"/>
    <w:rsid w:val="2D6B6370"/>
    <w:rsid w:val="2D73116E"/>
    <w:rsid w:val="2D788EC2"/>
    <w:rsid w:val="2D845226"/>
    <w:rsid w:val="2D86A51C"/>
    <w:rsid w:val="2D87FE72"/>
    <w:rsid w:val="2D92D50E"/>
    <w:rsid w:val="2DA11EBA"/>
    <w:rsid w:val="2DA144E0"/>
    <w:rsid w:val="2DAB646B"/>
    <w:rsid w:val="2DAD20A6"/>
    <w:rsid w:val="2DB3793E"/>
    <w:rsid w:val="2DB37EC1"/>
    <w:rsid w:val="2DB5ADE7"/>
    <w:rsid w:val="2DB60B33"/>
    <w:rsid w:val="2DCD43FF"/>
    <w:rsid w:val="2DEC6C99"/>
    <w:rsid w:val="2DEFADBF"/>
    <w:rsid w:val="2DFA1589"/>
    <w:rsid w:val="2DFD88F1"/>
    <w:rsid w:val="2DFDEF8A"/>
    <w:rsid w:val="2E01C965"/>
    <w:rsid w:val="2E03426E"/>
    <w:rsid w:val="2E04AF2B"/>
    <w:rsid w:val="2E04B627"/>
    <w:rsid w:val="2E20E69A"/>
    <w:rsid w:val="2E27B291"/>
    <w:rsid w:val="2E2D9A53"/>
    <w:rsid w:val="2E2E4210"/>
    <w:rsid w:val="2E2EEA26"/>
    <w:rsid w:val="2E2FB79D"/>
    <w:rsid w:val="2E30FB74"/>
    <w:rsid w:val="2E3DCE76"/>
    <w:rsid w:val="2E44D613"/>
    <w:rsid w:val="2E4DF907"/>
    <w:rsid w:val="2E4E70FA"/>
    <w:rsid w:val="2E4EF7A6"/>
    <w:rsid w:val="2E4F3F9B"/>
    <w:rsid w:val="2E52DD91"/>
    <w:rsid w:val="2E5AD2F8"/>
    <w:rsid w:val="2E5D5466"/>
    <w:rsid w:val="2E6B77ED"/>
    <w:rsid w:val="2E73DFE1"/>
    <w:rsid w:val="2E742399"/>
    <w:rsid w:val="2E985F28"/>
    <w:rsid w:val="2E98E3CD"/>
    <w:rsid w:val="2E9CB77A"/>
    <w:rsid w:val="2EA5791D"/>
    <w:rsid w:val="2EA8FD6C"/>
    <w:rsid w:val="2EBC2500"/>
    <w:rsid w:val="2EC26F04"/>
    <w:rsid w:val="2EC8F598"/>
    <w:rsid w:val="2EC934C1"/>
    <w:rsid w:val="2ED07701"/>
    <w:rsid w:val="2ED30C2D"/>
    <w:rsid w:val="2EE672FD"/>
    <w:rsid w:val="2EE8EF01"/>
    <w:rsid w:val="2EE9E29A"/>
    <w:rsid w:val="2EED1FBD"/>
    <w:rsid w:val="2EEE4857"/>
    <w:rsid w:val="2EF99A02"/>
    <w:rsid w:val="2F056549"/>
    <w:rsid w:val="2F07F106"/>
    <w:rsid w:val="2F0D2D2F"/>
    <w:rsid w:val="2F12C28F"/>
    <w:rsid w:val="2F1D1BE6"/>
    <w:rsid w:val="2F1F9253"/>
    <w:rsid w:val="2F270582"/>
    <w:rsid w:val="2F3532DF"/>
    <w:rsid w:val="2F393E0E"/>
    <w:rsid w:val="2F3AB6A8"/>
    <w:rsid w:val="2F4AA293"/>
    <w:rsid w:val="2F500996"/>
    <w:rsid w:val="2F54F0D0"/>
    <w:rsid w:val="2F595426"/>
    <w:rsid w:val="2F6C3BDA"/>
    <w:rsid w:val="2F737C10"/>
    <w:rsid w:val="2F7DC97A"/>
    <w:rsid w:val="2F7F35B3"/>
    <w:rsid w:val="2F84C972"/>
    <w:rsid w:val="2F890666"/>
    <w:rsid w:val="2F8F91C1"/>
    <w:rsid w:val="2F925BA5"/>
    <w:rsid w:val="2F989CE4"/>
    <w:rsid w:val="2F99CD1E"/>
    <w:rsid w:val="2FA24484"/>
    <w:rsid w:val="2FA606AE"/>
    <w:rsid w:val="2FA6FE67"/>
    <w:rsid w:val="2FA81700"/>
    <w:rsid w:val="2FAC58EE"/>
    <w:rsid w:val="2FB6C686"/>
    <w:rsid w:val="2FB87155"/>
    <w:rsid w:val="2FBD5EC1"/>
    <w:rsid w:val="2FC052A5"/>
    <w:rsid w:val="2FC86EB4"/>
    <w:rsid w:val="2FD3144F"/>
    <w:rsid w:val="2FD574E2"/>
    <w:rsid w:val="2FD82962"/>
    <w:rsid w:val="2FDB83CD"/>
    <w:rsid w:val="2FE1EC02"/>
    <w:rsid w:val="2FE6A9F5"/>
    <w:rsid w:val="2FE981F6"/>
    <w:rsid w:val="2FEB009A"/>
    <w:rsid w:val="2FF17F04"/>
    <w:rsid w:val="2FF44763"/>
    <w:rsid w:val="2FF83AC7"/>
    <w:rsid w:val="2FFAB9F9"/>
    <w:rsid w:val="2FFD4BB3"/>
    <w:rsid w:val="300D4B97"/>
    <w:rsid w:val="300E8286"/>
    <w:rsid w:val="300E8720"/>
    <w:rsid w:val="301B08FA"/>
    <w:rsid w:val="3022ECCB"/>
    <w:rsid w:val="302E7943"/>
    <w:rsid w:val="3055D253"/>
    <w:rsid w:val="305D9941"/>
    <w:rsid w:val="3065B93F"/>
    <w:rsid w:val="306B15D6"/>
    <w:rsid w:val="3072A898"/>
    <w:rsid w:val="307A88A1"/>
    <w:rsid w:val="307B9FAD"/>
    <w:rsid w:val="308558B2"/>
    <w:rsid w:val="3087487B"/>
    <w:rsid w:val="308875A3"/>
    <w:rsid w:val="309AA8AC"/>
    <w:rsid w:val="30AD96B8"/>
    <w:rsid w:val="30AE6989"/>
    <w:rsid w:val="30B4EC13"/>
    <w:rsid w:val="30B58691"/>
    <w:rsid w:val="30BFB56A"/>
    <w:rsid w:val="30C3DF32"/>
    <w:rsid w:val="30DAA1F1"/>
    <w:rsid w:val="30E5EA6C"/>
    <w:rsid w:val="30E9B98B"/>
    <w:rsid w:val="30ECD3C4"/>
    <w:rsid w:val="30F01871"/>
    <w:rsid w:val="30F08302"/>
    <w:rsid w:val="31021037"/>
    <w:rsid w:val="310501D0"/>
    <w:rsid w:val="31082302"/>
    <w:rsid w:val="310C8A42"/>
    <w:rsid w:val="31100073"/>
    <w:rsid w:val="31199095"/>
    <w:rsid w:val="3124A250"/>
    <w:rsid w:val="31299B30"/>
    <w:rsid w:val="3131211D"/>
    <w:rsid w:val="31325698"/>
    <w:rsid w:val="31376738"/>
    <w:rsid w:val="313C34C9"/>
    <w:rsid w:val="31404078"/>
    <w:rsid w:val="31485D97"/>
    <w:rsid w:val="3149A9AF"/>
    <w:rsid w:val="3152F285"/>
    <w:rsid w:val="31556630"/>
    <w:rsid w:val="3157FED8"/>
    <w:rsid w:val="315E785A"/>
    <w:rsid w:val="31637C25"/>
    <w:rsid w:val="31688809"/>
    <w:rsid w:val="316AE0E9"/>
    <w:rsid w:val="3178BE91"/>
    <w:rsid w:val="31798675"/>
    <w:rsid w:val="318C31AF"/>
    <w:rsid w:val="318F1244"/>
    <w:rsid w:val="3191A6F7"/>
    <w:rsid w:val="31933DD4"/>
    <w:rsid w:val="319A6C2A"/>
    <w:rsid w:val="319A7168"/>
    <w:rsid w:val="319D9004"/>
    <w:rsid w:val="31A12939"/>
    <w:rsid w:val="31B5405F"/>
    <w:rsid w:val="31C76FEE"/>
    <w:rsid w:val="31CD073A"/>
    <w:rsid w:val="31CED3F2"/>
    <w:rsid w:val="31D0D1C0"/>
    <w:rsid w:val="31D67D3D"/>
    <w:rsid w:val="31D93D84"/>
    <w:rsid w:val="31DD2259"/>
    <w:rsid w:val="31E728FE"/>
    <w:rsid w:val="31E8FB5D"/>
    <w:rsid w:val="31EA3F09"/>
    <w:rsid w:val="31ECC739"/>
    <w:rsid w:val="31EF28AC"/>
    <w:rsid w:val="31F0EC45"/>
    <w:rsid w:val="31F966F5"/>
    <w:rsid w:val="31F9863A"/>
    <w:rsid w:val="31F9C642"/>
    <w:rsid w:val="3213A3DF"/>
    <w:rsid w:val="321D104A"/>
    <w:rsid w:val="323072F2"/>
    <w:rsid w:val="323DF027"/>
    <w:rsid w:val="32411397"/>
    <w:rsid w:val="32414107"/>
    <w:rsid w:val="32430218"/>
    <w:rsid w:val="324520F2"/>
    <w:rsid w:val="3248C3E6"/>
    <w:rsid w:val="324E2B44"/>
    <w:rsid w:val="32558D89"/>
    <w:rsid w:val="32694B26"/>
    <w:rsid w:val="328166DA"/>
    <w:rsid w:val="3283E4A6"/>
    <w:rsid w:val="3286AED6"/>
    <w:rsid w:val="328AC2BE"/>
    <w:rsid w:val="3297C75D"/>
    <w:rsid w:val="3298D928"/>
    <w:rsid w:val="32A8F501"/>
    <w:rsid w:val="32AA0708"/>
    <w:rsid w:val="32AE9656"/>
    <w:rsid w:val="32B585BB"/>
    <w:rsid w:val="32B8775E"/>
    <w:rsid w:val="32B9BDAF"/>
    <w:rsid w:val="32C76645"/>
    <w:rsid w:val="32CC23B0"/>
    <w:rsid w:val="32D6590B"/>
    <w:rsid w:val="32D7E17D"/>
    <w:rsid w:val="32E59CB4"/>
    <w:rsid w:val="32E5AAF1"/>
    <w:rsid w:val="32EB176F"/>
    <w:rsid w:val="32EC05B4"/>
    <w:rsid w:val="32EE18AD"/>
    <w:rsid w:val="3301A1C8"/>
    <w:rsid w:val="3304EDDD"/>
    <w:rsid w:val="33182911"/>
    <w:rsid w:val="331CFB50"/>
    <w:rsid w:val="3327BD55"/>
    <w:rsid w:val="3332D522"/>
    <w:rsid w:val="3336D358"/>
    <w:rsid w:val="333A4584"/>
    <w:rsid w:val="3344E8F2"/>
    <w:rsid w:val="33532C93"/>
    <w:rsid w:val="335B4E26"/>
    <w:rsid w:val="3362B71E"/>
    <w:rsid w:val="33634B77"/>
    <w:rsid w:val="3365FFE9"/>
    <w:rsid w:val="3372E76E"/>
    <w:rsid w:val="33755B93"/>
    <w:rsid w:val="33772D63"/>
    <w:rsid w:val="337E98EA"/>
    <w:rsid w:val="338021F4"/>
    <w:rsid w:val="3382A89E"/>
    <w:rsid w:val="3383C72F"/>
    <w:rsid w:val="339B2917"/>
    <w:rsid w:val="339B53FA"/>
    <w:rsid w:val="33A15FEF"/>
    <w:rsid w:val="33AC3E9A"/>
    <w:rsid w:val="33AEFF14"/>
    <w:rsid w:val="33B69C07"/>
    <w:rsid w:val="33C198D6"/>
    <w:rsid w:val="33C422AB"/>
    <w:rsid w:val="33C7244F"/>
    <w:rsid w:val="33CAE76F"/>
    <w:rsid w:val="33DD924E"/>
    <w:rsid w:val="33E1D420"/>
    <w:rsid w:val="33E43395"/>
    <w:rsid w:val="33E6AB29"/>
    <w:rsid w:val="33EC6CE0"/>
    <w:rsid w:val="33F15DEA"/>
    <w:rsid w:val="33FB2CC4"/>
    <w:rsid w:val="340016AE"/>
    <w:rsid w:val="34053CC6"/>
    <w:rsid w:val="341A520E"/>
    <w:rsid w:val="34220AA6"/>
    <w:rsid w:val="3427EA77"/>
    <w:rsid w:val="343397CC"/>
    <w:rsid w:val="34395015"/>
    <w:rsid w:val="343D6CE2"/>
    <w:rsid w:val="34430C64"/>
    <w:rsid w:val="34480D33"/>
    <w:rsid w:val="34507BBF"/>
    <w:rsid w:val="345E8F34"/>
    <w:rsid w:val="3460C604"/>
    <w:rsid w:val="3462CEDA"/>
    <w:rsid w:val="346366A3"/>
    <w:rsid w:val="346558B1"/>
    <w:rsid w:val="346A43D6"/>
    <w:rsid w:val="3480ACFA"/>
    <w:rsid w:val="3480AE27"/>
    <w:rsid w:val="3488C10F"/>
    <w:rsid w:val="3489C3C8"/>
    <w:rsid w:val="348A88B5"/>
    <w:rsid w:val="348C6869"/>
    <w:rsid w:val="349AC8B9"/>
    <w:rsid w:val="34A878E4"/>
    <w:rsid w:val="34B43835"/>
    <w:rsid w:val="34B58962"/>
    <w:rsid w:val="34C34423"/>
    <w:rsid w:val="34C6D34C"/>
    <w:rsid w:val="34C734AB"/>
    <w:rsid w:val="34C87B4C"/>
    <w:rsid w:val="34C8FECE"/>
    <w:rsid w:val="34CB381F"/>
    <w:rsid w:val="34CD1036"/>
    <w:rsid w:val="34DB90F8"/>
    <w:rsid w:val="34E0AE70"/>
    <w:rsid w:val="34E3DE90"/>
    <w:rsid w:val="34EF5864"/>
    <w:rsid w:val="34F6FA4A"/>
    <w:rsid w:val="34FD46A8"/>
    <w:rsid w:val="3508B38F"/>
    <w:rsid w:val="350B50F5"/>
    <w:rsid w:val="350FBB3D"/>
    <w:rsid w:val="35184A0F"/>
    <w:rsid w:val="351A51BB"/>
    <w:rsid w:val="351BA250"/>
    <w:rsid w:val="351C1727"/>
    <w:rsid w:val="351D1AEA"/>
    <w:rsid w:val="3526882E"/>
    <w:rsid w:val="3528936E"/>
    <w:rsid w:val="3530CCEB"/>
    <w:rsid w:val="353B763C"/>
    <w:rsid w:val="354048B3"/>
    <w:rsid w:val="3540BA8E"/>
    <w:rsid w:val="3542A7CA"/>
    <w:rsid w:val="35457EBD"/>
    <w:rsid w:val="3545E5BE"/>
    <w:rsid w:val="354EC321"/>
    <w:rsid w:val="3550B434"/>
    <w:rsid w:val="35532810"/>
    <w:rsid w:val="3559514C"/>
    <w:rsid w:val="356196F0"/>
    <w:rsid w:val="3562C312"/>
    <w:rsid w:val="35677671"/>
    <w:rsid w:val="357CBEB3"/>
    <w:rsid w:val="357F3885"/>
    <w:rsid w:val="35833A0A"/>
    <w:rsid w:val="3586274E"/>
    <w:rsid w:val="35863641"/>
    <w:rsid w:val="35895AD5"/>
    <w:rsid w:val="358EDBCE"/>
    <w:rsid w:val="35906A94"/>
    <w:rsid w:val="359413B4"/>
    <w:rsid w:val="35942706"/>
    <w:rsid w:val="3596E669"/>
    <w:rsid w:val="359F9C2F"/>
    <w:rsid w:val="35A8A638"/>
    <w:rsid w:val="35AB7E6B"/>
    <w:rsid w:val="35ABB37D"/>
    <w:rsid w:val="35B449D6"/>
    <w:rsid w:val="35B825F8"/>
    <w:rsid w:val="35BA2800"/>
    <w:rsid w:val="35C1B91D"/>
    <w:rsid w:val="35C602B9"/>
    <w:rsid w:val="35C76B61"/>
    <w:rsid w:val="35CBFF3E"/>
    <w:rsid w:val="35D5E443"/>
    <w:rsid w:val="35F5AEF9"/>
    <w:rsid w:val="35F5C6E6"/>
    <w:rsid w:val="35FBDC06"/>
    <w:rsid w:val="35FECEBB"/>
    <w:rsid w:val="360B8F8C"/>
    <w:rsid w:val="3620013C"/>
    <w:rsid w:val="362D2645"/>
    <w:rsid w:val="362E6053"/>
    <w:rsid w:val="3636A0FB"/>
    <w:rsid w:val="363E976B"/>
    <w:rsid w:val="36444B85"/>
    <w:rsid w:val="364AB29D"/>
    <w:rsid w:val="36501870"/>
    <w:rsid w:val="3651275A"/>
    <w:rsid w:val="3653F33B"/>
    <w:rsid w:val="365D5302"/>
    <w:rsid w:val="365DD57D"/>
    <w:rsid w:val="3663E7B6"/>
    <w:rsid w:val="368FFC0A"/>
    <w:rsid w:val="369A35F9"/>
    <w:rsid w:val="36A22D3F"/>
    <w:rsid w:val="36A4725E"/>
    <w:rsid w:val="36AD559C"/>
    <w:rsid w:val="36CFF7FD"/>
    <w:rsid w:val="36F2F7A4"/>
    <w:rsid w:val="36F4C16E"/>
    <w:rsid w:val="36F8A608"/>
    <w:rsid w:val="36FE78D0"/>
    <w:rsid w:val="370E79C3"/>
    <w:rsid w:val="371344D0"/>
    <w:rsid w:val="3719F96D"/>
    <w:rsid w:val="372A44F8"/>
    <w:rsid w:val="37362C60"/>
    <w:rsid w:val="37364151"/>
    <w:rsid w:val="37499FE8"/>
    <w:rsid w:val="375B931E"/>
    <w:rsid w:val="375D43AD"/>
    <w:rsid w:val="375EEA25"/>
    <w:rsid w:val="376620EE"/>
    <w:rsid w:val="37742483"/>
    <w:rsid w:val="37793E97"/>
    <w:rsid w:val="3780865C"/>
    <w:rsid w:val="3791867B"/>
    <w:rsid w:val="3799876B"/>
    <w:rsid w:val="379FBF95"/>
    <w:rsid w:val="37A035B2"/>
    <w:rsid w:val="37B66F2E"/>
    <w:rsid w:val="37B8EF13"/>
    <w:rsid w:val="37BBECE3"/>
    <w:rsid w:val="37C7B523"/>
    <w:rsid w:val="37CC9165"/>
    <w:rsid w:val="37DAEFA3"/>
    <w:rsid w:val="37DB855E"/>
    <w:rsid w:val="37E7FAB1"/>
    <w:rsid w:val="37F175FE"/>
    <w:rsid w:val="37F59DF0"/>
    <w:rsid w:val="37FB306B"/>
    <w:rsid w:val="37FD6BB4"/>
    <w:rsid w:val="380BADB2"/>
    <w:rsid w:val="380C4F38"/>
    <w:rsid w:val="3811745B"/>
    <w:rsid w:val="3815DE3A"/>
    <w:rsid w:val="382607A0"/>
    <w:rsid w:val="3827596B"/>
    <w:rsid w:val="38281B70"/>
    <w:rsid w:val="382AA470"/>
    <w:rsid w:val="382E9F8D"/>
    <w:rsid w:val="382EBB07"/>
    <w:rsid w:val="382FB88B"/>
    <w:rsid w:val="3832FEAB"/>
    <w:rsid w:val="383DFDA0"/>
    <w:rsid w:val="38413914"/>
    <w:rsid w:val="38464EB4"/>
    <w:rsid w:val="38480CB0"/>
    <w:rsid w:val="3849ECB0"/>
    <w:rsid w:val="384AACFF"/>
    <w:rsid w:val="3854760C"/>
    <w:rsid w:val="385ECC86"/>
    <w:rsid w:val="387351D1"/>
    <w:rsid w:val="387ADAAE"/>
    <w:rsid w:val="387AECFF"/>
    <w:rsid w:val="387DDBC0"/>
    <w:rsid w:val="38879680"/>
    <w:rsid w:val="38879B84"/>
    <w:rsid w:val="389947FB"/>
    <w:rsid w:val="38A2AE41"/>
    <w:rsid w:val="38A6E224"/>
    <w:rsid w:val="38AEC59F"/>
    <w:rsid w:val="38AFDDFC"/>
    <w:rsid w:val="38B555C5"/>
    <w:rsid w:val="38CECA1A"/>
    <w:rsid w:val="38CFD783"/>
    <w:rsid w:val="38D15176"/>
    <w:rsid w:val="38D4BFFD"/>
    <w:rsid w:val="38E21343"/>
    <w:rsid w:val="38EAC69F"/>
    <w:rsid w:val="38ECD8D8"/>
    <w:rsid w:val="38EE6570"/>
    <w:rsid w:val="38F06D6E"/>
    <w:rsid w:val="38FA0442"/>
    <w:rsid w:val="38FB2265"/>
    <w:rsid w:val="38FD7D42"/>
    <w:rsid w:val="38FE0FF9"/>
    <w:rsid w:val="38FF54AE"/>
    <w:rsid w:val="3903C5F7"/>
    <w:rsid w:val="3914E814"/>
    <w:rsid w:val="39237006"/>
    <w:rsid w:val="392E76BD"/>
    <w:rsid w:val="3932BE69"/>
    <w:rsid w:val="393BF7C6"/>
    <w:rsid w:val="393ED1D2"/>
    <w:rsid w:val="394AF2AE"/>
    <w:rsid w:val="394B50DE"/>
    <w:rsid w:val="39508ACA"/>
    <w:rsid w:val="39582AC7"/>
    <w:rsid w:val="395B4485"/>
    <w:rsid w:val="396DF997"/>
    <w:rsid w:val="3970033C"/>
    <w:rsid w:val="397C1C31"/>
    <w:rsid w:val="398AFFA0"/>
    <w:rsid w:val="39A1EBCE"/>
    <w:rsid w:val="39B3832F"/>
    <w:rsid w:val="39BE3871"/>
    <w:rsid w:val="39C185BC"/>
    <w:rsid w:val="39C2F55E"/>
    <w:rsid w:val="39C73471"/>
    <w:rsid w:val="39D212A2"/>
    <w:rsid w:val="39DBA994"/>
    <w:rsid w:val="3A0F24D6"/>
    <w:rsid w:val="3A1A6B09"/>
    <w:rsid w:val="3A1B801E"/>
    <w:rsid w:val="3A214F63"/>
    <w:rsid w:val="3A388A73"/>
    <w:rsid w:val="3A3A89CD"/>
    <w:rsid w:val="3A3CB8A0"/>
    <w:rsid w:val="3A47C5F8"/>
    <w:rsid w:val="3A483283"/>
    <w:rsid w:val="3A4F1A82"/>
    <w:rsid w:val="3A514BBD"/>
    <w:rsid w:val="3A554270"/>
    <w:rsid w:val="3A57BC30"/>
    <w:rsid w:val="3A58C25E"/>
    <w:rsid w:val="3A5A3329"/>
    <w:rsid w:val="3A5BFAE8"/>
    <w:rsid w:val="3A627EE4"/>
    <w:rsid w:val="3A6545CF"/>
    <w:rsid w:val="3A6E9E2F"/>
    <w:rsid w:val="3A726CEC"/>
    <w:rsid w:val="3A8670E7"/>
    <w:rsid w:val="3A8A6FB6"/>
    <w:rsid w:val="3A9B46D4"/>
    <w:rsid w:val="3AA614F0"/>
    <w:rsid w:val="3AAE8491"/>
    <w:rsid w:val="3AB6E463"/>
    <w:rsid w:val="3AB6F181"/>
    <w:rsid w:val="3AC109EB"/>
    <w:rsid w:val="3AC415BB"/>
    <w:rsid w:val="3ACBEE3A"/>
    <w:rsid w:val="3AD65EAA"/>
    <w:rsid w:val="3ADC5BF1"/>
    <w:rsid w:val="3AE20377"/>
    <w:rsid w:val="3AE470C6"/>
    <w:rsid w:val="3AE8A013"/>
    <w:rsid w:val="3AEDFB6F"/>
    <w:rsid w:val="3AEFBCBC"/>
    <w:rsid w:val="3AFF5F30"/>
    <w:rsid w:val="3B002ACA"/>
    <w:rsid w:val="3B04E884"/>
    <w:rsid w:val="3B19D851"/>
    <w:rsid w:val="3B248407"/>
    <w:rsid w:val="3B270CFC"/>
    <w:rsid w:val="3B27A7BD"/>
    <w:rsid w:val="3B2B3480"/>
    <w:rsid w:val="3B2F9532"/>
    <w:rsid w:val="3B315416"/>
    <w:rsid w:val="3B3C89F8"/>
    <w:rsid w:val="3B435742"/>
    <w:rsid w:val="3B4390A2"/>
    <w:rsid w:val="3B45FB3F"/>
    <w:rsid w:val="3B522B2C"/>
    <w:rsid w:val="3B5288ED"/>
    <w:rsid w:val="3B607BFE"/>
    <w:rsid w:val="3B62832F"/>
    <w:rsid w:val="3B6684C9"/>
    <w:rsid w:val="3B6B2C5D"/>
    <w:rsid w:val="3B71E0A9"/>
    <w:rsid w:val="3B879ABB"/>
    <w:rsid w:val="3B8AF377"/>
    <w:rsid w:val="3B991C32"/>
    <w:rsid w:val="3BA92AAF"/>
    <w:rsid w:val="3BA97598"/>
    <w:rsid w:val="3BABB367"/>
    <w:rsid w:val="3BAC1399"/>
    <w:rsid w:val="3BAE93C4"/>
    <w:rsid w:val="3BB10491"/>
    <w:rsid w:val="3BB275BF"/>
    <w:rsid w:val="3BB36444"/>
    <w:rsid w:val="3BB6547D"/>
    <w:rsid w:val="3BBD9909"/>
    <w:rsid w:val="3BBE2C71"/>
    <w:rsid w:val="3BC0293F"/>
    <w:rsid w:val="3BC6075B"/>
    <w:rsid w:val="3BCA9778"/>
    <w:rsid w:val="3BCD9CAD"/>
    <w:rsid w:val="3BCFEF07"/>
    <w:rsid w:val="3BDD79E1"/>
    <w:rsid w:val="3BE68D2C"/>
    <w:rsid w:val="3BE74E93"/>
    <w:rsid w:val="3BF60542"/>
    <w:rsid w:val="3BF8B0A8"/>
    <w:rsid w:val="3BFC8B26"/>
    <w:rsid w:val="3BFF9B63"/>
    <w:rsid w:val="3C0085F6"/>
    <w:rsid w:val="3C00C63E"/>
    <w:rsid w:val="3C01F3BD"/>
    <w:rsid w:val="3C0B3A08"/>
    <w:rsid w:val="3C0F338C"/>
    <w:rsid w:val="3C0F9B77"/>
    <w:rsid w:val="3C186819"/>
    <w:rsid w:val="3C1C5EAD"/>
    <w:rsid w:val="3C24C683"/>
    <w:rsid w:val="3C2C0786"/>
    <w:rsid w:val="3C3800F8"/>
    <w:rsid w:val="3C406B81"/>
    <w:rsid w:val="3C42E4D4"/>
    <w:rsid w:val="3C48C5B6"/>
    <w:rsid w:val="3C4A2136"/>
    <w:rsid w:val="3C4E9FCF"/>
    <w:rsid w:val="3C580AE3"/>
    <w:rsid w:val="3C58CDE9"/>
    <w:rsid w:val="3C60C997"/>
    <w:rsid w:val="3C650C00"/>
    <w:rsid w:val="3C6A83B7"/>
    <w:rsid w:val="3C705D5D"/>
    <w:rsid w:val="3C713D19"/>
    <w:rsid w:val="3C79042E"/>
    <w:rsid w:val="3C7CB9F5"/>
    <w:rsid w:val="3C7CF9DD"/>
    <w:rsid w:val="3C7F6EAF"/>
    <w:rsid w:val="3C7F837A"/>
    <w:rsid w:val="3C8D05ED"/>
    <w:rsid w:val="3CA4B983"/>
    <w:rsid w:val="3CAD1961"/>
    <w:rsid w:val="3CB60065"/>
    <w:rsid w:val="3CB9916C"/>
    <w:rsid w:val="3CC2AD32"/>
    <w:rsid w:val="3CC73163"/>
    <w:rsid w:val="3CCC7A90"/>
    <w:rsid w:val="3CCCBE92"/>
    <w:rsid w:val="3CD13FD8"/>
    <w:rsid w:val="3CE7FE2A"/>
    <w:rsid w:val="3CEC741C"/>
    <w:rsid w:val="3CEE87F1"/>
    <w:rsid w:val="3CF1B015"/>
    <w:rsid w:val="3D00A541"/>
    <w:rsid w:val="3D0113EE"/>
    <w:rsid w:val="3D0671DB"/>
    <w:rsid w:val="3D06847F"/>
    <w:rsid w:val="3D0C2ACF"/>
    <w:rsid w:val="3D164C41"/>
    <w:rsid w:val="3D216EF7"/>
    <w:rsid w:val="3D2D0C15"/>
    <w:rsid w:val="3D356AB5"/>
    <w:rsid w:val="3D4D2658"/>
    <w:rsid w:val="3D4DC288"/>
    <w:rsid w:val="3D4DCB36"/>
    <w:rsid w:val="3D55C560"/>
    <w:rsid w:val="3D6A7991"/>
    <w:rsid w:val="3D6DA50C"/>
    <w:rsid w:val="3D70BCA4"/>
    <w:rsid w:val="3D7E086A"/>
    <w:rsid w:val="3D80C0E5"/>
    <w:rsid w:val="3D89E8B7"/>
    <w:rsid w:val="3D939C76"/>
    <w:rsid w:val="3D98FB7F"/>
    <w:rsid w:val="3D99E61D"/>
    <w:rsid w:val="3DAAECD9"/>
    <w:rsid w:val="3DAB1B51"/>
    <w:rsid w:val="3DB5685E"/>
    <w:rsid w:val="3DB9915E"/>
    <w:rsid w:val="3DBA29E0"/>
    <w:rsid w:val="3DD0D810"/>
    <w:rsid w:val="3DD5BCA1"/>
    <w:rsid w:val="3DD8E96D"/>
    <w:rsid w:val="3DE50D1E"/>
    <w:rsid w:val="3DEA2B16"/>
    <w:rsid w:val="3DFAA1BA"/>
    <w:rsid w:val="3DFD2CF1"/>
    <w:rsid w:val="3DFE5103"/>
    <w:rsid w:val="3E0B45D7"/>
    <w:rsid w:val="3E0D86F9"/>
    <w:rsid w:val="3E23F8E7"/>
    <w:rsid w:val="3E2CFF4C"/>
    <w:rsid w:val="3E2FDC8F"/>
    <w:rsid w:val="3E305353"/>
    <w:rsid w:val="3E3356CD"/>
    <w:rsid w:val="3E3DDB35"/>
    <w:rsid w:val="3E4CCD5D"/>
    <w:rsid w:val="3E6AE34F"/>
    <w:rsid w:val="3E6DBA46"/>
    <w:rsid w:val="3E73F48B"/>
    <w:rsid w:val="3E77FC15"/>
    <w:rsid w:val="3E788521"/>
    <w:rsid w:val="3E809130"/>
    <w:rsid w:val="3E82F919"/>
    <w:rsid w:val="3E8D73F5"/>
    <w:rsid w:val="3E9215FF"/>
    <w:rsid w:val="3E98ED48"/>
    <w:rsid w:val="3EC6CA2A"/>
    <w:rsid w:val="3ECE2C62"/>
    <w:rsid w:val="3ED3C74B"/>
    <w:rsid w:val="3ED4F4CE"/>
    <w:rsid w:val="3ED76539"/>
    <w:rsid w:val="3EDD7F90"/>
    <w:rsid w:val="3EE579D4"/>
    <w:rsid w:val="3EE67DDE"/>
    <w:rsid w:val="3EEF66A0"/>
    <w:rsid w:val="3EFCE677"/>
    <w:rsid w:val="3EFD0045"/>
    <w:rsid w:val="3F0DDB90"/>
    <w:rsid w:val="3F15C552"/>
    <w:rsid w:val="3F17E3FD"/>
    <w:rsid w:val="3F21D260"/>
    <w:rsid w:val="3F2C66CA"/>
    <w:rsid w:val="3F358027"/>
    <w:rsid w:val="3F3C48D2"/>
    <w:rsid w:val="3F41DC20"/>
    <w:rsid w:val="3F43E2A6"/>
    <w:rsid w:val="3F481A78"/>
    <w:rsid w:val="3F54D552"/>
    <w:rsid w:val="3F5603C4"/>
    <w:rsid w:val="3F5DBEF5"/>
    <w:rsid w:val="3F69910A"/>
    <w:rsid w:val="3F70D3B6"/>
    <w:rsid w:val="3F714159"/>
    <w:rsid w:val="3F7617C7"/>
    <w:rsid w:val="3F773005"/>
    <w:rsid w:val="3F96886D"/>
    <w:rsid w:val="3F99AF12"/>
    <w:rsid w:val="3F9BF160"/>
    <w:rsid w:val="3FBAE02E"/>
    <w:rsid w:val="3FBDC972"/>
    <w:rsid w:val="3FCB5750"/>
    <w:rsid w:val="3FD19C83"/>
    <w:rsid w:val="3FD261AF"/>
    <w:rsid w:val="3FD477A1"/>
    <w:rsid w:val="3FD66C76"/>
    <w:rsid w:val="3FD7AB62"/>
    <w:rsid w:val="3FE023F6"/>
    <w:rsid w:val="3FEAF7E9"/>
    <w:rsid w:val="3FEB9971"/>
    <w:rsid w:val="3FEEEF7E"/>
    <w:rsid w:val="3FF30E4F"/>
    <w:rsid w:val="3FFF6991"/>
    <w:rsid w:val="4008DEF7"/>
    <w:rsid w:val="400BA9FB"/>
    <w:rsid w:val="400CD466"/>
    <w:rsid w:val="4011F1C9"/>
    <w:rsid w:val="40158571"/>
    <w:rsid w:val="401F6278"/>
    <w:rsid w:val="40284BFE"/>
    <w:rsid w:val="402BFC3D"/>
    <w:rsid w:val="402D4A52"/>
    <w:rsid w:val="403A371E"/>
    <w:rsid w:val="40455C02"/>
    <w:rsid w:val="404AD4FE"/>
    <w:rsid w:val="404B135F"/>
    <w:rsid w:val="404DE463"/>
    <w:rsid w:val="4050FC10"/>
    <w:rsid w:val="405E8299"/>
    <w:rsid w:val="405F028C"/>
    <w:rsid w:val="4062B9D1"/>
    <w:rsid w:val="4066F078"/>
    <w:rsid w:val="4077E755"/>
    <w:rsid w:val="4092970D"/>
    <w:rsid w:val="409C2AA5"/>
    <w:rsid w:val="40A7F0F5"/>
    <w:rsid w:val="40AA93AD"/>
    <w:rsid w:val="40B4DBA0"/>
    <w:rsid w:val="40B80118"/>
    <w:rsid w:val="40C36736"/>
    <w:rsid w:val="40C5C6AD"/>
    <w:rsid w:val="40E45267"/>
    <w:rsid w:val="40EF35B3"/>
    <w:rsid w:val="40F5B04B"/>
    <w:rsid w:val="40F86AC7"/>
    <w:rsid w:val="4101F28B"/>
    <w:rsid w:val="4114BB3B"/>
    <w:rsid w:val="41190B73"/>
    <w:rsid w:val="41257D4B"/>
    <w:rsid w:val="412681CD"/>
    <w:rsid w:val="4126C64B"/>
    <w:rsid w:val="4133A715"/>
    <w:rsid w:val="413806E1"/>
    <w:rsid w:val="4138C8BA"/>
    <w:rsid w:val="413D4CE6"/>
    <w:rsid w:val="414E2386"/>
    <w:rsid w:val="4154AEDB"/>
    <w:rsid w:val="41619059"/>
    <w:rsid w:val="41656743"/>
    <w:rsid w:val="416E0D8F"/>
    <w:rsid w:val="417BE2E2"/>
    <w:rsid w:val="417F8AC4"/>
    <w:rsid w:val="41812675"/>
    <w:rsid w:val="418BA9E4"/>
    <w:rsid w:val="41962967"/>
    <w:rsid w:val="4198AB2A"/>
    <w:rsid w:val="419C51A9"/>
    <w:rsid w:val="41A8375A"/>
    <w:rsid w:val="41AD2295"/>
    <w:rsid w:val="41B12C9A"/>
    <w:rsid w:val="41B49973"/>
    <w:rsid w:val="41BAE593"/>
    <w:rsid w:val="41BF6088"/>
    <w:rsid w:val="41D03C4E"/>
    <w:rsid w:val="41D19FA1"/>
    <w:rsid w:val="41D542B8"/>
    <w:rsid w:val="41D96C54"/>
    <w:rsid w:val="41E509E0"/>
    <w:rsid w:val="41E863BA"/>
    <w:rsid w:val="41EA401A"/>
    <w:rsid w:val="41FD6B7B"/>
    <w:rsid w:val="42047D41"/>
    <w:rsid w:val="421604F7"/>
    <w:rsid w:val="421D6227"/>
    <w:rsid w:val="4226C19D"/>
    <w:rsid w:val="4230FABF"/>
    <w:rsid w:val="4236E849"/>
    <w:rsid w:val="423CE77E"/>
    <w:rsid w:val="424A42DC"/>
    <w:rsid w:val="424D801C"/>
    <w:rsid w:val="42513EF7"/>
    <w:rsid w:val="425C7485"/>
    <w:rsid w:val="425E726F"/>
    <w:rsid w:val="4260B4A0"/>
    <w:rsid w:val="427C37E2"/>
    <w:rsid w:val="427DBAFD"/>
    <w:rsid w:val="427DC042"/>
    <w:rsid w:val="427E0DC5"/>
    <w:rsid w:val="427FBA06"/>
    <w:rsid w:val="4280F9B2"/>
    <w:rsid w:val="4282DAB1"/>
    <w:rsid w:val="4289E843"/>
    <w:rsid w:val="42936991"/>
    <w:rsid w:val="42A76955"/>
    <w:rsid w:val="42A9A4DF"/>
    <w:rsid w:val="42AD0ED2"/>
    <w:rsid w:val="42AFB18F"/>
    <w:rsid w:val="42B0CBB7"/>
    <w:rsid w:val="42B87771"/>
    <w:rsid w:val="42C08832"/>
    <w:rsid w:val="42C21A2F"/>
    <w:rsid w:val="42C4E0DD"/>
    <w:rsid w:val="42C56792"/>
    <w:rsid w:val="42C62111"/>
    <w:rsid w:val="42C81F3D"/>
    <w:rsid w:val="42D41CDD"/>
    <w:rsid w:val="42D6049F"/>
    <w:rsid w:val="42DD273C"/>
    <w:rsid w:val="42E68BB9"/>
    <w:rsid w:val="42E8C5C5"/>
    <w:rsid w:val="42E9CE3F"/>
    <w:rsid w:val="42F0E19F"/>
    <w:rsid w:val="42F53569"/>
    <w:rsid w:val="4304A226"/>
    <w:rsid w:val="43061B99"/>
    <w:rsid w:val="430A33EB"/>
    <w:rsid w:val="43146B82"/>
    <w:rsid w:val="431AA8B2"/>
    <w:rsid w:val="431DD6F1"/>
    <w:rsid w:val="431E13C4"/>
    <w:rsid w:val="4322A56A"/>
    <w:rsid w:val="4325C653"/>
    <w:rsid w:val="43366F66"/>
    <w:rsid w:val="433B4651"/>
    <w:rsid w:val="43412B69"/>
    <w:rsid w:val="4347E761"/>
    <w:rsid w:val="4348E682"/>
    <w:rsid w:val="434EF2F9"/>
    <w:rsid w:val="434F4527"/>
    <w:rsid w:val="435345D7"/>
    <w:rsid w:val="43562D7C"/>
    <w:rsid w:val="435D04EE"/>
    <w:rsid w:val="4362CFC5"/>
    <w:rsid w:val="43677951"/>
    <w:rsid w:val="437925CB"/>
    <w:rsid w:val="437A6ED4"/>
    <w:rsid w:val="437BC3B5"/>
    <w:rsid w:val="437C73CD"/>
    <w:rsid w:val="43802DE1"/>
    <w:rsid w:val="4382889F"/>
    <w:rsid w:val="4383A15C"/>
    <w:rsid w:val="43860508"/>
    <w:rsid w:val="438E37B7"/>
    <w:rsid w:val="438EE1CC"/>
    <w:rsid w:val="4393FFAA"/>
    <w:rsid w:val="43A5FFC6"/>
    <w:rsid w:val="43A78CDB"/>
    <w:rsid w:val="43A8096C"/>
    <w:rsid w:val="43AA25C7"/>
    <w:rsid w:val="43B6082A"/>
    <w:rsid w:val="43B711EE"/>
    <w:rsid w:val="43BBC23E"/>
    <w:rsid w:val="43BC3AAF"/>
    <w:rsid w:val="43C20EE4"/>
    <w:rsid w:val="43CC347B"/>
    <w:rsid w:val="43CDEDA4"/>
    <w:rsid w:val="43CF5D89"/>
    <w:rsid w:val="43D5A0F2"/>
    <w:rsid w:val="43FF0BF8"/>
    <w:rsid w:val="4402739C"/>
    <w:rsid w:val="4407A277"/>
    <w:rsid w:val="441BA06B"/>
    <w:rsid w:val="441D1836"/>
    <w:rsid w:val="441DAEE4"/>
    <w:rsid w:val="441EA2F5"/>
    <w:rsid w:val="4424996C"/>
    <w:rsid w:val="4435C32C"/>
    <w:rsid w:val="443A07A3"/>
    <w:rsid w:val="443E62F7"/>
    <w:rsid w:val="44463D84"/>
    <w:rsid w:val="44476224"/>
    <w:rsid w:val="444782E7"/>
    <w:rsid w:val="44489DAE"/>
    <w:rsid w:val="4448B940"/>
    <w:rsid w:val="44511836"/>
    <w:rsid w:val="4458963A"/>
    <w:rsid w:val="445ADA92"/>
    <w:rsid w:val="4460B13E"/>
    <w:rsid w:val="4469B07A"/>
    <w:rsid w:val="446B0C67"/>
    <w:rsid w:val="446D48AC"/>
    <w:rsid w:val="446E1845"/>
    <w:rsid w:val="44780E7F"/>
    <w:rsid w:val="4478EAAD"/>
    <w:rsid w:val="4479957A"/>
    <w:rsid w:val="447AFE04"/>
    <w:rsid w:val="4481C57A"/>
    <w:rsid w:val="44887B39"/>
    <w:rsid w:val="448E4322"/>
    <w:rsid w:val="44C23BDC"/>
    <w:rsid w:val="44CCEF9A"/>
    <w:rsid w:val="44D839CC"/>
    <w:rsid w:val="44DF1CBB"/>
    <w:rsid w:val="44E0F0C4"/>
    <w:rsid w:val="4515D53B"/>
    <w:rsid w:val="45242432"/>
    <w:rsid w:val="4531EEA1"/>
    <w:rsid w:val="4535D13E"/>
    <w:rsid w:val="453A38D7"/>
    <w:rsid w:val="453A8D9F"/>
    <w:rsid w:val="45441B80"/>
    <w:rsid w:val="454F0DD9"/>
    <w:rsid w:val="455B5F96"/>
    <w:rsid w:val="455C4F9E"/>
    <w:rsid w:val="455CA160"/>
    <w:rsid w:val="455E86BC"/>
    <w:rsid w:val="4566800F"/>
    <w:rsid w:val="456AB6E5"/>
    <w:rsid w:val="457B73BD"/>
    <w:rsid w:val="457CB0F3"/>
    <w:rsid w:val="45932EF4"/>
    <w:rsid w:val="45AD3B1A"/>
    <w:rsid w:val="45B8AD5D"/>
    <w:rsid w:val="45C97B5F"/>
    <w:rsid w:val="45E90F4E"/>
    <w:rsid w:val="45F2092C"/>
    <w:rsid w:val="46059968"/>
    <w:rsid w:val="4616061B"/>
    <w:rsid w:val="4627C1E0"/>
    <w:rsid w:val="4629D24E"/>
    <w:rsid w:val="463A9E45"/>
    <w:rsid w:val="4640001B"/>
    <w:rsid w:val="46456DBA"/>
    <w:rsid w:val="464B6B10"/>
    <w:rsid w:val="4651A238"/>
    <w:rsid w:val="4663F0E6"/>
    <w:rsid w:val="46653AF8"/>
    <w:rsid w:val="4667EF27"/>
    <w:rsid w:val="466CA847"/>
    <w:rsid w:val="46710642"/>
    <w:rsid w:val="467F476F"/>
    <w:rsid w:val="468497E4"/>
    <w:rsid w:val="46894DF4"/>
    <w:rsid w:val="469B7F33"/>
    <w:rsid w:val="469DB64A"/>
    <w:rsid w:val="469DE2EF"/>
    <w:rsid w:val="469EDD15"/>
    <w:rsid w:val="46A4E657"/>
    <w:rsid w:val="46A8486B"/>
    <w:rsid w:val="46A9D8C5"/>
    <w:rsid w:val="46B3B92A"/>
    <w:rsid w:val="46B49BF9"/>
    <w:rsid w:val="46B76572"/>
    <w:rsid w:val="46B8FFBC"/>
    <w:rsid w:val="46C32EF1"/>
    <w:rsid w:val="46C70FEF"/>
    <w:rsid w:val="46CCC9FC"/>
    <w:rsid w:val="46D39B79"/>
    <w:rsid w:val="46DCCC96"/>
    <w:rsid w:val="46E4C675"/>
    <w:rsid w:val="46E7A9A9"/>
    <w:rsid w:val="46EE6BEE"/>
    <w:rsid w:val="46EEB941"/>
    <w:rsid w:val="46F44F2E"/>
    <w:rsid w:val="46F85451"/>
    <w:rsid w:val="46F9DC21"/>
    <w:rsid w:val="46FBA716"/>
    <w:rsid w:val="4713FDF0"/>
    <w:rsid w:val="471A1E40"/>
    <w:rsid w:val="472D6C27"/>
    <w:rsid w:val="47360B08"/>
    <w:rsid w:val="4738023B"/>
    <w:rsid w:val="473E303F"/>
    <w:rsid w:val="474066ED"/>
    <w:rsid w:val="474FE31E"/>
    <w:rsid w:val="4752134B"/>
    <w:rsid w:val="47537161"/>
    <w:rsid w:val="4754F011"/>
    <w:rsid w:val="4755DA35"/>
    <w:rsid w:val="475685A1"/>
    <w:rsid w:val="475C5E3E"/>
    <w:rsid w:val="475FF894"/>
    <w:rsid w:val="4765C22D"/>
    <w:rsid w:val="476D744E"/>
    <w:rsid w:val="477439F8"/>
    <w:rsid w:val="477B5DAB"/>
    <w:rsid w:val="4786092A"/>
    <w:rsid w:val="47953FE7"/>
    <w:rsid w:val="47A48E23"/>
    <w:rsid w:val="47A5A292"/>
    <w:rsid w:val="47AC254E"/>
    <w:rsid w:val="47AC6F29"/>
    <w:rsid w:val="47D8906A"/>
    <w:rsid w:val="47D8F827"/>
    <w:rsid w:val="47DA684A"/>
    <w:rsid w:val="47DC220F"/>
    <w:rsid w:val="47DEF87E"/>
    <w:rsid w:val="47F2ABB1"/>
    <w:rsid w:val="47F41866"/>
    <w:rsid w:val="47F4A158"/>
    <w:rsid w:val="4811A301"/>
    <w:rsid w:val="4814CC2E"/>
    <w:rsid w:val="48170AEC"/>
    <w:rsid w:val="48212C16"/>
    <w:rsid w:val="4821AE2A"/>
    <w:rsid w:val="48270C79"/>
    <w:rsid w:val="48286C81"/>
    <w:rsid w:val="4829AAC8"/>
    <w:rsid w:val="4835C4E9"/>
    <w:rsid w:val="48397684"/>
    <w:rsid w:val="483B749E"/>
    <w:rsid w:val="48456AA0"/>
    <w:rsid w:val="4859C665"/>
    <w:rsid w:val="48609411"/>
    <w:rsid w:val="486B3979"/>
    <w:rsid w:val="486BABA5"/>
    <w:rsid w:val="486C72ED"/>
    <w:rsid w:val="48714F0C"/>
    <w:rsid w:val="48892D6E"/>
    <w:rsid w:val="488C86CB"/>
    <w:rsid w:val="488CC6C8"/>
    <w:rsid w:val="48903423"/>
    <w:rsid w:val="48A42ACB"/>
    <w:rsid w:val="48AD5715"/>
    <w:rsid w:val="48B06C39"/>
    <w:rsid w:val="48B5552F"/>
    <w:rsid w:val="48B8A7D4"/>
    <w:rsid w:val="48B99294"/>
    <w:rsid w:val="48BCE877"/>
    <w:rsid w:val="48C47BEE"/>
    <w:rsid w:val="48C73994"/>
    <w:rsid w:val="48CB6F81"/>
    <w:rsid w:val="48CD671C"/>
    <w:rsid w:val="48D2ABBC"/>
    <w:rsid w:val="48EC7A38"/>
    <w:rsid w:val="48F2167A"/>
    <w:rsid w:val="48F6BF6A"/>
    <w:rsid w:val="490BF460"/>
    <w:rsid w:val="490CC95B"/>
    <w:rsid w:val="490F6929"/>
    <w:rsid w:val="491E0D10"/>
    <w:rsid w:val="492D1437"/>
    <w:rsid w:val="49369EDE"/>
    <w:rsid w:val="493E8E6C"/>
    <w:rsid w:val="494A7DC4"/>
    <w:rsid w:val="4956FB1B"/>
    <w:rsid w:val="496559EB"/>
    <w:rsid w:val="497206C8"/>
    <w:rsid w:val="4978AEAF"/>
    <w:rsid w:val="497E013F"/>
    <w:rsid w:val="497E74E7"/>
    <w:rsid w:val="49831534"/>
    <w:rsid w:val="498CC2F8"/>
    <w:rsid w:val="49914651"/>
    <w:rsid w:val="4993A1BC"/>
    <w:rsid w:val="49958D1A"/>
    <w:rsid w:val="499932D0"/>
    <w:rsid w:val="499F8D39"/>
    <w:rsid w:val="49A8E055"/>
    <w:rsid w:val="49B23DA0"/>
    <w:rsid w:val="49B44127"/>
    <w:rsid w:val="49B4D29B"/>
    <w:rsid w:val="49CC2300"/>
    <w:rsid w:val="49CDBF01"/>
    <w:rsid w:val="49D2C6A4"/>
    <w:rsid w:val="49E343F9"/>
    <w:rsid w:val="49E85172"/>
    <w:rsid w:val="49E9B791"/>
    <w:rsid w:val="49E9C3D3"/>
    <w:rsid w:val="4A00725E"/>
    <w:rsid w:val="4A05120A"/>
    <w:rsid w:val="4A0961CD"/>
    <w:rsid w:val="4A114FB8"/>
    <w:rsid w:val="4A174435"/>
    <w:rsid w:val="4A1A6A02"/>
    <w:rsid w:val="4A1CE836"/>
    <w:rsid w:val="4A1E9012"/>
    <w:rsid w:val="4A1F87F9"/>
    <w:rsid w:val="4A2504CF"/>
    <w:rsid w:val="4A25A351"/>
    <w:rsid w:val="4A33CEF7"/>
    <w:rsid w:val="4A380B11"/>
    <w:rsid w:val="4A3F9094"/>
    <w:rsid w:val="4A3FFF7C"/>
    <w:rsid w:val="4A44161E"/>
    <w:rsid w:val="4A4FF1EF"/>
    <w:rsid w:val="4A57F34B"/>
    <w:rsid w:val="4A5F80A0"/>
    <w:rsid w:val="4A6075B9"/>
    <w:rsid w:val="4A622C36"/>
    <w:rsid w:val="4A7227FA"/>
    <w:rsid w:val="4A7458A5"/>
    <w:rsid w:val="4A76F59E"/>
    <w:rsid w:val="4A790486"/>
    <w:rsid w:val="4A8604D1"/>
    <w:rsid w:val="4A867B66"/>
    <w:rsid w:val="4A89D65B"/>
    <w:rsid w:val="4A8F9B7C"/>
    <w:rsid w:val="4A9B3F0C"/>
    <w:rsid w:val="4AA1C276"/>
    <w:rsid w:val="4AB638B9"/>
    <w:rsid w:val="4AB6C6A0"/>
    <w:rsid w:val="4AC10523"/>
    <w:rsid w:val="4AC5AA6A"/>
    <w:rsid w:val="4AD33493"/>
    <w:rsid w:val="4ADE0897"/>
    <w:rsid w:val="4AE4A616"/>
    <w:rsid w:val="4AE70A7A"/>
    <w:rsid w:val="4AE83D51"/>
    <w:rsid w:val="4AEC2362"/>
    <w:rsid w:val="4AF9C53C"/>
    <w:rsid w:val="4AFA2A15"/>
    <w:rsid w:val="4AFA31A5"/>
    <w:rsid w:val="4B033C6D"/>
    <w:rsid w:val="4B03C182"/>
    <w:rsid w:val="4B064628"/>
    <w:rsid w:val="4B085A61"/>
    <w:rsid w:val="4B09EDCD"/>
    <w:rsid w:val="4B13E731"/>
    <w:rsid w:val="4B1ED671"/>
    <w:rsid w:val="4B20AE6B"/>
    <w:rsid w:val="4B22FA44"/>
    <w:rsid w:val="4B258EBB"/>
    <w:rsid w:val="4B259C7A"/>
    <w:rsid w:val="4B2BA394"/>
    <w:rsid w:val="4B332F78"/>
    <w:rsid w:val="4B35FA7B"/>
    <w:rsid w:val="4B3C3979"/>
    <w:rsid w:val="4B48360B"/>
    <w:rsid w:val="4B4871FF"/>
    <w:rsid w:val="4B4E5F03"/>
    <w:rsid w:val="4B5661A3"/>
    <w:rsid w:val="4B571C66"/>
    <w:rsid w:val="4B65A354"/>
    <w:rsid w:val="4B6C9A59"/>
    <w:rsid w:val="4B78D137"/>
    <w:rsid w:val="4B795064"/>
    <w:rsid w:val="4B80A26D"/>
    <w:rsid w:val="4BA7185C"/>
    <w:rsid w:val="4BB2F062"/>
    <w:rsid w:val="4BB5630A"/>
    <w:rsid w:val="4BB87856"/>
    <w:rsid w:val="4BBC223F"/>
    <w:rsid w:val="4BC50E2D"/>
    <w:rsid w:val="4BC98DC8"/>
    <w:rsid w:val="4BD1E844"/>
    <w:rsid w:val="4BE94015"/>
    <w:rsid w:val="4BEF4E58"/>
    <w:rsid w:val="4BF1FE17"/>
    <w:rsid w:val="4BFC8157"/>
    <w:rsid w:val="4C06A8D3"/>
    <w:rsid w:val="4C0FC7BF"/>
    <w:rsid w:val="4C103DA6"/>
    <w:rsid w:val="4C20DC92"/>
    <w:rsid w:val="4C2DC1EC"/>
    <w:rsid w:val="4C31D45C"/>
    <w:rsid w:val="4C365D4E"/>
    <w:rsid w:val="4C3EFA98"/>
    <w:rsid w:val="4C438724"/>
    <w:rsid w:val="4C4FC4E7"/>
    <w:rsid w:val="4C54F5A3"/>
    <w:rsid w:val="4C5B3AFF"/>
    <w:rsid w:val="4C666C43"/>
    <w:rsid w:val="4C67805D"/>
    <w:rsid w:val="4C6E45DE"/>
    <w:rsid w:val="4C70C320"/>
    <w:rsid w:val="4C723994"/>
    <w:rsid w:val="4C7A8E65"/>
    <w:rsid w:val="4C7C55F0"/>
    <w:rsid w:val="4C86E27D"/>
    <w:rsid w:val="4C8F2C98"/>
    <w:rsid w:val="4C961A21"/>
    <w:rsid w:val="4C98E93B"/>
    <w:rsid w:val="4C9CF2A7"/>
    <w:rsid w:val="4CA2C0D3"/>
    <w:rsid w:val="4CAB940D"/>
    <w:rsid w:val="4CB2D013"/>
    <w:rsid w:val="4CB783C1"/>
    <w:rsid w:val="4CB80B66"/>
    <w:rsid w:val="4CC4294F"/>
    <w:rsid w:val="4CCA323F"/>
    <w:rsid w:val="4CDFFF5F"/>
    <w:rsid w:val="4CE4A58C"/>
    <w:rsid w:val="4CE7EE57"/>
    <w:rsid w:val="4CEBE4D2"/>
    <w:rsid w:val="4CEDFA69"/>
    <w:rsid w:val="4D009836"/>
    <w:rsid w:val="4D04844D"/>
    <w:rsid w:val="4D0B02F3"/>
    <w:rsid w:val="4D1D0E4B"/>
    <w:rsid w:val="4D1D7AC4"/>
    <w:rsid w:val="4D1F885C"/>
    <w:rsid w:val="4D36906A"/>
    <w:rsid w:val="4D38F280"/>
    <w:rsid w:val="4D3BE27F"/>
    <w:rsid w:val="4D3F461F"/>
    <w:rsid w:val="4D432542"/>
    <w:rsid w:val="4D481E20"/>
    <w:rsid w:val="4D49E31D"/>
    <w:rsid w:val="4D53799A"/>
    <w:rsid w:val="4D5622B0"/>
    <w:rsid w:val="4D586A5B"/>
    <w:rsid w:val="4D5E6748"/>
    <w:rsid w:val="4D5FAE60"/>
    <w:rsid w:val="4D64F915"/>
    <w:rsid w:val="4D6718A3"/>
    <w:rsid w:val="4D691503"/>
    <w:rsid w:val="4D6C0B22"/>
    <w:rsid w:val="4D6DA792"/>
    <w:rsid w:val="4D6E566B"/>
    <w:rsid w:val="4D70A4C8"/>
    <w:rsid w:val="4D70FF87"/>
    <w:rsid w:val="4D776E93"/>
    <w:rsid w:val="4D829565"/>
    <w:rsid w:val="4D84CA8E"/>
    <w:rsid w:val="4D890096"/>
    <w:rsid w:val="4D8B89A4"/>
    <w:rsid w:val="4DB12B15"/>
    <w:rsid w:val="4DB23A12"/>
    <w:rsid w:val="4DC5B63F"/>
    <w:rsid w:val="4DCB23C4"/>
    <w:rsid w:val="4DCD60CF"/>
    <w:rsid w:val="4DD0B2DC"/>
    <w:rsid w:val="4DD578D6"/>
    <w:rsid w:val="4DD7A2AC"/>
    <w:rsid w:val="4DD893F1"/>
    <w:rsid w:val="4DDA1549"/>
    <w:rsid w:val="4DE6FDF8"/>
    <w:rsid w:val="4E000A62"/>
    <w:rsid w:val="4E029D96"/>
    <w:rsid w:val="4E080C52"/>
    <w:rsid w:val="4E0F57AF"/>
    <w:rsid w:val="4E335FC8"/>
    <w:rsid w:val="4E344775"/>
    <w:rsid w:val="4E35BB6E"/>
    <w:rsid w:val="4E4ABE11"/>
    <w:rsid w:val="4E5254B7"/>
    <w:rsid w:val="4E5D1184"/>
    <w:rsid w:val="4E65E651"/>
    <w:rsid w:val="4E68B18B"/>
    <w:rsid w:val="4E6D9E28"/>
    <w:rsid w:val="4E74DA30"/>
    <w:rsid w:val="4E78765F"/>
    <w:rsid w:val="4E90732A"/>
    <w:rsid w:val="4E97C782"/>
    <w:rsid w:val="4EA7790E"/>
    <w:rsid w:val="4EADEF1A"/>
    <w:rsid w:val="4EB73B80"/>
    <w:rsid w:val="4EBAF631"/>
    <w:rsid w:val="4EC1AAAE"/>
    <w:rsid w:val="4ED5828B"/>
    <w:rsid w:val="4ED59C20"/>
    <w:rsid w:val="4ED6FDD6"/>
    <w:rsid w:val="4EDAB078"/>
    <w:rsid w:val="4EDDB7A3"/>
    <w:rsid w:val="4EE79C6F"/>
    <w:rsid w:val="4EE868F6"/>
    <w:rsid w:val="4EEA22CE"/>
    <w:rsid w:val="4EF0EC48"/>
    <w:rsid w:val="4EFFA071"/>
    <w:rsid w:val="4F00A847"/>
    <w:rsid w:val="4F0E9CA6"/>
    <w:rsid w:val="4F138B0C"/>
    <w:rsid w:val="4F1C521D"/>
    <w:rsid w:val="4F1D241B"/>
    <w:rsid w:val="4F2328DC"/>
    <w:rsid w:val="4F237553"/>
    <w:rsid w:val="4F2AC519"/>
    <w:rsid w:val="4F2F7E8C"/>
    <w:rsid w:val="4F3A39C0"/>
    <w:rsid w:val="4F3A77E7"/>
    <w:rsid w:val="4F4B0819"/>
    <w:rsid w:val="4F4B3497"/>
    <w:rsid w:val="4F533F5D"/>
    <w:rsid w:val="4F57E81E"/>
    <w:rsid w:val="4F5BEA5B"/>
    <w:rsid w:val="4F5F100D"/>
    <w:rsid w:val="4F6238FA"/>
    <w:rsid w:val="4F6F7CF3"/>
    <w:rsid w:val="4F7A90A0"/>
    <w:rsid w:val="4F885BB5"/>
    <w:rsid w:val="4F8C97A7"/>
    <w:rsid w:val="4F9D7CE9"/>
    <w:rsid w:val="4F9F8D81"/>
    <w:rsid w:val="4FA3517E"/>
    <w:rsid w:val="4FA4E3C3"/>
    <w:rsid w:val="4FA76BC4"/>
    <w:rsid w:val="4FAC3B71"/>
    <w:rsid w:val="4FB7A9EF"/>
    <w:rsid w:val="4FBF126C"/>
    <w:rsid w:val="4FC9FA79"/>
    <w:rsid w:val="4FE94CA3"/>
    <w:rsid w:val="4FEA5BDC"/>
    <w:rsid w:val="50028AEF"/>
    <w:rsid w:val="5003B336"/>
    <w:rsid w:val="5003C4BA"/>
    <w:rsid w:val="5006E702"/>
    <w:rsid w:val="500C875F"/>
    <w:rsid w:val="50126A6E"/>
    <w:rsid w:val="501F0436"/>
    <w:rsid w:val="5026E37B"/>
    <w:rsid w:val="502DF3D3"/>
    <w:rsid w:val="50345EB7"/>
    <w:rsid w:val="503F508A"/>
    <w:rsid w:val="50437B3C"/>
    <w:rsid w:val="5045A603"/>
    <w:rsid w:val="504880B7"/>
    <w:rsid w:val="50499B22"/>
    <w:rsid w:val="504F6636"/>
    <w:rsid w:val="50599B2B"/>
    <w:rsid w:val="505E3FB7"/>
    <w:rsid w:val="507508E6"/>
    <w:rsid w:val="507B404C"/>
    <w:rsid w:val="50837363"/>
    <w:rsid w:val="508CB7ED"/>
    <w:rsid w:val="5098770C"/>
    <w:rsid w:val="50989265"/>
    <w:rsid w:val="50A931ED"/>
    <w:rsid w:val="50A97057"/>
    <w:rsid w:val="50B1F859"/>
    <w:rsid w:val="50B3A700"/>
    <w:rsid w:val="50BE0A19"/>
    <w:rsid w:val="50C0DB61"/>
    <w:rsid w:val="50CAC9BF"/>
    <w:rsid w:val="50CF263C"/>
    <w:rsid w:val="50CF43F8"/>
    <w:rsid w:val="50D258BE"/>
    <w:rsid w:val="50E0D9E5"/>
    <w:rsid w:val="50EE8F7D"/>
    <w:rsid w:val="50F84CC3"/>
    <w:rsid w:val="5100603A"/>
    <w:rsid w:val="5105BB51"/>
    <w:rsid w:val="510BCDEE"/>
    <w:rsid w:val="51179A05"/>
    <w:rsid w:val="5118052B"/>
    <w:rsid w:val="511A7D24"/>
    <w:rsid w:val="511AC588"/>
    <w:rsid w:val="51310D51"/>
    <w:rsid w:val="513A51CA"/>
    <w:rsid w:val="513DCBBD"/>
    <w:rsid w:val="51444B3F"/>
    <w:rsid w:val="514562E6"/>
    <w:rsid w:val="514A0785"/>
    <w:rsid w:val="51636B5C"/>
    <w:rsid w:val="516384CB"/>
    <w:rsid w:val="51647100"/>
    <w:rsid w:val="51708815"/>
    <w:rsid w:val="5175AC8F"/>
    <w:rsid w:val="5176F84F"/>
    <w:rsid w:val="51770D12"/>
    <w:rsid w:val="5177DBD9"/>
    <w:rsid w:val="519A7282"/>
    <w:rsid w:val="51A351C3"/>
    <w:rsid w:val="51A682A3"/>
    <w:rsid w:val="51ACEEAE"/>
    <w:rsid w:val="51B26697"/>
    <w:rsid w:val="51B395FE"/>
    <w:rsid w:val="51BADA81"/>
    <w:rsid w:val="51C4F2FC"/>
    <w:rsid w:val="51C6E54D"/>
    <w:rsid w:val="51D1C90B"/>
    <w:rsid w:val="51D4D1F3"/>
    <w:rsid w:val="51DD97A0"/>
    <w:rsid w:val="51E83DCE"/>
    <w:rsid w:val="51E93162"/>
    <w:rsid w:val="51E9AA27"/>
    <w:rsid w:val="51F204BB"/>
    <w:rsid w:val="51F663A2"/>
    <w:rsid w:val="51FD0A18"/>
    <w:rsid w:val="52056144"/>
    <w:rsid w:val="521D6561"/>
    <w:rsid w:val="521E7547"/>
    <w:rsid w:val="5226705E"/>
    <w:rsid w:val="522ADF5F"/>
    <w:rsid w:val="52325B95"/>
    <w:rsid w:val="52373A6C"/>
    <w:rsid w:val="5239E48F"/>
    <w:rsid w:val="5242E975"/>
    <w:rsid w:val="524CD609"/>
    <w:rsid w:val="524D9BED"/>
    <w:rsid w:val="52521217"/>
    <w:rsid w:val="5252723B"/>
    <w:rsid w:val="525B8C02"/>
    <w:rsid w:val="5260BF99"/>
    <w:rsid w:val="526219D7"/>
    <w:rsid w:val="52746E43"/>
    <w:rsid w:val="527D4C2E"/>
    <w:rsid w:val="52893F7F"/>
    <w:rsid w:val="528B9DBA"/>
    <w:rsid w:val="529B8173"/>
    <w:rsid w:val="52A31DE9"/>
    <w:rsid w:val="52A501CD"/>
    <w:rsid w:val="52A7A73C"/>
    <w:rsid w:val="52AED9DF"/>
    <w:rsid w:val="52C1E448"/>
    <w:rsid w:val="52C896FE"/>
    <w:rsid w:val="52CD1877"/>
    <w:rsid w:val="52D59E46"/>
    <w:rsid w:val="52E167C6"/>
    <w:rsid w:val="52E88530"/>
    <w:rsid w:val="52ED2A96"/>
    <w:rsid w:val="52F5D2B5"/>
    <w:rsid w:val="52FB6617"/>
    <w:rsid w:val="530BE032"/>
    <w:rsid w:val="531216AD"/>
    <w:rsid w:val="5314BA06"/>
    <w:rsid w:val="531751AD"/>
    <w:rsid w:val="531A3916"/>
    <w:rsid w:val="532E8B27"/>
    <w:rsid w:val="53359E92"/>
    <w:rsid w:val="533A8DB5"/>
    <w:rsid w:val="533C4E64"/>
    <w:rsid w:val="533ED978"/>
    <w:rsid w:val="53403A49"/>
    <w:rsid w:val="53427B3A"/>
    <w:rsid w:val="5344111E"/>
    <w:rsid w:val="5347FD59"/>
    <w:rsid w:val="535102B9"/>
    <w:rsid w:val="53571D4C"/>
    <w:rsid w:val="536260ED"/>
    <w:rsid w:val="5371B81B"/>
    <w:rsid w:val="5374330A"/>
    <w:rsid w:val="537509DD"/>
    <w:rsid w:val="538916F8"/>
    <w:rsid w:val="538D87AE"/>
    <w:rsid w:val="538EA190"/>
    <w:rsid w:val="53916560"/>
    <w:rsid w:val="53A19D14"/>
    <w:rsid w:val="53B38454"/>
    <w:rsid w:val="53BABF3D"/>
    <w:rsid w:val="53D0AFCC"/>
    <w:rsid w:val="53D63930"/>
    <w:rsid w:val="53E6B92D"/>
    <w:rsid w:val="5404E26E"/>
    <w:rsid w:val="54191C8F"/>
    <w:rsid w:val="542307DC"/>
    <w:rsid w:val="54318EA2"/>
    <w:rsid w:val="5431E89D"/>
    <w:rsid w:val="5447DDE1"/>
    <w:rsid w:val="5454581D"/>
    <w:rsid w:val="545CDD49"/>
    <w:rsid w:val="5463C414"/>
    <w:rsid w:val="54679CFF"/>
    <w:rsid w:val="546D2997"/>
    <w:rsid w:val="54819514"/>
    <w:rsid w:val="54845AC5"/>
    <w:rsid w:val="54891210"/>
    <w:rsid w:val="548D94BC"/>
    <w:rsid w:val="548DB31F"/>
    <w:rsid w:val="54902DB6"/>
    <w:rsid w:val="5493F879"/>
    <w:rsid w:val="54AC2D79"/>
    <w:rsid w:val="54AD8DED"/>
    <w:rsid w:val="54B23408"/>
    <w:rsid w:val="54B8BD9F"/>
    <w:rsid w:val="54D4EF76"/>
    <w:rsid w:val="54D7F575"/>
    <w:rsid w:val="54DEBA6D"/>
    <w:rsid w:val="54E2BBFF"/>
    <w:rsid w:val="54EBBF79"/>
    <w:rsid w:val="54EDDCB3"/>
    <w:rsid w:val="54F12BC2"/>
    <w:rsid w:val="54F13658"/>
    <w:rsid w:val="54F51520"/>
    <w:rsid w:val="54FB0D1A"/>
    <w:rsid w:val="550319F1"/>
    <w:rsid w:val="55068B8F"/>
    <w:rsid w:val="5508BC4E"/>
    <w:rsid w:val="550A0A8D"/>
    <w:rsid w:val="550B01E8"/>
    <w:rsid w:val="551D1670"/>
    <w:rsid w:val="552137AC"/>
    <w:rsid w:val="5525B864"/>
    <w:rsid w:val="552FC99D"/>
    <w:rsid w:val="55388CC4"/>
    <w:rsid w:val="553C9D24"/>
    <w:rsid w:val="55498526"/>
    <w:rsid w:val="554A32FD"/>
    <w:rsid w:val="554E60DB"/>
    <w:rsid w:val="554FEDD2"/>
    <w:rsid w:val="555BC61D"/>
    <w:rsid w:val="555D6452"/>
    <w:rsid w:val="555FDB53"/>
    <w:rsid w:val="55620642"/>
    <w:rsid w:val="556625BC"/>
    <w:rsid w:val="55688C68"/>
    <w:rsid w:val="556A4E63"/>
    <w:rsid w:val="556FA6D5"/>
    <w:rsid w:val="557504B1"/>
    <w:rsid w:val="557BABFA"/>
    <w:rsid w:val="557ED3C9"/>
    <w:rsid w:val="55818720"/>
    <w:rsid w:val="5581D1F4"/>
    <w:rsid w:val="5583D54B"/>
    <w:rsid w:val="558C4DB2"/>
    <w:rsid w:val="558C6879"/>
    <w:rsid w:val="558EEA61"/>
    <w:rsid w:val="55A73667"/>
    <w:rsid w:val="55B36718"/>
    <w:rsid w:val="55B56F02"/>
    <w:rsid w:val="55CB0DA9"/>
    <w:rsid w:val="55CD56BE"/>
    <w:rsid w:val="55D5C5D2"/>
    <w:rsid w:val="55DBA5A0"/>
    <w:rsid w:val="55E2DF66"/>
    <w:rsid w:val="55E2EED3"/>
    <w:rsid w:val="55E33696"/>
    <w:rsid w:val="55E46FCD"/>
    <w:rsid w:val="55EBE435"/>
    <w:rsid w:val="55FB8FE5"/>
    <w:rsid w:val="55FF2664"/>
    <w:rsid w:val="5610781B"/>
    <w:rsid w:val="5619E002"/>
    <w:rsid w:val="561E2734"/>
    <w:rsid w:val="56258432"/>
    <w:rsid w:val="56290491"/>
    <w:rsid w:val="5629C842"/>
    <w:rsid w:val="562E5458"/>
    <w:rsid w:val="562F4C36"/>
    <w:rsid w:val="562F6ECB"/>
    <w:rsid w:val="563D0CDB"/>
    <w:rsid w:val="56493938"/>
    <w:rsid w:val="5650901E"/>
    <w:rsid w:val="565BE5A2"/>
    <w:rsid w:val="56670035"/>
    <w:rsid w:val="567FA965"/>
    <w:rsid w:val="5683CCC0"/>
    <w:rsid w:val="568EFB77"/>
    <w:rsid w:val="569D573A"/>
    <w:rsid w:val="56A62B99"/>
    <w:rsid w:val="56ACDA63"/>
    <w:rsid w:val="56AD30AC"/>
    <w:rsid w:val="56B04DF2"/>
    <w:rsid w:val="56B0B679"/>
    <w:rsid w:val="56C57F25"/>
    <w:rsid w:val="56C64F21"/>
    <w:rsid w:val="56CF576C"/>
    <w:rsid w:val="56D1C4C5"/>
    <w:rsid w:val="56D20B2C"/>
    <w:rsid w:val="56DACFBD"/>
    <w:rsid w:val="56DE3C19"/>
    <w:rsid w:val="56E37EDA"/>
    <w:rsid w:val="56E988A0"/>
    <w:rsid w:val="56EB571F"/>
    <w:rsid w:val="56FBDB57"/>
    <w:rsid w:val="56FD60BA"/>
    <w:rsid w:val="570022DC"/>
    <w:rsid w:val="57044962"/>
    <w:rsid w:val="570ADF35"/>
    <w:rsid w:val="570B3E08"/>
    <w:rsid w:val="571FE495"/>
    <w:rsid w:val="5720E6B9"/>
    <w:rsid w:val="57289753"/>
    <w:rsid w:val="57553432"/>
    <w:rsid w:val="57562F18"/>
    <w:rsid w:val="575C457A"/>
    <w:rsid w:val="57643332"/>
    <w:rsid w:val="57674310"/>
    <w:rsid w:val="576AB7C1"/>
    <w:rsid w:val="576F27EF"/>
    <w:rsid w:val="57707D58"/>
    <w:rsid w:val="5775DEEE"/>
    <w:rsid w:val="577B9272"/>
    <w:rsid w:val="578A55CA"/>
    <w:rsid w:val="578B4DBB"/>
    <w:rsid w:val="578C4759"/>
    <w:rsid w:val="578EFF3B"/>
    <w:rsid w:val="578FF4EE"/>
    <w:rsid w:val="57987D18"/>
    <w:rsid w:val="57A610CF"/>
    <w:rsid w:val="57A8AA7A"/>
    <w:rsid w:val="57AAC094"/>
    <w:rsid w:val="57AFED3C"/>
    <w:rsid w:val="57B25A5F"/>
    <w:rsid w:val="57B2CFF6"/>
    <w:rsid w:val="57B886E1"/>
    <w:rsid w:val="57C703AE"/>
    <w:rsid w:val="57C9CCC2"/>
    <w:rsid w:val="57CD3BF5"/>
    <w:rsid w:val="57DB1B18"/>
    <w:rsid w:val="57E3889F"/>
    <w:rsid w:val="57EB5459"/>
    <w:rsid w:val="57F0EE99"/>
    <w:rsid w:val="57F482A9"/>
    <w:rsid w:val="57FA339A"/>
    <w:rsid w:val="57FBB2C2"/>
    <w:rsid w:val="57FDADF4"/>
    <w:rsid w:val="58028041"/>
    <w:rsid w:val="5811D5F0"/>
    <w:rsid w:val="5819EE7E"/>
    <w:rsid w:val="581E8942"/>
    <w:rsid w:val="5823A0AE"/>
    <w:rsid w:val="5826D614"/>
    <w:rsid w:val="582800E0"/>
    <w:rsid w:val="582C242D"/>
    <w:rsid w:val="582CEC5D"/>
    <w:rsid w:val="584CBC71"/>
    <w:rsid w:val="584D4CFC"/>
    <w:rsid w:val="58546514"/>
    <w:rsid w:val="585DEC6D"/>
    <w:rsid w:val="58696DFF"/>
    <w:rsid w:val="586970C4"/>
    <w:rsid w:val="587EC6FC"/>
    <w:rsid w:val="58832EE4"/>
    <w:rsid w:val="58893F63"/>
    <w:rsid w:val="58921BAA"/>
    <w:rsid w:val="58953B9F"/>
    <w:rsid w:val="58965D54"/>
    <w:rsid w:val="589BA21B"/>
    <w:rsid w:val="58A4127B"/>
    <w:rsid w:val="58B0EADA"/>
    <w:rsid w:val="58B5F22C"/>
    <w:rsid w:val="58BC58A6"/>
    <w:rsid w:val="58CAEAF5"/>
    <w:rsid w:val="58D1DF7D"/>
    <w:rsid w:val="58D4E65B"/>
    <w:rsid w:val="58D82C27"/>
    <w:rsid w:val="58D9E6CD"/>
    <w:rsid w:val="58E24D2F"/>
    <w:rsid w:val="58E777F2"/>
    <w:rsid w:val="58ECF387"/>
    <w:rsid w:val="58EE26D6"/>
    <w:rsid w:val="58F242B7"/>
    <w:rsid w:val="59007033"/>
    <w:rsid w:val="59008B8A"/>
    <w:rsid w:val="590F08E5"/>
    <w:rsid w:val="590F3A13"/>
    <w:rsid w:val="5913B33B"/>
    <w:rsid w:val="59185027"/>
    <w:rsid w:val="5924AB22"/>
    <w:rsid w:val="592EE911"/>
    <w:rsid w:val="59307339"/>
    <w:rsid w:val="59311B98"/>
    <w:rsid w:val="5942FB2A"/>
    <w:rsid w:val="5950A509"/>
    <w:rsid w:val="5950FE12"/>
    <w:rsid w:val="5954E1E5"/>
    <w:rsid w:val="595E4FCC"/>
    <w:rsid w:val="59631707"/>
    <w:rsid w:val="596352E9"/>
    <w:rsid w:val="597876FE"/>
    <w:rsid w:val="5988257E"/>
    <w:rsid w:val="59999206"/>
    <w:rsid w:val="59A40594"/>
    <w:rsid w:val="59B39033"/>
    <w:rsid w:val="59C45604"/>
    <w:rsid w:val="59D2C9C0"/>
    <w:rsid w:val="59D37FEB"/>
    <w:rsid w:val="59D7D3FF"/>
    <w:rsid w:val="59D88202"/>
    <w:rsid w:val="59E60DEA"/>
    <w:rsid w:val="59F4EA3F"/>
    <w:rsid w:val="59FF3C99"/>
    <w:rsid w:val="5A0700FA"/>
    <w:rsid w:val="5A078DB0"/>
    <w:rsid w:val="5A07B78C"/>
    <w:rsid w:val="5A149EF3"/>
    <w:rsid w:val="5A2CD087"/>
    <w:rsid w:val="5A2CED2B"/>
    <w:rsid w:val="5A2FBBA7"/>
    <w:rsid w:val="5A388AB9"/>
    <w:rsid w:val="5A3D466D"/>
    <w:rsid w:val="5A3E51E4"/>
    <w:rsid w:val="5A3F1ED1"/>
    <w:rsid w:val="5A45F00B"/>
    <w:rsid w:val="5A4CD073"/>
    <w:rsid w:val="5A584455"/>
    <w:rsid w:val="5A5B4E78"/>
    <w:rsid w:val="5A61C0D6"/>
    <w:rsid w:val="5A6BA4D8"/>
    <w:rsid w:val="5A7299D5"/>
    <w:rsid w:val="5A782C5F"/>
    <w:rsid w:val="5A813019"/>
    <w:rsid w:val="5A8A67CD"/>
    <w:rsid w:val="5A8DA4D3"/>
    <w:rsid w:val="5A8F08B5"/>
    <w:rsid w:val="5A90FA6D"/>
    <w:rsid w:val="5A9108EB"/>
    <w:rsid w:val="5A93C0C0"/>
    <w:rsid w:val="5A9A3F71"/>
    <w:rsid w:val="5A9C5BEB"/>
    <w:rsid w:val="5A9DB38E"/>
    <w:rsid w:val="5AA3BEE5"/>
    <w:rsid w:val="5AA40130"/>
    <w:rsid w:val="5AAA5D00"/>
    <w:rsid w:val="5AB00971"/>
    <w:rsid w:val="5AB2B048"/>
    <w:rsid w:val="5AC21009"/>
    <w:rsid w:val="5ACB8DAC"/>
    <w:rsid w:val="5ACC439A"/>
    <w:rsid w:val="5AD1AAB3"/>
    <w:rsid w:val="5AD9ABAA"/>
    <w:rsid w:val="5ADB14B8"/>
    <w:rsid w:val="5AE9453C"/>
    <w:rsid w:val="5AE9C5A7"/>
    <w:rsid w:val="5AEE0F75"/>
    <w:rsid w:val="5AF65EAE"/>
    <w:rsid w:val="5AFE3328"/>
    <w:rsid w:val="5B14C958"/>
    <w:rsid w:val="5B160F97"/>
    <w:rsid w:val="5B1FAE08"/>
    <w:rsid w:val="5B21CC96"/>
    <w:rsid w:val="5B27E871"/>
    <w:rsid w:val="5B3590DE"/>
    <w:rsid w:val="5B3992B6"/>
    <w:rsid w:val="5B41EB1E"/>
    <w:rsid w:val="5B41F676"/>
    <w:rsid w:val="5B46BF50"/>
    <w:rsid w:val="5B4B2A28"/>
    <w:rsid w:val="5B4E1F70"/>
    <w:rsid w:val="5B4EE133"/>
    <w:rsid w:val="5B4F4138"/>
    <w:rsid w:val="5B5027CC"/>
    <w:rsid w:val="5B5519C2"/>
    <w:rsid w:val="5B5BAD7E"/>
    <w:rsid w:val="5B62AD80"/>
    <w:rsid w:val="5B66CDA1"/>
    <w:rsid w:val="5B740B92"/>
    <w:rsid w:val="5B87CFE2"/>
    <w:rsid w:val="5B8EF5DB"/>
    <w:rsid w:val="5B95A2B5"/>
    <w:rsid w:val="5B9C1275"/>
    <w:rsid w:val="5BADF8F7"/>
    <w:rsid w:val="5BB33233"/>
    <w:rsid w:val="5BD12173"/>
    <w:rsid w:val="5BE3B642"/>
    <w:rsid w:val="5BF26A84"/>
    <w:rsid w:val="5BF2CA15"/>
    <w:rsid w:val="5BF77758"/>
    <w:rsid w:val="5BFC06A0"/>
    <w:rsid w:val="5C00D1E1"/>
    <w:rsid w:val="5C01FCB8"/>
    <w:rsid w:val="5C03CD92"/>
    <w:rsid w:val="5C076D18"/>
    <w:rsid w:val="5C1065FD"/>
    <w:rsid w:val="5C23059B"/>
    <w:rsid w:val="5C253D83"/>
    <w:rsid w:val="5C3167BC"/>
    <w:rsid w:val="5C31B741"/>
    <w:rsid w:val="5C3AB339"/>
    <w:rsid w:val="5C574E09"/>
    <w:rsid w:val="5C5BC260"/>
    <w:rsid w:val="5C632AC0"/>
    <w:rsid w:val="5C6CB189"/>
    <w:rsid w:val="5C71FE4D"/>
    <w:rsid w:val="5C7239E1"/>
    <w:rsid w:val="5C7CF7D1"/>
    <w:rsid w:val="5C8CFF42"/>
    <w:rsid w:val="5C8DF8BB"/>
    <w:rsid w:val="5C8E7197"/>
    <w:rsid w:val="5C9BEC9A"/>
    <w:rsid w:val="5C9DC96E"/>
    <w:rsid w:val="5CA62D9B"/>
    <w:rsid w:val="5CA8FBD7"/>
    <w:rsid w:val="5CB24AB1"/>
    <w:rsid w:val="5CB5D0F1"/>
    <w:rsid w:val="5CC219D7"/>
    <w:rsid w:val="5CC93BDA"/>
    <w:rsid w:val="5CCB90F6"/>
    <w:rsid w:val="5CECC3D6"/>
    <w:rsid w:val="5CED119F"/>
    <w:rsid w:val="5CEFB5F9"/>
    <w:rsid w:val="5CF6F788"/>
    <w:rsid w:val="5CF92542"/>
    <w:rsid w:val="5CFBAE3E"/>
    <w:rsid w:val="5CFC845E"/>
    <w:rsid w:val="5D0040D8"/>
    <w:rsid w:val="5D01A728"/>
    <w:rsid w:val="5D01FAA8"/>
    <w:rsid w:val="5D0CDDB4"/>
    <w:rsid w:val="5D196C35"/>
    <w:rsid w:val="5D1DC38C"/>
    <w:rsid w:val="5D1F72C5"/>
    <w:rsid w:val="5D23DE03"/>
    <w:rsid w:val="5D2459DD"/>
    <w:rsid w:val="5D2ABD27"/>
    <w:rsid w:val="5D30E8E4"/>
    <w:rsid w:val="5D3914FD"/>
    <w:rsid w:val="5D3BECAC"/>
    <w:rsid w:val="5D3CDC34"/>
    <w:rsid w:val="5D55F388"/>
    <w:rsid w:val="5D56D10A"/>
    <w:rsid w:val="5D56E5D0"/>
    <w:rsid w:val="5D60DBEB"/>
    <w:rsid w:val="5D6877BC"/>
    <w:rsid w:val="5D8181A9"/>
    <w:rsid w:val="5D81EE88"/>
    <w:rsid w:val="5D859B84"/>
    <w:rsid w:val="5D8BCD03"/>
    <w:rsid w:val="5D8DE774"/>
    <w:rsid w:val="5D8EECF4"/>
    <w:rsid w:val="5D97F7C9"/>
    <w:rsid w:val="5D988ABC"/>
    <w:rsid w:val="5DAFA652"/>
    <w:rsid w:val="5DB13899"/>
    <w:rsid w:val="5DB5399B"/>
    <w:rsid w:val="5DB64BB8"/>
    <w:rsid w:val="5DC72EB4"/>
    <w:rsid w:val="5DCEC0F8"/>
    <w:rsid w:val="5DCFDF3A"/>
    <w:rsid w:val="5DD2FD31"/>
    <w:rsid w:val="5DDC315E"/>
    <w:rsid w:val="5DE2D848"/>
    <w:rsid w:val="5DE3688D"/>
    <w:rsid w:val="5DEC907F"/>
    <w:rsid w:val="5DF3005A"/>
    <w:rsid w:val="5E011CC3"/>
    <w:rsid w:val="5E055515"/>
    <w:rsid w:val="5E238F76"/>
    <w:rsid w:val="5E2B2D85"/>
    <w:rsid w:val="5E3101D8"/>
    <w:rsid w:val="5E319221"/>
    <w:rsid w:val="5E35B5B5"/>
    <w:rsid w:val="5E3BA925"/>
    <w:rsid w:val="5E3FCCF3"/>
    <w:rsid w:val="5E46E721"/>
    <w:rsid w:val="5E4969AB"/>
    <w:rsid w:val="5E50E75B"/>
    <w:rsid w:val="5E53AB4D"/>
    <w:rsid w:val="5E624CB0"/>
    <w:rsid w:val="5E78D2A8"/>
    <w:rsid w:val="5E7D3408"/>
    <w:rsid w:val="5E7E0B9A"/>
    <w:rsid w:val="5E8CD1CF"/>
    <w:rsid w:val="5E9B0C3A"/>
    <w:rsid w:val="5EB60D61"/>
    <w:rsid w:val="5EB7EFFE"/>
    <w:rsid w:val="5ED18798"/>
    <w:rsid w:val="5ED3C06A"/>
    <w:rsid w:val="5ED59847"/>
    <w:rsid w:val="5ED89C89"/>
    <w:rsid w:val="5EDD08EC"/>
    <w:rsid w:val="5EE05EA9"/>
    <w:rsid w:val="5EE08E53"/>
    <w:rsid w:val="5EE7C26B"/>
    <w:rsid w:val="5EEC25EE"/>
    <w:rsid w:val="5EF15EBE"/>
    <w:rsid w:val="5EF5430D"/>
    <w:rsid w:val="5F10E8C0"/>
    <w:rsid w:val="5F183DE2"/>
    <w:rsid w:val="5F18B4DA"/>
    <w:rsid w:val="5F234569"/>
    <w:rsid w:val="5F34F2A0"/>
    <w:rsid w:val="5F37837D"/>
    <w:rsid w:val="5F3ABEC1"/>
    <w:rsid w:val="5F3F9E83"/>
    <w:rsid w:val="5F42E5BE"/>
    <w:rsid w:val="5F456F2B"/>
    <w:rsid w:val="5F4711B8"/>
    <w:rsid w:val="5F4BA384"/>
    <w:rsid w:val="5F5072D5"/>
    <w:rsid w:val="5F50F865"/>
    <w:rsid w:val="5F582DF7"/>
    <w:rsid w:val="5F5D3E0D"/>
    <w:rsid w:val="5F5D63AC"/>
    <w:rsid w:val="5F69087E"/>
    <w:rsid w:val="5F706E7C"/>
    <w:rsid w:val="5F74D731"/>
    <w:rsid w:val="5F7A7BCD"/>
    <w:rsid w:val="5F7E08BF"/>
    <w:rsid w:val="5F82BF83"/>
    <w:rsid w:val="5F97914A"/>
    <w:rsid w:val="5F98693B"/>
    <w:rsid w:val="5F9FE830"/>
    <w:rsid w:val="5FA00D18"/>
    <w:rsid w:val="5FA1AF86"/>
    <w:rsid w:val="5FAAA432"/>
    <w:rsid w:val="5FB85F54"/>
    <w:rsid w:val="5FBAB4EB"/>
    <w:rsid w:val="5FBB6EE6"/>
    <w:rsid w:val="5FBBB9A8"/>
    <w:rsid w:val="5FC46398"/>
    <w:rsid w:val="5FC4E075"/>
    <w:rsid w:val="5FCCCACB"/>
    <w:rsid w:val="5FCCFF85"/>
    <w:rsid w:val="5FD15798"/>
    <w:rsid w:val="5FDC80BD"/>
    <w:rsid w:val="5FE57D98"/>
    <w:rsid w:val="5FE860C9"/>
    <w:rsid w:val="5FF4BA1E"/>
    <w:rsid w:val="60021745"/>
    <w:rsid w:val="600647D1"/>
    <w:rsid w:val="600EA903"/>
    <w:rsid w:val="600EF24B"/>
    <w:rsid w:val="6013D4DA"/>
    <w:rsid w:val="60206875"/>
    <w:rsid w:val="6021AA03"/>
    <w:rsid w:val="6029C2DB"/>
    <w:rsid w:val="602CE3E0"/>
    <w:rsid w:val="6038B699"/>
    <w:rsid w:val="603D6009"/>
    <w:rsid w:val="6046CA96"/>
    <w:rsid w:val="6049E689"/>
    <w:rsid w:val="604BE531"/>
    <w:rsid w:val="605684B6"/>
    <w:rsid w:val="6058A01C"/>
    <w:rsid w:val="605D17C1"/>
    <w:rsid w:val="6064DE15"/>
    <w:rsid w:val="606B5BC9"/>
    <w:rsid w:val="606F4441"/>
    <w:rsid w:val="60727920"/>
    <w:rsid w:val="60781A14"/>
    <w:rsid w:val="607DB39F"/>
    <w:rsid w:val="6088E2A3"/>
    <w:rsid w:val="608E3179"/>
    <w:rsid w:val="60A3A4F3"/>
    <w:rsid w:val="60A693C5"/>
    <w:rsid w:val="60B48390"/>
    <w:rsid w:val="60B4A020"/>
    <w:rsid w:val="60C24D56"/>
    <w:rsid w:val="60D5249B"/>
    <w:rsid w:val="60D902C2"/>
    <w:rsid w:val="60D9A85D"/>
    <w:rsid w:val="60D9DEB0"/>
    <w:rsid w:val="60DFB87B"/>
    <w:rsid w:val="60E46EAE"/>
    <w:rsid w:val="60E8083A"/>
    <w:rsid w:val="60E8FEC1"/>
    <w:rsid w:val="60EFADCA"/>
    <w:rsid w:val="60F2210E"/>
    <w:rsid w:val="60F27512"/>
    <w:rsid w:val="60F74471"/>
    <w:rsid w:val="60F84B0E"/>
    <w:rsid w:val="60F97D39"/>
    <w:rsid w:val="60FEA73D"/>
    <w:rsid w:val="6107C326"/>
    <w:rsid w:val="610FA7B0"/>
    <w:rsid w:val="6112E330"/>
    <w:rsid w:val="6114CFF9"/>
    <w:rsid w:val="6117186C"/>
    <w:rsid w:val="6134EF03"/>
    <w:rsid w:val="61378B9A"/>
    <w:rsid w:val="613A3F79"/>
    <w:rsid w:val="614AF4D3"/>
    <w:rsid w:val="61502190"/>
    <w:rsid w:val="61553BEB"/>
    <w:rsid w:val="61687DB2"/>
    <w:rsid w:val="61691E65"/>
    <w:rsid w:val="616AA9D0"/>
    <w:rsid w:val="616C7155"/>
    <w:rsid w:val="61713167"/>
    <w:rsid w:val="6178EB90"/>
    <w:rsid w:val="617B34B7"/>
    <w:rsid w:val="61898258"/>
    <w:rsid w:val="61A71EB5"/>
    <w:rsid w:val="61B95D53"/>
    <w:rsid w:val="61BD065D"/>
    <w:rsid w:val="61C2D67A"/>
    <w:rsid w:val="61CDA296"/>
    <w:rsid w:val="61D6FF62"/>
    <w:rsid w:val="61D976FA"/>
    <w:rsid w:val="61E9B331"/>
    <w:rsid w:val="61E9EDF5"/>
    <w:rsid w:val="61F18AA4"/>
    <w:rsid w:val="61F26C32"/>
    <w:rsid w:val="61FEB32F"/>
    <w:rsid w:val="620A6062"/>
    <w:rsid w:val="620E78BA"/>
    <w:rsid w:val="62192D9F"/>
    <w:rsid w:val="621AA07F"/>
    <w:rsid w:val="621EBDE1"/>
    <w:rsid w:val="6223ABA6"/>
    <w:rsid w:val="622F5534"/>
    <w:rsid w:val="62340FDC"/>
    <w:rsid w:val="6235945A"/>
    <w:rsid w:val="6239123E"/>
    <w:rsid w:val="623963C8"/>
    <w:rsid w:val="6242FD81"/>
    <w:rsid w:val="624C51C3"/>
    <w:rsid w:val="624DFD0F"/>
    <w:rsid w:val="624FDF32"/>
    <w:rsid w:val="6261B7E7"/>
    <w:rsid w:val="62621BD3"/>
    <w:rsid w:val="6263D13D"/>
    <w:rsid w:val="62645279"/>
    <w:rsid w:val="62673001"/>
    <w:rsid w:val="62678750"/>
    <w:rsid w:val="6269EF75"/>
    <w:rsid w:val="626BD1AE"/>
    <w:rsid w:val="628566BF"/>
    <w:rsid w:val="62858E9F"/>
    <w:rsid w:val="62871EA5"/>
    <w:rsid w:val="628ED546"/>
    <w:rsid w:val="629D43D7"/>
    <w:rsid w:val="62ADA1DD"/>
    <w:rsid w:val="62B4EA96"/>
    <w:rsid w:val="62C59C1F"/>
    <w:rsid w:val="62C8DB3E"/>
    <w:rsid w:val="62D10862"/>
    <w:rsid w:val="62D4C0BD"/>
    <w:rsid w:val="62DE3EC9"/>
    <w:rsid w:val="62E66278"/>
    <w:rsid w:val="62E8BFD7"/>
    <w:rsid w:val="62F7821F"/>
    <w:rsid w:val="62FA8043"/>
    <w:rsid w:val="62FD272E"/>
    <w:rsid w:val="630DE820"/>
    <w:rsid w:val="633553DC"/>
    <w:rsid w:val="63356982"/>
    <w:rsid w:val="633F89B3"/>
    <w:rsid w:val="63400B46"/>
    <w:rsid w:val="63468A90"/>
    <w:rsid w:val="634CF648"/>
    <w:rsid w:val="634E1D0F"/>
    <w:rsid w:val="634ED16A"/>
    <w:rsid w:val="635FFE36"/>
    <w:rsid w:val="6360C44B"/>
    <w:rsid w:val="636277CE"/>
    <w:rsid w:val="63659AFD"/>
    <w:rsid w:val="636D6E0B"/>
    <w:rsid w:val="636EF557"/>
    <w:rsid w:val="636F9368"/>
    <w:rsid w:val="637066A0"/>
    <w:rsid w:val="6370C8A4"/>
    <w:rsid w:val="63778530"/>
    <w:rsid w:val="6377E9D7"/>
    <w:rsid w:val="63807BBA"/>
    <w:rsid w:val="63810CA0"/>
    <w:rsid w:val="6382B23B"/>
    <w:rsid w:val="638BBCA9"/>
    <w:rsid w:val="638C4895"/>
    <w:rsid w:val="638FCF45"/>
    <w:rsid w:val="6390899C"/>
    <w:rsid w:val="63B420B8"/>
    <w:rsid w:val="63BCB576"/>
    <w:rsid w:val="63C68E66"/>
    <w:rsid w:val="63C6ECCB"/>
    <w:rsid w:val="63D83B68"/>
    <w:rsid w:val="63E95A1C"/>
    <w:rsid w:val="640022DA"/>
    <w:rsid w:val="641B7CD3"/>
    <w:rsid w:val="641DB002"/>
    <w:rsid w:val="641F4BAC"/>
    <w:rsid w:val="643242DC"/>
    <w:rsid w:val="643ED449"/>
    <w:rsid w:val="645FDC7B"/>
    <w:rsid w:val="646B8601"/>
    <w:rsid w:val="6472F40A"/>
    <w:rsid w:val="6480AEE0"/>
    <w:rsid w:val="6481C9FB"/>
    <w:rsid w:val="6484A664"/>
    <w:rsid w:val="648D8EDA"/>
    <w:rsid w:val="64943EFE"/>
    <w:rsid w:val="64957EAC"/>
    <w:rsid w:val="649D918B"/>
    <w:rsid w:val="649F6507"/>
    <w:rsid w:val="64A10273"/>
    <w:rsid w:val="64A67DFE"/>
    <w:rsid w:val="64B26DC9"/>
    <w:rsid w:val="64B3AA5E"/>
    <w:rsid w:val="64B70A85"/>
    <w:rsid w:val="64BC00E3"/>
    <w:rsid w:val="64EACA52"/>
    <w:rsid w:val="64EBB580"/>
    <w:rsid w:val="64F9C9FD"/>
    <w:rsid w:val="64FAF383"/>
    <w:rsid w:val="6500A627"/>
    <w:rsid w:val="65059457"/>
    <w:rsid w:val="6508A4BF"/>
    <w:rsid w:val="650F791F"/>
    <w:rsid w:val="651AF957"/>
    <w:rsid w:val="65285FF9"/>
    <w:rsid w:val="652F8BEE"/>
    <w:rsid w:val="65304EB6"/>
    <w:rsid w:val="653A48F0"/>
    <w:rsid w:val="653D91FC"/>
    <w:rsid w:val="6543E5DD"/>
    <w:rsid w:val="654457C9"/>
    <w:rsid w:val="654853FA"/>
    <w:rsid w:val="65515A69"/>
    <w:rsid w:val="655205C2"/>
    <w:rsid w:val="6557B4A9"/>
    <w:rsid w:val="65584DC2"/>
    <w:rsid w:val="655D2CD0"/>
    <w:rsid w:val="655E5837"/>
    <w:rsid w:val="655F45A9"/>
    <w:rsid w:val="6565D92B"/>
    <w:rsid w:val="65669232"/>
    <w:rsid w:val="656B382A"/>
    <w:rsid w:val="657360C1"/>
    <w:rsid w:val="658C64AB"/>
    <w:rsid w:val="658D1593"/>
    <w:rsid w:val="6592D75F"/>
    <w:rsid w:val="6595A012"/>
    <w:rsid w:val="659C0CA4"/>
    <w:rsid w:val="659E7702"/>
    <w:rsid w:val="65A4A76C"/>
    <w:rsid w:val="65A5FEAE"/>
    <w:rsid w:val="65A8A486"/>
    <w:rsid w:val="65B53B18"/>
    <w:rsid w:val="65BD906C"/>
    <w:rsid w:val="65C13A22"/>
    <w:rsid w:val="65C75751"/>
    <w:rsid w:val="65D05A50"/>
    <w:rsid w:val="65D178B5"/>
    <w:rsid w:val="65E4EE1C"/>
    <w:rsid w:val="65FAD587"/>
    <w:rsid w:val="65FE0A8B"/>
    <w:rsid w:val="6609544F"/>
    <w:rsid w:val="660B6B34"/>
    <w:rsid w:val="66102CC6"/>
    <w:rsid w:val="6615EA7B"/>
    <w:rsid w:val="6623FA02"/>
    <w:rsid w:val="66279F3D"/>
    <w:rsid w:val="662844E7"/>
    <w:rsid w:val="662A7ABA"/>
    <w:rsid w:val="66375A57"/>
    <w:rsid w:val="66393745"/>
    <w:rsid w:val="663CD2D4"/>
    <w:rsid w:val="664443FF"/>
    <w:rsid w:val="6647105E"/>
    <w:rsid w:val="66755FD8"/>
    <w:rsid w:val="66767D7B"/>
    <w:rsid w:val="66796A67"/>
    <w:rsid w:val="668093AA"/>
    <w:rsid w:val="6699E302"/>
    <w:rsid w:val="669B7741"/>
    <w:rsid w:val="669C602B"/>
    <w:rsid w:val="66A8A0E3"/>
    <w:rsid w:val="66A97705"/>
    <w:rsid w:val="66ABBE9E"/>
    <w:rsid w:val="66B1D0A3"/>
    <w:rsid w:val="66BDAA42"/>
    <w:rsid w:val="66C02604"/>
    <w:rsid w:val="66CD2B36"/>
    <w:rsid w:val="66CEE6D4"/>
    <w:rsid w:val="66DA80BB"/>
    <w:rsid w:val="66E7FCD9"/>
    <w:rsid w:val="66E94A08"/>
    <w:rsid w:val="66EECFD1"/>
    <w:rsid w:val="66F2FBF1"/>
    <w:rsid w:val="67192DFD"/>
    <w:rsid w:val="67227336"/>
    <w:rsid w:val="672773EC"/>
    <w:rsid w:val="6729878B"/>
    <w:rsid w:val="672EC107"/>
    <w:rsid w:val="6730E7A8"/>
    <w:rsid w:val="6736633E"/>
    <w:rsid w:val="674CAD49"/>
    <w:rsid w:val="6755419D"/>
    <w:rsid w:val="67570732"/>
    <w:rsid w:val="6757D756"/>
    <w:rsid w:val="675ACA94"/>
    <w:rsid w:val="675FFB62"/>
    <w:rsid w:val="676092D8"/>
    <w:rsid w:val="67658118"/>
    <w:rsid w:val="6769EBC2"/>
    <w:rsid w:val="676FD489"/>
    <w:rsid w:val="677244F2"/>
    <w:rsid w:val="677ECA57"/>
    <w:rsid w:val="678C38DA"/>
    <w:rsid w:val="679257CD"/>
    <w:rsid w:val="67A21A20"/>
    <w:rsid w:val="67AFFC92"/>
    <w:rsid w:val="67BA85E2"/>
    <w:rsid w:val="67BABC6B"/>
    <w:rsid w:val="67BB77C3"/>
    <w:rsid w:val="67BC1753"/>
    <w:rsid w:val="67BF190E"/>
    <w:rsid w:val="67BF5AE5"/>
    <w:rsid w:val="67C38DD3"/>
    <w:rsid w:val="67CADD37"/>
    <w:rsid w:val="67D19845"/>
    <w:rsid w:val="67DBE64B"/>
    <w:rsid w:val="67E3AFA5"/>
    <w:rsid w:val="67ECAB23"/>
    <w:rsid w:val="67F86F5F"/>
    <w:rsid w:val="68020031"/>
    <w:rsid w:val="68071287"/>
    <w:rsid w:val="681108D6"/>
    <w:rsid w:val="68202235"/>
    <w:rsid w:val="68208848"/>
    <w:rsid w:val="6821CF32"/>
    <w:rsid w:val="682BB178"/>
    <w:rsid w:val="68326671"/>
    <w:rsid w:val="6834B9A8"/>
    <w:rsid w:val="6838B82F"/>
    <w:rsid w:val="684642A3"/>
    <w:rsid w:val="68474D47"/>
    <w:rsid w:val="6847D475"/>
    <w:rsid w:val="684B624E"/>
    <w:rsid w:val="684B653E"/>
    <w:rsid w:val="684E4DC5"/>
    <w:rsid w:val="684EC826"/>
    <w:rsid w:val="6853B6F2"/>
    <w:rsid w:val="68590B3C"/>
    <w:rsid w:val="686AB253"/>
    <w:rsid w:val="687F64AA"/>
    <w:rsid w:val="6880D100"/>
    <w:rsid w:val="68814649"/>
    <w:rsid w:val="6882DB09"/>
    <w:rsid w:val="688547D5"/>
    <w:rsid w:val="68876B47"/>
    <w:rsid w:val="68895E3C"/>
    <w:rsid w:val="6892DF86"/>
    <w:rsid w:val="68932974"/>
    <w:rsid w:val="68980C8E"/>
    <w:rsid w:val="68A70867"/>
    <w:rsid w:val="68AA55E7"/>
    <w:rsid w:val="68AB3E77"/>
    <w:rsid w:val="68B8A11E"/>
    <w:rsid w:val="68B9C6A4"/>
    <w:rsid w:val="68BE27C7"/>
    <w:rsid w:val="68BE36C3"/>
    <w:rsid w:val="68C30C36"/>
    <w:rsid w:val="68E19B63"/>
    <w:rsid w:val="68F2FCA9"/>
    <w:rsid w:val="68FAB64A"/>
    <w:rsid w:val="68FBBE91"/>
    <w:rsid w:val="68FF59F2"/>
    <w:rsid w:val="6901E008"/>
    <w:rsid w:val="6909E5B8"/>
    <w:rsid w:val="69236AB6"/>
    <w:rsid w:val="6927928E"/>
    <w:rsid w:val="693429BF"/>
    <w:rsid w:val="693CDD7E"/>
    <w:rsid w:val="6962F259"/>
    <w:rsid w:val="6963EEF2"/>
    <w:rsid w:val="69690FAB"/>
    <w:rsid w:val="696B79F8"/>
    <w:rsid w:val="696F94A9"/>
    <w:rsid w:val="6978598E"/>
    <w:rsid w:val="6985A336"/>
    <w:rsid w:val="698E7FAE"/>
    <w:rsid w:val="699D72D6"/>
    <w:rsid w:val="69A84C7C"/>
    <w:rsid w:val="69A8726A"/>
    <w:rsid w:val="69BD6314"/>
    <w:rsid w:val="69BF430D"/>
    <w:rsid w:val="69C6F7A2"/>
    <w:rsid w:val="69C756B2"/>
    <w:rsid w:val="69E53216"/>
    <w:rsid w:val="69E5C2AE"/>
    <w:rsid w:val="69E9AD26"/>
    <w:rsid w:val="69EB4B32"/>
    <w:rsid w:val="69FA0CC8"/>
    <w:rsid w:val="6A07570F"/>
    <w:rsid w:val="6A091025"/>
    <w:rsid w:val="6A0B462D"/>
    <w:rsid w:val="6A15B42C"/>
    <w:rsid w:val="6A162FBC"/>
    <w:rsid w:val="6A1E6AFF"/>
    <w:rsid w:val="6A1F41C7"/>
    <w:rsid w:val="6A2032D6"/>
    <w:rsid w:val="6A273B72"/>
    <w:rsid w:val="6A2944FD"/>
    <w:rsid w:val="6A2B9058"/>
    <w:rsid w:val="6A30F5A2"/>
    <w:rsid w:val="6A34A46A"/>
    <w:rsid w:val="6A461A33"/>
    <w:rsid w:val="6A46C2AA"/>
    <w:rsid w:val="6A5C43E0"/>
    <w:rsid w:val="6A5C52BB"/>
    <w:rsid w:val="6A687CBB"/>
    <w:rsid w:val="6A708B9A"/>
    <w:rsid w:val="6A722642"/>
    <w:rsid w:val="6A82BF7B"/>
    <w:rsid w:val="6A83E658"/>
    <w:rsid w:val="6A9154E1"/>
    <w:rsid w:val="6A942A00"/>
    <w:rsid w:val="6A9511CB"/>
    <w:rsid w:val="6A992E5D"/>
    <w:rsid w:val="6AB12B4A"/>
    <w:rsid w:val="6AB5A3B2"/>
    <w:rsid w:val="6AD3F3F9"/>
    <w:rsid w:val="6ADC607A"/>
    <w:rsid w:val="6ADEBF36"/>
    <w:rsid w:val="6AE4622D"/>
    <w:rsid w:val="6AF719D3"/>
    <w:rsid w:val="6AFA7E83"/>
    <w:rsid w:val="6B0103D0"/>
    <w:rsid w:val="6B019D22"/>
    <w:rsid w:val="6B032C29"/>
    <w:rsid w:val="6B1DB883"/>
    <w:rsid w:val="6B22C110"/>
    <w:rsid w:val="6B2ED360"/>
    <w:rsid w:val="6B32678B"/>
    <w:rsid w:val="6B33A758"/>
    <w:rsid w:val="6B34395C"/>
    <w:rsid w:val="6B346FEB"/>
    <w:rsid w:val="6B3F9BEC"/>
    <w:rsid w:val="6B42D143"/>
    <w:rsid w:val="6B43BCEC"/>
    <w:rsid w:val="6B46FA7A"/>
    <w:rsid w:val="6B595775"/>
    <w:rsid w:val="6B5B07A2"/>
    <w:rsid w:val="6B699267"/>
    <w:rsid w:val="6B7D6522"/>
    <w:rsid w:val="6B7FDF81"/>
    <w:rsid w:val="6B831439"/>
    <w:rsid w:val="6B843B97"/>
    <w:rsid w:val="6B846A47"/>
    <w:rsid w:val="6B90600E"/>
    <w:rsid w:val="6B977495"/>
    <w:rsid w:val="6B990836"/>
    <w:rsid w:val="6B9B5E1F"/>
    <w:rsid w:val="6BA11F58"/>
    <w:rsid w:val="6BA6C38B"/>
    <w:rsid w:val="6BAC64A5"/>
    <w:rsid w:val="6BB437E3"/>
    <w:rsid w:val="6BC331E3"/>
    <w:rsid w:val="6BC5C31F"/>
    <w:rsid w:val="6BCA74E4"/>
    <w:rsid w:val="6BCCBA43"/>
    <w:rsid w:val="6BD439F3"/>
    <w:rsid w:val="6BDCC8C7"/>
    <w:rsid w:val="6BE1A879"/>
    <w:rsid w:val="6BF71C41"/>
    <w:rsid w:val="6BFAE822"/>
    <w:rsid w:val="6BFE0F3E"/>
    <w:rsid w:val="6C056DBA"/>
    <w:rsid w:val="6C0C5510"/>
    <w:rsid w:val="6C1926A3"/>
    <w:rsid w:val="6C2268A1"/>
    <w:rsid w:val="6C24039F"/>
    <w:rsid w:val="6C530451"/>
    <w:rsid w:val="6C6212C9"/>
    <w:rsid w:val="6C655864"/>
    <w:rsid w:val="6C697563"/>
    <w:rsid w:val="6C8477F2"/>
    <w:rsid w:val="6C8579FD"/>
    <w:rsid w:val="6C87A6C6"/>
    <w:rsid w:val="6C8A574E"/>
    <w:rsid w:val="6C93CE28"/>
    <w:rsid w:val="6C9895CE"/>
    <w:rsid w:val="6C999D93"/>
    <w:rsid w:val="6CA1801A"/>
    <w:rsid w:val="6CA3AE51"/>
    <w:rsid w:val="6CA3E6BD"/>
    <w:rsid w:val="6CA62A01"/>
    <w:rsid w:val="6CABED1A"/>
    <w:rsid w:val="6CB141B4"/>
    <w:rsid w:val="6CB1DFBD"/>
    <w:rsid w:val="6CB2B449"/>
    <w:rsid w:val="6CB3D903"/>
    <w:rsid w:val="6CBA693F"/>
    <w:rsid w:val="6CC08B5E"/>
    <w:rsid w:val="6CC35591"/>
    <w:rsid w:val="6CC35A16"/>
    <w:rsid w:val="6CD738DB"/>
    <w:rsid w:val="6CD7B114"/>
    <w:rsid w:val="6CDA2FC9"/>
    <w:rsid w:val="6CE444EC"/>
    <w:rsid w:val="6CE564A4"/>
    <w:rsid w:val="6CF27952"/>
    <w:rsid w:val="6CF69D77"/>
    <w:rsid w:val="6CFA3BB2"/>
    <w:rsid w:val="6CFC2C95"/>
    <w:rsid w:val="6D023AA3"/>
    <w:rsid w:val="6D0AE1D6"/>
    <w:rsid w:val="6D0C63A5"/>
    <w:rsid w:val="6D100D8D"/>
    <w:rsid w:val="6D102A8F"/>
    <w:rsid w:val="6D15E3E8"/>
    <w:rsid w:val="6D16264B"/>
    <w:rsid w:val="6D175FE0"/>
    <w:rsid w:val="6D1D7B1E"/>
    <w:rsid w:val="6D20ACFF"/>
    <w:rsid w:val="6D243F51"/>
    <w:rsid w:val="6D27A21F"/>
    <w:rsid w:val="6D2CA10E"/>
    <w:rsid w:val="6D2F0609"/>
    <w:rsid w:val="6D302D82"/>
    <w:rsid w:val="6D33D451"/>
    <w:rsid w:val="6D349003"/>
    <w:rsid w:val="6D37B0D3"/>
    <w:rsid w:val="6D37CC41"/>
    <w:rsid w:val="6D3A328D"/>
    <w:rsid w:val="6D3AE06C"/>
    <w:rsid w:val="6D4E8B39"/>
    <w:rsid w:val="6D521F04"/>
    <w:rsid w:val="6D659D55"/>
    <w:rsid w:val="6D69912A"/>
    <w:rsid w:val="6D6AE1AA"/>
    <w:rsid w:val="6D6FBF59"/>
    <w:rsid w:val="6D72BF85"/>
    <w:rsid w:val="6D79612D"/>
    <w:rsid w:val="6D7AA020"/>
    <w:rsid w:val="6D7F0BF4"/>
    <w:rsid w:val="6D84B47C"/>
    <w:rsid w:val="6D8E2241"/>
    <w:rsid w:val="6D8E27C7"/>
    <w:rsid w:val="6D9544F3"/>
    <w:rsid w:val="6D97E53B"/>
    <w:rsid w:val="6DA02539"/>
    <w:rsid w:val="6DAB229F"/>
    <w:rsid w:val="6DB13132"/>
    <w:rsid w:val="6DBA63BD"/>
    <w:rsid w:val="6DC1221C"/>
    <w:rsid w:val="6DC2F099"/>
    <w:rsid w:val="6DC3EB7F"/>
    <w:rsid w:val="6DCD205D"/>
    <w:rsid w:val="6DCE40D3"/>
    <w:rsid w:val="6DCF9779"/>
    <w:rsid w:val="6DD88093"/>
    <w:rsid w:val="6DDBFE52"/>
    <w:rsid w:val="6DE12FC9"/>
    <w:rsid w:val="6DE80C94"/>
    <w:rsid w:val="6DE9366A"/>
    <w:rsid w:val="6DEB6D9C"/>
    <w:rsid w:val="6DEC60B6"/>
    <w:rsid w:val="6DF220A4"/>
    <w:rsid w:val="6DF244F7"/>
    <w:rsid w:val="6DF3F868"/>
    <w:rsid w:val="6DF53900"/>
    <w:rsid w:val="6E01B97D"/>
    <w:rsid w:val="6E0AE697"/>
    <w:rsid w:val="6E0D19C6"/>
    <w:rsid w:val="6E19771B"/>
    <w:rsid w:val="6E1C02EF"/>
    <w:rsid w:val="6E24B818"/>
    <w:rsid w:val="6E260C8C"/>
    <w:rsid w:val="6E28E1CC"/>
    <w:rsid w:val="6E31F06F"/>
    <w:rsid w:val="6E4125E2"/>
    <w:rsid w:val="6E4E136A"/>
    <w:rsid w:val="6E5044E1"/>
    <w:rsid w:val="6E53C612"/>
    <w:rsid w:val="6E598657"/>
    <w:rsid w:val="6E5C48DF"/>
    <w:rsid w:val="6E743F44"/>
    <w:rsid w:val="6E7513AC"/>
    <w:rsid w:val="6E763C57"/>
    <w:rsid w:val="6E783C75"/>
    <w:rsid w:val="6E83C0AE"/>
    <w:rsid w:val="6E83F313"/>
    <w:rsid w:val="6E89F773"/>
    <w:rsid w:val="6E8E49B3"/>
    <w:rsid w:val="6E93E923"/>
    <w:rsid w:val="6E9787AB"/>
    <w:rsid w:val="6E97D555"/>
    <w:rsid w:val="6E9EEF35"/>
    <w:rsid w:val="6EA1B145"/>
    <w:rsid w:val="6EAC6EDE"/>
    <w:rsid w:val="6EB31E1F"/>
    <w:rsid w:val="6EB92157"/>
    <w:rsid w:val="6EC450C8"/>
    <w:rsid w:val="6ECA42BB"/>
    <w:rsid w:val="6ECDFA95"/>
    <w:rsid w:val="6ED4815D"/>
    <w:rsid w:val="6EDD2421"/>
    <w:rsid w:val="6EDD274B"/>
    <w:rsid w:val="6EDEDDDC"/>
    <w:rsid w:val="6EEA84A4"/>
    <w:rsid w:val="6EF82FA0"/>
    <w:rsid w:val="6EFB0926"/>
    <w:rsid w:val="6EFFFCF5"/>
    <w:rsid w:val="6F0EF164"/>
    <w:rsid w:val="6F0F703B"/>
    <w:rsid w:val="6F18D954"/>
    <w:rsid w:val="6F19AA9A"/>
    <w:rsid w:val="6F1C9CD9"/>
    <w:rsid w:val="6F21017C"/>
    <w:rsid w:val="6F2DC89D"/>
    <w:rsid w:val="6F3DD2BB"/>
    <w:rsid w:val="6F453895"/>
    <w:rsid w:val="6F4609F4"/>
    <w:rsid w:val="6F5174FE"/>
    <w:rsid w:val="6F51B0D7"/>
    <w:rsid w:val="6F5893BA"/>
    <w:rsid w:val="6F73465D"/>
    <w:rsid w:val="6F7394AD"/>
    <w:rsid w:val="6F7A8EE1"/>
    <w:rsid w:val="6F8CD25D"/>
    <w:rsid w:val="6F90F7A0"/>
    <w:rsid w:val="6F956833"/>
    <w:rsid w:val="6FA7E04A"/>
    <w:rsid w:val="6FAFB450"/>
    <w:rsid w:val="6FC372FB"/>
    <w:rsid w:val="6FCBF12B"/>
    <w:rsid w:val="6FD64C41"/>
    <w:rsid w:val="6FD922DB"/>
    <w:rsid w:val="6FF0F9F0"/>
    <w:rsid w:val="6FF16481"/>
    <w:rsid w:val="6FF68D65"/>
    <w:rsid w:val="7007CF05"/>
    <w:rsid w:val="700D29D5"/>
    <w:rsid w:val="700F41F9"/>
    <w:rsid w:val="702F8B18"/>
    <w:rsid w:val="70300359"/>
    <w:rsid w:val="70321746"/>
    <w:rsid w:val="703845EE"/>
    <w:rsid w:val="7039E99E"/>
    <w:rsid w:val="70458895"/>
    <w:rsid w:val="7047B025"/>
    <w:rsid w:val="705E339C"/>
    <w:rsid w:val="705E52DE"/>
    <w:rsid w:val="70683E82"/>
    <w:rsid w:val="7069633F"/>
    <w:rsid w:val="706C7C9E"/>
    <w:rsid w:val="706C7F48"/>
    <w:rsid w:val="706DA1E0"/>
    <w:rsid w:val="706E2F27"/>
    <w:rsid w:val="706EACD1"/>
    <w:rsid w:val="7076FC10"/>
    <w:rsid w:val="707E9AAC"/>
    <w:rsid w:val="70831B95"/>
    <w:rsid w:val="708384DB"/>
    <w:rsid w:val="70993835"/>
    <w:rsid w:val="709C00FB"/>
    <w:rsid w:val="70ABD09E"/>
    <w:rsid w:val="70AD5912"/>
    <w:rsid w:val="70AEB7C7"/>
    <w:rsid w:val="70B04F46"/>
    <w:rsid w:val="70B8D8E2"/>
    <w:rsid w:val="70BBD1A7"/>
    <w:rsid w:val="70BD5723"/>
    <w:rsid w:val="70C3AD06"/>
    <w:rsid w:val="70C4A610"/>
    <w:rsid w:val="70C53582"/>
    <w:rsid w:val="70CC0ADA"/>
    <w:rsid w:val="70D294E0"/>
    <w:rsid w:val="70DEA5E2"/>
    <w:rsid w:val="70E415C9"/>
    <w:rsid w:val="70E6750C"/>
    <w:rsid w:val="70E8ED29"/>
    <w:rsid w:val="70F3CD77"/>
    <w:rsid w:val="70F401B9"/>
    <w:rsid w:val="7101DD22"/>
    <w:rsid w:val="71070FA4"/>
    <w:rsid w:val="710ADA16"/>
    <w:rsid w:val="710C3BBA"/>
    <w:rsid w:val="710E8554"/>
    <w:rsid w:val="71205F1B"/>
    <w:rsid w:val="7122B355"/>
    <w:rsid w:val="71238A94"/>
    <w:rsid w:val="712450FA"/>
    <w:rsid w:val="71249998"/>
    <w:rsid w:val="7143B0D9"/>
    <w:rsid w:val="714AE2BA"/>
    <w:rsid w:val="7150A859"/>
    <w:rsid w:val="71531740"/>
    <w:rsid w:val="71650538"/>
    <w:rsid w:val="71665FCB"/>
    <w:rsid w:val="71694A45"/>
    <w:rsid w:val="71696929"/>
    <w:rsid w:val="716C2836"/>
    <w:rsid w:val="716C49E5"/>
    <w:rsid w:val="71703D15"/>
    <w:rsid w:val="7175CE0C"/>
    <w:rsid w:val="7175EF8A"/>
    <w:rsid w:val="7178E368"/>
    <w:rsid w:val="717E386A"/>
    <w:rsid w:val="71896311"/>
    <w:rsid w:val="7193020D"/>
    <w:rsid w:val="71955728"/>
    <w:rsid w:val="719A0DFE"/>
    <w:rsid w:val="71AC518C"/>
    <w:rsid w:val="71B46961"/>
    <w:rsid w:val="71B60BCD"/>
    <w:rsid w:val="71BDA2BE"/>
    <w:rsid w:val="71CC7F53"/>
    <w:rsid w:val="71CFDEBE"/>
    <w:rsid w:val="71CFE037"/>
    <w:rsid w:val="71CFE28E"/>
    <w:rsid w:val="71D06182"/>
    <w:rsid w:val="71D4E6B8"/>
    <w:rsid w:val="71E55115"/>
    <w:rsid w:val="71E6A8D1"/>
    <w:rsid w:val="71EE7DC8"/>
    <w:rsid w:val="71EF59FB"/>
    <w:rsid w:val="71F3ECFC"/>
    <w:rsid w:val="71F6852F"/>
    <w:rsid w:val="71FA840D"/>
    <w:rsid w:val="71FC4071"/>
    <w:rsid w:val="72024BCA"/>
    <w:rsid w:val="7207A7BD"/>
    <w:rsid w:val="720D41C2"/>
    <w:rsid w:val="72117096"/>
    <w:rsid w:val="72172C68"/>
    <w:rsid w:val="72190571"/>
    <w:rsid w:val="72193AA1"/>
    <w:rsid w:val="721ADE42"/>
    <w:rsid w:val="722F1ED9"/>
    <w:rsid w:val="722F73F7"/>
    <w:rsid w:val="7230C0E4"/>
    <w:rsid w:val="7232975F"/>
    <w:rsid w:val="723298DB"/>
    <w:rsid w:val="72394982"/>
    <w:rsid w:val="7239D94F"/>
    <w:rsid w:val="72420492"/>
    <w:rsid w:val="72466AFE"/>
    <w:rsid w:val="724A1357"/>
    <w:rsid w:val="724A936F"/>
    <w:rsid w:val="724B2C7E"/>
    <w:rsid w:val="7252800B"/>
    <w:rsid w:val="7254BD42"/>
    <w:rsid w:val="726D0778"/>
    <w:rsid w:val="727B92F6"/>
    <w:rsid w:val="728076B8"/>
    <w:rsid w:val="728794D6"/>
    <w:rsid w:val="728D5486"/>
    <w:rsid w:val="729422E0"/>
    <w:rsid w:val="729B0337"/>
    <w:rsid w:val="72A425DA"/>
    <w:rsid w:val="72AD2743"/>
    <w:rsid w:val="72B83EBF"/>
    <w:rsid w:val="72BDF55F"/>
    <w:rsid w:val="72C3891D"/>
    <w:rsid w:val="72C4F341"/>
    <w:rsid w:val="72CB7146"/>
    <w:rsid w:val="72D8ACED"/>
    <w:rsid w:val="72DAE16F"/>
    <w:rsid w:val="72E0C960"/>
    <w:rsid w:val="72EE1F82"/>
    <w:rsid w:val="730C0EB9"/>
    <w:rsid w:val="7315DC61"/>
    <w:rsid w:val="7316E3A1"/>
    <w:rsid w:val="73247983"/>
    <w:rsid w:val="73270D35"/>
    <w:rsid w:val="732A199C"/>
    <w:rsid w:val="732C0423"/>
    <w:rsid w:val="732DA152"/>
    <w:rsid w:val="733C3408"/>
    <w:rsid w:val="734AE1DD"/>
    <w:rsid w:val="734CCED9"/>
    <w:rsid w:val="734E5C61"/>
    <w:rsid w:val="735DF6C9"/>
    <w:rsid w:val="7368E358"/>
    <w:rsid w:val="736A3B7C"/>
    <w:rsid w:val="736AD445"/>
    <w:rsid w:val="736E3936"/>
    <w:rsid w:val="737A0472"/>
    <w:rsid w:val="73892F07"/>
    <w:rsid w:val="738D7A57"/>
    <w:rsid w:val="7392648D"/>
    <w:rsid w:val="739A007F"/>
    <w:rsid w:val="73BB8587"/>
    <w:rsid w:val="73C2B831"/>
    <w:rsid w:val="73C61DE4"/>
    <w:rsid w:val="73CD8268"/>
    <w:rsid w:val="73D5B318"/>
    <w:rsid w:val="73DC7E66"/>
    <w:rsid w:val="73DEDBB8"/>
    <w:rsid w:val="73DF1E39"/>
    <w:rsid w:val="73E71FA7"/>
    <w:rsid w:val="73F29644"/>
    <w:rsid w:val="73F41E41"/>
    <w:rsid w:val="73FF5806"/>
    <w:rsid w:val="7400B95D"/>
    <w:rsid w:val="7409779C"/>
    <w:rsid w:val="741DEF66"/>
    <w:rsid w:val="742D4AD5"/>
    <w:rsid w:val="74337DE4"/>
    <w:rsid w:val="743DB5DA"/>
    <w:rsid w:val="74481469"/>
    <w:rsid w:val="744EB277"/>
    <w:rsid w:val="744F7270"/>
    <w:rsid w:val="7461F0B6"/>
    <w:rsid w:val="74670958"/>
    <w:rsid w:val="746A9CFF"/>
    <w:rsid w:val="746B2D5A"/>
    <w:rsid w:val="747AB99D"/>
    <w:rsid w:val="7481B930"/>
    <w:rsid w:val="749A90C1"/>
    <w:rsid w:val="749BC9B4"/>
    <w:rsid w:val="749FE2CC"/>
    <w:rsid w:val="74A209D0"/>
    <w:rsid w:val="74A50F9F"/>
    <w:rsid w:val="74A7EC5F"/>
    <w:rsid w:val="74A8E1CF"/>
    <w:rsid w:val="74CF35B1"/>
    <w:rsid w:val="74D0D485"/>
    <w:rsid w:val="74DB9E23"/>
    <w:rsid w:val="74DD45C9"/>
    <w:rsid w:val="74E153BD"/>
    <w:rsid w:val="74F58779"/>
    <w:rsid w:val="74F74C50"/>
    <w:rsid w:val="74FE3681"/>
    <w:rsid w:val="7507AD41"/>
    <w:rsid w:val="750DC8D2"/>
    <w:rsid w:val="751B1023"/>
    <w:rsid w:val="751CE51F"/>
    <w:rsid w:val="75229224"/>
    <w:rsid w:val="75306EF6"/>
    <w:rsid w:val="75345D2D"/>
    <w:rsid w:val="7537404B"/>
    <w:rsid w:val="753EB63B"/>
    <w:rsid w:val="75491E90"/>
    <w:rsid w:val="754BB2AF"/>
    <w:rsid w:val="7559140B"/>
    <w:rsid w:val="7565AD8F"/>
    <w:rsid w:val="75662A4E"/>
    <w:rsid w:val="756D4FC2"/>
    <w:rsid w:val="756D7C3A"/>
    <w:rsid w:val="75756CDC"/>
    <w:rsid w:val="757910A0"/>
    <w:rsid w:val="7582C975"/>
    <w:rsid w:val="75886163"/>
    <w:rsid w:val="7598BA57"/>
    <w:rsid w:val="75A04640"/>
    <w:rsid w:val="75A47E96"/>
    <w:rsid w:val="75A7C15E"/>
    <w:rsid w:val="75B4E4A5"/>
    <w:rsid w:val="75BBF136"/>
    <w:rsid w:val="75C0E767"/>
    <w:rsid w:val="75CEABBE"/>
    <w:rsid w:val="75D4708E"/>
    <w:rsid w:val="75D7316A"/>
    <w:rsid w:val="75DA98E2"/>
    <w:rsid w:val="75E10D5F"/>
    <w:rsid w:val="75E19FB3"/>
    <w:rsid w:val="75E60389"/>
    <w:rsid w:val="75E68824"/>
    <w:rsid w:val="75FF65E7"/>
    <w:rsid w:val="76034FD5"/>
    <w:rsid w:val="7604C44F"/>
    <w:rsid w:val="760E4552"/>
    <w:rsid w:val="7622C2C6"/>
    <w:rsid w:val="7623E285"/>
    <w:rsid w:val="7625B5E2"/>
    <w:rsid w:val="762C2798"/>
    <w:rsid w:val="762F7B68"/>
    <w:rsid w:val="763126B9"/>
    <w:rsid w:val="7631BC40"/>
    <w:rsid w:val="763D8189"/>
    <w:rsid w:val="76459831"/>
    <w:rsid w:val="7651A39A"/>
    <w:rsid w:val="7653C30E"/>
    <w:rsid w:val="76552096"/>
    <w:rsid w:val="76564594"/>
    <w:rsid w:val="76601B25"/>
    <w:rsid w:val="7664BD80"/>
    <w:rsid w:val="76656AFD"/>
    <w:rsid w:val="766DC94C"/>
    <w:rsid w:val="7670D9D4"/>
    <w:rsid w:val="767857A1"/>
    <w:rsid w:val="767BF305"/>
    <w:rsid w:val="767E6843"/>
    <w:rsid w:val="7683EB8A"/>
    <w:rsid w:val="7690974E"/>
    <w:rsid w:val="76A1E138"/>
    <w:rsid w:val="76A4A884"/>
    <w:rsid w:val="76A5A1AE"/>
    <w:rsid w:val="76A76D8F"/>
    <w:rsid w:val="76AB8260"/>
    <w:rsid w:val="76AF28B7"/>
    <w:rsid w:val="76B4A120"/>
    <w:rsid w:val="76C6D184"/>
    <w:rsid w:val="76CBBC65"/>
    <w:rsid w:val="76D506A8"/>
    <w:rsid w:val="76DA52C1"/>
    <w:rsid w:val="76EF68CD"/>
    <w:rsid w:val="76FB5796"/>
    <w:rsid w:val="76FFD9F0"/>
    <w:rsid w:val="7714DDE9"/>
    <w:rsid w:val="771BBD2B"/>
    <w:rsid w:val="77260A1F"/>
    <w:rsid w:val="772D2549"/>
    <w:rsid w:val="77376956"/>
    <w:rsid w:val="7741EBF0"/>
    <w:rsid w:val="7750A9DA"/>
    <w:rsid w:val="77519D5E"/>
    <w:rsid w:val="77556B63"/>
    <w:rsid w:val="775D9CA3"/>
    <w:rsid w:val="776239D1"/>
    <w:rsid w:val="776A4436"/>
    <w:rsid w:val="776EDD68"/>
    <w:rsid w:val="77763EFE"/>
    <w:rsid w:val="777F8AE2"/>
    <w:rsid w:val="777FC7E6"/>
    <w:rsid w:val="77870ABC"/>
    <w:rsid w:val="778AC707"/>
    <w:rsid w:val="778FA07F"/>
    <w:rsid w:val="7794C6FC"/>
    <w:rsid w:val="779A98A9"/>
    <w:rsid w:val="77A2DE58"/>
    <w:rsid w:val="77A57475"/>
    <w:rsid w:val="77AAF3C9"/>
    <w:rsid w:val="77B8A93B"/>
    <w:rsid w:val="77C754C4"/>
    <w:rsid w:val="77D2533B"/>
    <w:rsid w:val="77D28470"/>
    <w:rsid w:val="77D54BE1"/>
    <w:rsid w:val="77DC3020"/>
    <w:rsid w:val="77DD86FF"/>
    <w:rsid w:val="77F447F6"/>
    <w:rsid w:val="77F6C5C5"/>
    <w:rsid w:val="77F8D47E"/>
    <w:rsid w:val="77F8E06A"/>
    <w:rsid w:val="77FAC0D9"/>
    <w:rsid w:val="77FDAE5F"/>
    <w:rsid w:val="77FE25B0"/>
    <w:rsid w:val="78075E94"/>
    <w:rsid w:val="7808D9EE"/>
    <w:rsid w:val="78205F44"/>
    <w:rsid w:val="7820ADE1"/>
    <w:rsid w:val="78212E73"/>
    <w:rsid w:val="782B9EA3"/>
    <w:rsid w:val="782CC34F"/>
    <w:rsid w:val="783A7C84"/>
    <w:rsid w:val="7844BD18"/>
    <w:rsid w:val="784DB634"/>
    <w:rsid w:val="784FDD04"/>
    <w:rsid w:val="785274F6"/>
    <w:rsid w:val="7853109D"/>
    <w:rsid w:val="785A12B5"/>
    <w:rsid w:val="7861251F"/>
    <w:rsid w:val="786AF3B7"/>
    <w:rsid w:val="7872B511"/>
    <w:rsid w:val="787EBDA2"/>
    <w:rsid w:val="78805214"/>
    <w:rsid w:val="788C3D16"/>
    <w:rsid w:val="788D44B1"/>
    <w:rsid w:val="78973483"/>
    <w:rsid w:val="78AAC26A"/>
    <w:rsid w:val="78B3785F"/>
    <w:rsid w:val="78B4431A"/>
    <w:rsid w:val="78B56F69"/>
    <w:rsid w:val="78B9C9B7"/>
    <w:rsid w:val="78D07D16"/>
    <w:rsid w:val="78D1A469"/>
    <w:rsid w:val="78E9C90A"/>
    <w:rsid w:val="78ECA898"/>
    <w:rsid w:val="78FF918A"/>
    <w:rsid w:val="78FFAFD5"/>
    <w:rsid w:val="79017B2C"/>
    <w:rsid w:val="7902F611"/>
    <w:rsid w:val="790A0CC0"/>
    <w:rsid w:val="790F44EC"/>
    <w:rsid w:val="7913B1D5"/>
    <w:rsid w:val="79185008"/>
    <w:rsid w:val="79188591"/>
    <w:rsid w:val="79219C50"/>
    <w:rsid w:val="79266F0E"/>
    <w:rsid w:val="7928D786"/>
    <w:rsid w:val="792DEE8A"/>
    <w:rsid w:val="79357DA2"/>
    <w:rsid w:val="7938D7FA"/>
    <w:rsid w:val="793DC734"/>
    <w:rsid w:val="7946EB79"/>
    <w:rsid w:val="79535829"/>
    <w:rsid w:val="795B59CC"/>
    <w:rsid w:val="7963592F"/>
    <w:rsid w:val="796874E5"/>
    <w:rsid w:val="796B2A43"/>
    <w:rsid w:val="796FF168"/>
    <w:rsid w:val="7977A2B2"/>
    <w:rsid w:val="7980BDF7"/>
    <w:rsid w:val="7986DFEB"/>
    <w:rsid w:val="7989E5D1"/>
    <w:rsid w:val="798B1FFC"/>
    <w:rsid w:val="798BAA54"/>
    <w:rsid w:val="79A2953C"/>
    <w:rsid w:val="79A4579D"/>
    <w:rsid w:val="79A80656"/>
    <w:rsid w:val="79BB3D49"/>
    <w:rsid w:val="79BB55FA"/>
    <w:rsid w:val="79BD1A1D"/>
    <w:rsid w:val="79C5A9EB"/>
    <w:rsid w:val="79C67EC4"/>
    <w:rsid w:val="79CBE32B"/>
    <w:rsid w:val="79CE7D95"/>
    <w:rsid w:val="79D2DDD3"/>
    <w:rsid w:val="79E727F6"/>
    <w:rsid w:val="79E75BC4"/>
    <w:rsid w:val="79EA3C71"/>
    <w:rsid w:val="79ED7B67"/>
    <w:rsid w:val="7A06D7D5"/>
    <w:rsid w:val="7A130A7F"/>
    <w:rsid w:val="7A1C2E66"/>
    <w:rsid w:val="7A3787EE"/>
    <w:rsid w:val="7A3B967E"/>
    <w:rsid w:val="7A4BD721"/>
    <w:rsid w:val="7A559078"/>
    <w:rsid w:val="7A6531F6"/>
    <w:rsid w:val="7A6CAAAB"/>
    <w:rsid w:val="7A6F6FF3"/>
    <w:rsid w:val="7A73982F"/>
    <w:rsid w:val="7A78B920"/>
    <w:rsid w:val="7A7E14BC"/>
    <w:rsid w:val="7A8A4E0F"/>
    <w:rsid w:val="7A8FA354"/>
    <w:rsid w:val="7A9493B4"/>
    <w:rsid w:val="7A959B14"/>
    <w:rsid w:val="7A9F57EF"/>
    <w:rsid w:val="7A9F9E87"/>
    <w:rsid w:val="7AB64E8D"/>
    <w:rsid w:val="7AD435E1"/>
    <w:rsid w:val="7ADC0ACD"/>
    <w:rsid w:val="7AE3E327"/>
    <w:rsid w:val="7AED8D54"/>
    <w:rsid w:val="7AF3AE34"/>
    <w:rsid w:val="7B0154B8"/>
    <w:rsid w:val="7B092709"/>
    <w:rsid w:val="7B09845F"/>
    <w:rsid w:val="7B11614F"/>
    <w:rsid w:val="7B152CEA"/>
    <w:rsid w:val="7B15A95A"/>
    <w:rsid w:val="7B1E2A14"/>
    <w:rsid w:val="7B2BFD76"/>
    <w:rsid w:val="7B400315"/>
    <w:rsid w:val="7B44EE45"/>
    <w:rsid w:val="7B45C1D4"/>
    <w:rsid w:val="7B4A3A6F"/>
    <w:rsid w:val="7B51E87B"/>
    <w:rsid w:val="7B5DC325"/>
    <w:rsid w:val="7B64B645"/>
    <w:rsid w:val="7B734411"/>
    <w:rsid w:val="7B892D37"/>
    <w:rsid w:val="7B89EF68"/>
    <w:rsid w:val="7B8A732B"/>
    <w:rsid w:val="7B983F51"/>
    <w:rsid w:val="7B99625B"/>
    <w:rsid w:val="7B9ADAF7"/>
    <w:rsid w:val="7BA174C1"/>
    <w:rsid w:val="7BAF8B06"/>
    <w:rsid w:val="7BAFE19D"/>
    <w:rsid w:val="7BB10953"/>
    <w:rsid w:val="7BB45D06"/>
    <w:rsid w:val="7BBB68AD"/>
    <w:rsid w:val="7BC4BBB7"/>
    <w:rsid w:val="7BD11C9A"/>
    <w:rsid w:val="7BD25042"/>
    <w:rsid w:val="7BDAE287"/>
    <w:rsid w:val="7BDBCC15"/>
    <w:rsid w:val="7BDE33BF"/>
    <w:rsid w:val="7BE043C9"/>
    <w:rsid w:val="7BE8917D"/>
    <w:rsid w:val="7BE8E98A"/>
    <w:rsid w:val="7BEB8D29"/>
    <w:rsid w:val="7BEC9112"/>
    <w:rsid w:val="7BEF830E"/>
    <w:rsid w:val="7BF2C516"/>
    <w:rsid w:val="7BFC8759"/>
    <w:rsid w:val="7C09F57C"/>
    <w:rsid w:val="7C142DFC"/>
    <w:rsid w:val="7C17BC42"/>
    <w:rsid w:val="7C189E2C"/>
    <w:rsid w:val="7C23405E"/>
    <w:rsid w:val="7C385A08"/>
    <w:rsid w:val="7C3FE7F2"/>
    <w:rsid w:val="7C4ACA36"/>
    <w:rsid w:val="7C4B8951"/>
    <w:rsid w:val="7C4E0CFC"/>
    <w:rsid w:val="7C57557A"/>
    <w:rsid w:val="7C59C9E1"/>
    <w:rsid w:val="7C5B0E49"/>
    <w:rsid w:val="7C5D4673"/>
    <w:rsid w:val="7C5E9A27"/>
    <w:rsid w:val="7C623D9A"/>
    <w:rsid w:val="7C750502"/>
    <w:rsid w:val="7C771C87"/>
    <w:rsid w:val="7C92B2E1"/>
    <w:rsid w:val="7C99C56E"/>
    <w:rsid w:val="7C9F6544"/>
    <w:rsid w:val="7CA3040C"/>
    <w:rsid w:val="7CA374CF"/>
    <w:rsid w:val="7CA457AD"/>
    <w:rsid w:val="7CA788F3"/>
    <w:rsid w:val="7CA80613"/>
    <w:rsid w:val="7CAF640C"/>
    <w:rsid w:val="7CB8AF47"/>
    <w:rsid w:val="7CC707A0"/>
    <w:rsid w:val="7CD40094"/>
    <w:rsid w:val="7CD487F0"/>
    <w:rsid w:val="7CD76CC1"/>
    <w:rsid w:val="7CE227D0"/>
    <w:rsid w:val="7CECDA71"/>
    <w:rsid w:val="7CF716C7"/>
    <w:rsid w:val="7D0FD795"/>
    <w:rsid w:val="7D1337B6"/>
    <w:rsid w:val="7D181931"/>
    <w:rsid w:val="7D2E47DB"/>
    <w:rsid w:val="7D3037F6"/>
    <w:rsid w:val="7D339705"/>
    <w:rsid w:val="7D33A993"/>
    <w:rsid w:val="7D3A8CA9"/>
    <w:rsid w:val="7D3AF46F"/>
    <w:rsid w:val="7D3C99B3"/>
    <w:rsid w:val="7D3D1CD4"/>
    <w:rsid w:val="7D447555"/>
    <w:rsid w:val="7D47AC4D"/>
    <w:rsid w:val="7D4B3483"/>
    <w:rsid w:val="7D561E77"/>
    <w:rsid w:val="7D5D1B54"/>
    <w:rsid w:val="7D646DB2"/>
    <w:rsid w:val="7D718122"/>
    <w:rsid w:val="7D78DE74"/>
    <w:rsid w:val="7D79A441"/>
    <w:rsid w:val="7D7AAB13"/>
    <w:rsid w:val="7D86DE1F"/>
    <w:rsid w:val="7D895AF1"/>
    <w:rsid w:val="7D8B247C"/>
    <w:rsid w:val="7D8C2141"/>
    <w:rsid w:val="7D9EC1E8"/>
    <w:rsid w:val="7D9F1A04"/>
    <w:rsid w:val="7DA1583E"/>
    <w:rsid w:val="7DA19DAA"/>
    <w:rsid w:val="7DA6CE2D"/>
    <w:rsid w:val="7DB25EEC"/>
    <w:rsid w:val="7DB6172D"/>
    <w:rsid w:val="7DBB30EC"/>
    <w:rsid w:val="7DBF01B1"/>
    <w:rsid w:val="7DC411E6"/>
    <w:rsid w:val="7DC717A0"/>
    <w:rsid w:val="7DD6923F"/>
    <w:rsid w:val="7DE0BD06"/>
    <w:rsid w:val="7DE33144"/>
    <w:rsid w:val="7DE91CC9"/>
    <w:rsid w:val="7E0187BF"/>
    <w:rsid w:val="7E12724B"/>
    <w:rsid w:val="7E18C59F"/>
    <w:rsid w:val="7E1B4792"/>
    <w:rsid w:val="7E1CB85E"/>
    <w:rsid w:val="7E20EBE2"/>
    <w:rsid w:val="7E34A1C5"/>
    <w:rsid w:val="7E3EB202"/>
    <w:rsid w:val="7E4AB95D"/>
    <w:rsid w:val="7E4C83B5"/>
    <w:rsid w:val="7E5B3063"/>
    <w:rsid w:val="7E5F5A77"/>
    <w:rsid w:val="7E60A771"/>
    <w:rsid w:val="7E76791B"/>
    <w:rsid w:val="7E9C2DF9"/>
    <w:rsid w:val="7EA5CB8C"/>
    <w:rsid w:val="7EB26F20"/>
    <w:rsid w:val="7EB44E64"/>
    <w:rsid w:val="7EBA6B5D"/>
    <w:rsid w:val="7EBBBC73"/>
    <w:rsid w:val="7ED1CBFE"/>
    <w:rsid w:val="7ED67603"/>
    <w:rsid w:val="7EDBF38C"/>
    <w:rsid w:val="7EDFE5F8"/>
    <w:rsid w:val="7EE475FC"/>
    <w:rsid w:val="7EEF6B5E"/>
    <w:rsid w:val="7EF47B92"/>
    <w:rsid w:val="7F04C54B"/>
    <w:rsid w:val="7F08A12A"/>
    <w:rsid w:val="7F18300A"/>
    <w:rsid w:val="7F18F599"/>
    <w:rsid w:val="7F1C7194"/>
    <w:rsid w:val="7F1F0102"/>
    <w:rsid w:val="7F1F9BAC"/>
    <w:rsid w:val="7F236A6E"/>
    <w:rsid w:val="7F24E71F"/>
    <w:rsid w:val="7F2562DC"/>
    <w:rsid w:val="7F2A22B9"/>
    <w:rsid w:val="7F2A9C61"/>
    <w:rsid w:val="7F309543"/>
    <w:rsid w:val="7F33664C"/>
    <w:rsid w:val="7F3F79BE"/>
    <w:rsid w:val="7F47FA32"/>
    <w:rsid w:val="7F59A579"/>
    <w:rsid w:val="7F631043"/>
    <w:rsid w:val="7F6AD36B"/>
    <w:rsid w:val="7F7A82F9"/>
    <w:rsid w:val="7F80DE58"/>
    <w:rsid w:val="7F8526FA"/>
    <w:rsid w:val="7F8F4E12"/>
    <w:rsid w:val="7F923CC5"/>
    <w:rsid w:val="7F9F017F"/>
    <w:rsid w:val="7FA31678"/>
    <w:rsid w:val="7FB5F7AB"/>
    <w:rsid w:val="7FBDE7C2"/>
    <w:rsid w:val="7FC19BAF"/>
    <w:rsid w:val="7FC22594"/>
    <w:rsid w:val="7FC27081"/>
    <w:rsid w:val="7FD3AD5F"/>
    <w:rsid w:val="7FD4B6D8"/>
    <w:rsid w:val="7FD532A2"/>
    <w:rsid w:val="7FD769CF"/>
    <w:rsid w:val="7FDEF21A"/>
    <w:rsid w:val="7FF06213"/>
    <w:rsid w:val="7FF08AAA"/>
    <w:rsid w:val="7FF0C10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9DB0441"/>
  <w15:docId w15:val="{A5E6F5E0-D2BF-4FD2-84F3-C0BA90F079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98" w:qFormat="1"/>
    <w:lsdException w:name="heading 1" w:locked="1" w:uiPriority="9" w:qFormat="1"/>
    <w:lsdException w:name="heading 2" w:locked="1" w:semiHidden="1" w:uiPriority="9" w:unhideWhenUsed="1"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8"/>
    <w:qFormat/>
    <w:rsid w:val="00FB2C1B"/>
  </w:style>
  <w:style w:type="paragraph" w:styleId="Heading1">
    <w:name w:val="heading 1"/>
    <w:basedOn w:val="Normal"/>
    <w:next w:val="Normal"/>
    <w:link w:val="Heading1Char"/>
    <w:uiPriority w:val="9"/>
    <w:qFormat/>
    <w:locked/>
    <w:rsid w:val="00143184"/>
    <w:pPr>
      <w:keepNext/>
      <w:keepLines/>
      <w:numPr>
        <w:numId w:val="10"/>
      </w:numPr>
      <w:spacing w:before="400" w:after="40" w:line="240" w:lineRule="auto"/>
      <w:outlineLvl w:val="0"/>
    </w:pPr>
    <w:rPr>
      <w:rFonts w:asciiTheme="majorHAnsi" w:eastAsiaTheme="majorEastAsia" w:hAnsiTheme="majorHAnsi" w:cstheme="majorBidi"/>
      <w:color w:val="02616F" w:themeColor="accent1" w:themeShade="80"/>
      <w:sz w:val="36"/>
      <w:szCs w:val="36"/>
    </w:rPr>
  </w:style>
  <w:style w:type="paragraph" w:styleId="Heading2">
    <w:name w:val="heading 2"/>
    <w:basedOn w:val="Normal"/>
    <w:next w:val="Normal"/>
    <w:link w:val="Heading2Char"/>
    <w:uiPriority w:val="9"/>
    <w:semiHidden/>
    <w:qFormat/>
    <w:locked/>
    <w:rsid w:val="009F4697"/>
    <w:pPr>
      <w:keepNext/>
      <w:keepLines/>
      <w:numPr>
        <w:ilvl w:val="1"/>
        <w:numId w:val="10"/>
      </w:numPr>
      <w:spacing w:before="40" w:after="0"/>
      <w:outlineLvl w:val="1"/>
    </w:pPr>
    <w:rPr>
      <w:rFonts w:asciiTheme="majorHAnsi" w:eastAsiaTheme="majorEastAsia" w:hAnsiTheme="majorHAnsi" w:cstheme="majorBidi"/>
      <w:color w:val="02616F" w:themeColor="accent1" w:themeShade="80"/>
      <w:sz w:val="26"/>
      <w:szCs w:val="26"/>
    </w:rPr>
  </w:style>
  <w:style w:type="paragraph" w:styleId="Heading3">
    <w:name w:val="heading 3"/>
    <w:basedOn w:val="Normal"/>
    <w:next w:val="Normal"/>
    <w:link w:val="Heading3Char"/>
    <w:uiPriority w:val="9"/>
    <w:semiHidden/>
    <w:qFormat/>
    <w:locked/>
    <w:rsid w:val="00931A0B"/>
    <w:pPr>
      <w:keepNext/>
      <w:keepLines/>
      <w:numPr>
        <w:ilvl w:val="2"/>
        <w:numId w:val="10"/>
      </w:numPr>
      <w:spacing w:before="40" w:after="0"/>
      <w:outlineLvl w:val="2"/>
    </w:pPr>
    <w:rPr>
      <w:rFonts w:asciiTheme="majorHAnsi" w:eastAsiaTheme="majorEastAsia" w:hAnsiTheme="majorHAnsi" w:cstheme="majorBidi"/>
      <w:color w:val="02606E" w:themeColor="accent1" w:themeShade="7F"/>
      <w:sz w:val="24"/>
      <w:szCs w:val="24"/>
    </w:rPr>
  </w:style>
  <w:style w:type="paragraph" w:styleId="Heading4">
    <w:name w:val="heading 4"/>
    <w:basedOn w:val="Normal"/>
    <w:next w:val="Normal"/>
    <w:link w:val="Heading4Char"/>
    <w:uiPriority w:val="9"/>
    <w:semiHidden/>
    <w:unhideWhenUsed/>
    <w:qFormat/>
    <w:locked/>
    <w:rsid w:val="00143184"/>
    <w:pPr>
      <w:keepNext/>
      <w:keepLines/>
      <w:numPr>
        <w:ilvl w:val="3"/>
        <w:numId w:val="10"/>
      </w:numPr>
      <w:spacing w:before="40" w:after="0"/>
      <w:outlineLvl w:val="3"/>
    </w:pPr>
    <w:rPr>
      <w:rFonts w:asciiTheme="majorHAnsi" w:eastAsiaTheme="majorEastAsia" w:hAnsiTheme="majorHAnsi" w:cstheme="majorBidi"/>
      <w:color w:val="0391A6" w:themeColor="accent1" w:themeShade="BF"/>
      <w:sz w:val="24"/>
      <w:szCs w:val="24"/>
    </w:rPr>
  </w:style>
  <w:style w:type="paragraph" w:styleId="Heading5">
    <w:name w:val="heading 5"/>
    <w:basedOn w:val="Normal"/>
    <w:next w:val="Normal"/>
    <w:link w:val="Heading5Char"/>
    <w:uiPriority w:val="9"/>
    <w:semiHidden/>
    <w:unhideWhenUsed/>
    <w:qFormat/>
    <w:locked/>
    <w:rsid w:val="00143184"/>
    <w:pPr>
      <w:keepNext/>
      <w:keepLines/>
      <w:numPr>
        <w:ilvl w:val="4"/>
        <w:numId w:val="10"/>
      </w:numPr>
      <w:spacing w:before="40" w:after="0"/>
      <w:outlineLvl w:val="4"/>
    </w:pPr>
    <w:rPr>
      <w:rFonts w:asciiTheme="majorHAnsi" w:eastAsiaTheme="majorEastAsia" w:hAnsiTheme="majorHAnsi" w:cstheme="majorBidi"/>
      <w:caps/>
      <w:color w:val="0391A6" w:themeColor="accent1" w:themeShade="BF"/>
    </w:rPr>
  </w:style>
  <w:style w:type="paragraph" w:styleId="Heading6">
    <w:name w:val="heading 6"/>
    <w:basedOn w:val="Normal"/>
    <w:next w:val="Normal"/>
    <w:link w:val="Heading6Char"/>
    <w:uiPriority w:val="9"/>
    <w:semiHidden/>
    <w:unhideWhenUsed/>
    <w:qFormat/>
    <w:locked/>
    <w:rsid w:val="00143184"/>
    <w:pPr>
      <w:keepNext/>
      <w:keepLines/>
      <w:numPr>
        <w:ilvl w:val="5"/>
        <w:numId w:val="10"/>
      </w:numPr>
      <w:spacing w:before="40" w:after="0"/>
      <w:outlineLvl w:val="5"/>
    </w:pPr>
    <w:rPr>
      <w:rFonts w:asciiTheme="majorHAnsi" w:eastAsiaTheme="majorEastAsia" w:hAnsiTheme="majorHAnsi" w:cstheme="majorBidi"/>
      <w:i/>
      <w:iCs/>
      <w:caps/>
      <w:color w:val="02616F" w:themeColor="accent1" w:themeShade="80"/>
    </w:rPr>
  </w:style>
  <w:style w:type="paragraph" w:styleId="Heading7">
    <w:name w:val="heading 7"/>
    <w:basedOn w:val="Normal"/>
    <w:next w:val="Normal"/>
    <w:link w:val="Heading7Char"/>
    <w:uiPriority w:val="9"/>
    <w:semiHidden/>
    <w:unhideWhenUsed/>
    <w:qFormat/>
    <w:locked/>
    <w:rsid w:val="00143184"/>
    <w:pPr>
      <w:keepNext/>
      <w:keepLines/>
      <w:numPr>
        <w:ilvl w:val="6"/>
        <w:numId w:val="10"/>
      </w:numPr>
      <w:spacing w:before="40" w:after="0"/>
      <w:outlineLvl w:val="6"/>
    </w:pPr>
    <w:rPr>
      <w:rFonts w:asciiTheme="majorHAnsi" w:eastAsiaTheme="majorEastAsia" w:hAnsiTheme="majorHAnsi" w:cstheme="majorBidi"/>
      <w:b/>
      <w:bCs/>
      <w:color w:val="02616F" w:themeColor="accent1" w:themeShade="80"/>
    </w:rPr>
  </w:style>
  <w:style w:type="paragraph" w:styleId="Heading8">
    <w:name w:val="heading 8"/>
    <w:basedOn w:val="Normal"/>
    <w:next w:val="Normal"/>
    <w:link w:val="Heading8Char"/>
    <w:uiPriority w:val="9"/>
    <w:semiHidden/>
    <w:unhideWhenUsed/>
    <w:qFormat/>
    <w:locked/>
    <w:rsid w:val="00143184"/>
    <w:pPr>
      <w:keepNext/>
      <w:keepLines/>
      <w:numPr>
        <w:ilvl w:val="7"/>
        <w:numId w:val="10"/>
      </w:numPr>
      <w:spacing w:before="40" w:after="0"/>
      <w:outlineLvl w:val="7"/>
    </w:pPr>
    <w:rPr>
      <w:rFonts w:asciiTheme="majorHAnsi" w:eastAsiaTheme="majorEastAsia" w:hAnsiTheme="majorHAnsi" w:cstheme="majorBidi"/>
      <w:b/>
      <w:bCs/>
      <w:i/>
      <w:iCs/>
      <w:color w:val="02616F" w:themeColor="accent1" w:themeShade="80"/>
    </w:rPr>
  </w:style>
  <w:style w:type="paragraph" w:styleId="Heading9">
    <w:name w:val="heading 9"/>
    <w:basedOn w:val="Normal"/>
    <w:next w:val="Normal"/>
    <w:link w:val="Heading9Char"/>
    <w:uiPriority w:val="9"/>
    <w:semiHidden/>
    <w:unhideWhenUsed/>
    <w:qFormat/>
    <w:locked/>
    <w:rsid w:val="00143184"/>
    <w:pPr>
      <w:keepNext/>
      <w:keepLines/>
      <w:numPr>
        <w:ilvl w:val="8"/>
        <w:numId w:val="10"/>
      </w:numPr>
      <w:spacing w:before="40" w:after="0"/>
      <w:outlineLvl w:val="8"/>
    </w:pPr>
    <w:rPr>
      <w:rFonts w:asciiTheme="majorHAnsi" w:eastAsiaTheme="majorEastAsia" w:hAnsiTheme="majorHAnsi" w:cstheme="majorBidi"/>
      <w:i/>
      <w:iCs/>
      <w:color w:val="02616F"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E7195"/>
    <w:rPr>
      <w:color w:val="000000" w:themeColor="hyperlink"/>
      <w:u w:val="single"/>
    </w:rPr>
  </w:style>
  <w:style w:type="paragraph" w:styleId="Header">
    <w:name w:val="header"/>
    <w:basedOn w:val="Normal"/>
    <w:link w:val="HeaderChar"/>
    <w:uiPriority w:val="99"/>
    <w:unhideWhenUsed/>
    <w:rsid w:val="006F48B6"/>
    <w:pPr>
      <w:tabs>
        <w:tab w:val="center" w:pos="4513"/>
        <w:tab w:val="right" w:pos="9026"/>
      </w:tabs>
      <w:spacing w:after="0" w:line="240" w:lineRule="auto"/>
    </w:pPr>
  </w:style>
  <w:style w:type="paragraph" w:styleId="BalloonText">
    <w:name w:val="Balloon Text"/>
    <w:basedOn w:val="Normal"/>
    <w:link w:val="BalloonTextChar"/>
    <w:uiPriority w:val="99"/>
    <w:semiHidden/>
    <w:unhideWhenUsed/>
    <w:rsid w:val="00AD0C8A"/>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AD0C8A"/>
    <w:rPr>
      <w:rFonts w:ascii="Tahoma" w:hAnsi="Tahoma" w:cs="Tahoma"/>
      <w:sz w:val="16"/>
      <w:szCs w:val="16"/>
    </w:rPr>
  </w:style>
  <w:style w:type="paragraph" w:styleId="TOCHeading">
    <w:name w:val="TOC Heading"/>
    <w:basedOn w:val="Heading1"/>
    <w:next w:val="Normal"/>
    <w:uiPriority w:val="39"/>
    <w:unhideWhenUsed/>
    <w:qFormat/>
    <w:rsid w:val="00143184"/>
    <w:pPr>
      <w:outlineLvl w:val="9"/>
    </w:pPr>
  </w:style>
  <w:style w:type="paragraph" w:styleId="TOC1">
    <w:name w:val="toc 1"/>
    <w:basedOn w:val="Body"/>
    <w:next w:val="Body"/>
    <w:uiPriority w:val="39"/>
    <w:unhideWhenUsed/>
    <w:rsid w:val="00F774BF"/>
    <w:pPr>
      <w:spacing w:before="240" w:after="120" w:line="259" w:lineRule="auto"/>
      <w:ind w:right="0"/>
      <w:contextualSpacing w:val="0"/>
    </w:pPr>
    <w:rPr>
      <w:rFonts w:cstheme="minorHAnsi"/>
      <w:b/>
      <w:bCs/>
      <w:sz w:val="20"/>
      <w:szCs w:val="20"/>
    </w:rPr>
  </w:style>
  <w:style w:type="paragraph" w:styleId="TOC2">
    <w:name w:val="toc 2"/>
    <w:basedOn w:val="Body"/>
    <w:next w:val="Body"/>
    <w:autoRedefine/>
    <w:uiPriority w:val="39"/>
    <w:unhideWhenUsed/>
    <w:rsid w:val="00D17B5D"/>
    <w:pPr>
      <w:spacing w:before="120" w:after="0" w:line="259" w:lineRule="auto"/>
      <w:ind w:left="220" w:right="0"/>
      <w:contextualSpacing w:val="0"/>
    </w:pPr>
    <w:rPr>
      <w:rFonts w:cstheme="minorHAnsi"/>
      <w:i/>
      <w:iCs/>
      <w:sz w:val="20"/>
      <w:szCs w:val="20"/>
    </w:rPr>
  </w:style>
  <w:style w:type="paragraph" w:styleId="TOC3">
    <w:name w:val="toc 3"/>
    <w:basedOn w:val="Body"/>
    <w:next w:val="Body"/>
    <w:autoRedefine/>
    <w:uiPriority w:val="39"/>
    <w:unhideWhenUsed/>
    <w:rsid w:val="00E6767B"/>
    <w:pPr>
      <w:spacing w:after="0" w:line="259" w:lineRule="auto"/>
      <w:ind w:left="440" w:right="0"/>
      <w:contextualSpacing w:val="0"/>
    </w:pPr>
    <w:rPr>
      <w:rFonts w:cstheme="minorHAnsi"/>
      <w:sz w:val="20"/>
      <w:szCs w:val="20"/>
    </w:rPr>
  </w:style>
  <w:style w:type="paragraph" w:customStyle="1" w:styleId="Head5">
    <w:name w:val="Head5"/>
    <w:basedOn w:val="Heading5"/>
    <w:link w:val="Head5Char"/>
    <w:qFormat/>
    <w:rsid w:val="006426D4"/>
    <w:pPr>
      <w:spacing w:before="360" w:line="300" w:lineRule="auto"/>
    </w:pPr>
    <w:rPr>
      <w:rFonts w:ascii="Arial" w:hAnsi="Arial" w:cs="Arial"/>
      <w:b/>
      <w:bCs/>
      <w:color w:val="252E65"/>
      <w:sz w:val="24"/>
      <w:szCs w:val="24"/>
      <w:shd w:val="clear" w:color="auto" w:fill="FFFFFF"/>
      <w:lang w:val="en-ID"/>
    </w:rPr>
  </w:style>
  <w:style w:type="paragraph" w:customStyle="1" w:styleId="Head6">
    <w:name w:val="Head6"/>
    <w:link w:val="Head6Char"/>
    <w:qFormat/>
    <w:rsid w:val="004E7355"/>
    <w:pPr>
      <w:suppressAutoHyphens/>
      <w:outlineLvl w:val="1"/>
    </w:pPr>
    <w:rPr>
      <w:rFonts w:cs="Arial"/>
      <w:b/>
      <w:bCs/>
      <w:i/>
      <w:color w:val="000000"/>
      <w:lang w:eastAsia="en-US"/>
    </w:rPr>
  </w:style>
  <w:style w:type="character" w:customStyle="1" w:styleId="Head5Char">
    <w:name w:val="Head5 Char"/>
    <w:link w:val="Head5"/>
    <w:rsid w:val="006426D4"/>
    <w:rPr>
      <w:rFonts w:ascii="Arial" w:eastAsiaTheme="majorEastAsia" w:hAnsi="Arial" w:cs="Arial"/>
      <w:b/>
      <w:bCs/>
      <w:caps/>
      <w:color w:val="252E65"/>
      <w:sz w:val="24"/>
      <w:szCs w:val="24"/>
      <w:lang w:val="en-ID"/>
    </w:rPr>
  </w:style>
  <w:style w:type="paragraph" w:customStyle="1" w:styleId="Summary">
    <w:name w:val="Summary"/>
    <w:link w:val="SummaryChar"/>
    <w:qFormat/>
    <w:rsid w:val="00413968"/>
    <w:pPr>
      <w:suppressAutoHyphens/>
      <w:spacing w:before="240" w:after="240"/>
    </w:pPr>
    <w:rPr>
      <w:rFonts w:cs="Arial"/>
      <w:color w:val="05C3DE" w:themeColor="accent1"/>
      <w:sz w:val="26"/>
      <w:szCs w:val="26"/>
      <w:lang w:eastAsia="en-US"/>
    </w:rPr>
  </w:style>
  <w:style w:type="character" w:customStyle="1" w:styleId="Head6Char">
    <w:name w:val="Head6 Char"/>
    <w:link w:val="Head6"/>
    <w:rsid w:val="004E7355"/>
    <w:rPr>
      <w:rFonts w:cs="Arial"/>
      <w:b/>
      <w:bCs/>
      <w:i/>
      <w:color w:val="000000"/>
      <w:lang w:eastAsia="en-US"/>
    </w:rPr>
  </w:style>
  <w:style w:type="paragraph" w:customStyle="1" w:styleId="Body">
    <w:name w:val="Body"/>
    <w:basedOn w:val="ListParagraph"/>
    <w:link w:val="BodyChar"/>
    <w:qFormat/>
    <w:rsid w:val="00C72B45"/>
    <w:pPr>
      <w:spacing w:after="500" w:line="276" w:lineRule="auto"/>
      <w:ind w:left="0" w:right="-6"/>
    </w:pPr>
    <w:rPr>
      <w:rFonts w:cs="Arial"/>
    </w:rPr>
  </w:style>
  <w:style w:type="character" w:customStyle="1" w:styleId="SummaryChar">
    <w:name w:val="Summary Char"/>
    <w:link w:val="Summary"/>
    <w:rsid w:val="00413968"/>
    <w:rPr>
      <w:rFonts w:cs="Arial"/>
      <w:color w:val="05C3DE" w:themeColor="accent1"/>
      <w:sz w:val="26"/>
      <w:szCs w:val="26"/>
      <w:lang w:eastAsia="en-US"/>
    </w:rPr>
  </w:style>
  <w:style w:type="paragraph" w:customStyle="1" w:styleId="Bullet1">
    <w:name w:val="Bullet 1"/>
    <w:link w:val="Bullet1Char"/>
    <w:qFormat/>
    <w:rsid w:val="004E7355"/>
    <w:pPr>
      <w:numPr>
        <w:numId w:val="1"/>
      </w:numPr>
      <w:suppressAutoHyphens/>
    </w:pPr>
    <w:rPr>
      <w:rFonts w:cs="Arial"/>
      <w:color w:val="000000"/>
      <w:lang w:eastAsia="en-US"/>
    </w:rPr>
  </w:style>
  <w:style w:type="character" w:customStyle="1" w:styleId="BodyChar">
    <w:name w:val="Body Char"/>
    <w:link w:val="Body"/>
    <w:rsid w:val="00C72B45"/>
    <w:rPr>
      <w:rFonts w:cs="Arial"/>
    </w:rPr>
  </w:style>
  <w:style w:type="paragraph" w:customStyle="1" w:styleId="Callouttext1">
    <w:name w:val="Call out text 1"/>
    <w:link w:val="Callouttext1Char"/>
    <w:qFormat/>
    <w:rsid w:val="004E7355"/>
    <w:pPr>
      <w:suppressAutoHyphens/>
    </w:pPr>
    <w:rPr>
      <w:rFonts w:cs="Arial"/>
      <w:color w:val="808080"/>
    </w:rPr>
  </w:style>
  <w:style w:type="character" w:customStyle="1" w:styleId="Bullet1Char">
    <w:name w:val="Bullet 1 Char"/>
    <w:link w:val="Bullet1"/>
    <w:rsid w:val="004E7355"/>
    <w:rPr>
      <w:rFonts w:cs="Arial"/>
      <w:color w:val="000000"/>
      <w:lang w:eastAsia="en-US"/>
    </w:rPr>
  </w:style>
  <w:style w:type="paragraph" w:customStyle="1" w:styleId="Callouttext1withrule">
    <w:name w:val="Call out text 1 with rule"/>
    <w:link w:val="Callouttext1withruleChar"/>
    <w:qFormat/>
    <w:rsid w:val="004E7355"/>
    <w:pPr>
      <w:pBdr>
        <w:top w:val="single" w:sz="8" w:space="1" w:color="808080"/>
      </w:pBdr>
      <w:suppressAutoHyphens/>
    </w:pPr>
    <w:rPr>
      <w:rFonts w:cs="Arial"/>
      <w:color w:val="808080"/>
    </w:rPr>
  </w:style>
  <w:style w:type="character" w:customStyle="1" w:styleId="Callouttext1Char">
    <w:name w:val="Call out text 1 Char"/>
    <w:link w:val="Callouttext1"/>
    <w:rsid w:val="004E7355"/>
    <w:rPr>
      <w:rFonts w:cs="Arial"/>
      <w:color w:val="808080"/>
    </w:rPr>
  </w:style>
  <w:style w:type="paragraph" w:customStyle="1" w:styleId="Callouttext2">
    <w:name w:val="Call out text 2"/>
    <w:link w:val="Callouttext2Char"/>
    <w:qFormat/>
    <w:rsid w:val="00920ADA"/>
    <w:pPr>
      <w:suppressAutoHyphens/>
    </w:pPr>
    <w:rPr>
      <w:rFonts w:cs="Arial"/>
      <w:color w:val="05C3DE" w:themeColor="accent1"/>
    </w:rPr>
  </w:style>
  <w:style w:type="character" w:customStyle="1" w:styleId="Callouttext1withruleChar">
    <w:name w:val="Call out text 1 with rule Char"/>
    <w:link w:val="Callouttext1withrule"/>
    <w:rsid w:val="004E7355"/>
    <w:rPr>
      <w:rFonts w:cs="Arial"/>
      <w:color w:val="808080"/>
    </w:rPr>
  </w:style>
  <w:style w:type="paragraph" w:customStyle="1" w:styleId="Callouttextportraitnames">
    <w:name w:val="Call out text portrait names"/>
    <w:link w:val="CallouttextportraitnamesChar"/>
    <w:qFormat/>
    <w:rsid w:val="004E7355"/>
    <w:pPr>
      <w:suppressAutoHyphens/>
    </w:pPr>
    <w:rPr>
      <w:rFonts w:cs="Arial"/>
      <w:color w:val="58E6FB" w:themeColor="accent1" w:themeTint="99"/>
    </w:rPr>
  </w:style>
  <w:style w:type="character" w:customStyle="1" w:styleId="Callouttext2Char">
    <w:name w:val="Call out text 2 Char"/>
    <w:link w:val="Callouttext2"/>
    <w:rsid w:val="00920ADA"/>
    <w:rPr>
      <w:rFonts w:cs="Arial"/>
      <w:color w:val="05C3DE" w:themeColor="accent1"/>
    </w:rPr>
  </w:style>
  <w:style w:type="character" w:customStyle="1" w:styleId="CallouttextportraitnamesChar">
    <w:name w:val="Call out text portrait names Char"/>
    <w:link w:val="Callouttextportraitnames"/>
    <w:rsid w:val="004E7355"/>
    <w:rPr>
      <w:rFonts w:cs="Arial"/>
      <w:color w:val="58E6FB" w:themeColor="accent1" w:themeTint="99"/>
    </w:rPr>
  </w:style>
  <w:style w:type="table" w:styleId="TableGrid">
    <w:name w:val="Table Grid"/>
    <w:aliases w:val="GRM Table"/>
    <w:basedOn w:val="TableNormal"/>
    <w:uiPriority w:val="39"/>
    <w:rsid w:val="003B165C"/>
    <w:tblPr>
      <w:tblStyleRowBandSize w:val="1"/>
      <w:tblStyleColBandSize w:val="1"/>
      <w:tblBorders>
        <w:top w:val="single" w:sz="8" w:space="0" w:color="auto"/>
        <w:bottom w:val="single" w:sz="8" w:space="0" w:color="auto"/>
      </w:tblBorders>
      <w:tblCellMar>
        <w:top w:w="170" w:type="dxa"/>
        <w:left w:w="85" w:type="dxa"/>
        <w:bottom w:w="170" w:type="dxa"/>
        <w:right w:w="85" w:type="dxa"/>
      </w:tblCellMar>
    </w:tblPr>
    <w:tblStylePr w:type="firstRow">
      <w:rPr>
        <w:rFonts w:ascii="Arial" w:hAnsi="Arial"/>
        <w:color w:val="42B1C8"/>
      </w:rPr>
    </w:tblStylePr>
    <w:tblStylePr w:type="band2Horz">
      <w:tblPr>
        <w:tblCellMar>
          <w:top w:w="170" w:type="dxa"/>
          <w:left w:w="85" w:type="dxa"/>
          <w:bottom w:w="170" w:type="dxa"/>
          <w:right w:w="85" w:type="dxa"/>
        </w:tblCellMar>
      </w:tblPr>
      <w:tcPr>
        <w:shd w:val="clear" w:color="auto" w:fill="E6E6E6"/>
      </w:tcPr>
    </w:tblStylePr>
  </w:style>
  <w:style w:type="paragraph" w:customStyle="1" w:styleId="Tableheading">
    <w:name w:val="Table heading"/>
    <w:link w:val="TableheadingChar"/>
    <w:qFormat/>
    <w:rsid w:val="00404E02"/>
    <w:pPr>
      <w:spacing w:before="480" w:after="0"/>
    </w:pPr>
    <w:rPr>
      <w:rFonts w:cs="Arial"/>
      <w:color w:val="404040" w:themeColor="text1" w:themeTint="BF"/>
      <w:sz w:val="18"/>
    </w:rPr>
  </w:style>
  <w:style w:type="character" w:customStyle="1" w:styleId="TableheadingChar">
    <w:name w:val="Table heading Char"/>
    <w:link w:val="Tableheading"/>
    <w:rsid w:val="00404E02"/>
    <w:rPr>
      <w:rFonts w:cs="Arial"/>
      <w:color w:val="404040" w:themeColor="text1" w:themeTint="BF"/>
      <w:sz w:val="18"/>
    </w:rPr>
  </w:style>
  <w:style w:type="paragraph" w:customStyle="1" w:styleId="Bullet2">
    <w:name w:val="Bullet 2"/>
    <w:link w:val="Bullet2Char"/>
    <w:qFormat/>
    <w:rsid w:val="00D4198D"/>
    <w:pPr>
      <w:numPr>
        <w:numId w:val="2"/>
      </w:numPr>
      <w:suppressAutoHyphens/>
    </w:pPr>
    <w:rPr>
      <w:rFonts w:cs="Arial"/>
      <w:color w:val="000000"/>
      <w:lang w:eastAsia="en-US"/>
    </w:rPr>
  </w:style>
  <w:style w:type="character" w:customStyle="1" w:styleId="Bullet2Char">
    <w:name w:val="Bullet 2 Char"/>
    <w:basedOn w:val="DefaultParagraphFont"/>
    <w:link w:val="Bullet2"/>
    <w:rsid w:val="00D4198D"/>
    <w:rPr>
      <w:rFonts w:cs="Arial"/>
      <w:color w:val="000000"/>
      <w:lang w:eastAsia="en-US"/>
    </w:rPr>
  </w:style>
  <w:style w:type="paragraph" w:customStyle="1" w:styleId="PageNumber1">
    <w:name w:val="Page Number1"/>
    <w:basedOn w:val="Normal"/>
    <w:link w:val="PagenumberChar"/>
    <w:rsid w:val="000441B6"/>
    <w:pPr>
      <w:tabs>
        <w:tab w:val="center" w:pos="4513"/>
        <w:tab w:val="right" w:pos="9026"/>
      </w:tabs>
      <w:spacing w:after="0" w:line="240" w:lineRule="auto"/>
    </w:pPr>
    <w:rPr>
      <w:color w:val="404040" w:themeColor="text1" w:themeTint="BF"/>
      <w:szCs w:val="20"/>
    </w:rPr>
  </w:style>
  <w:style w:type="paragraph" w:customStyle="1" w:styleId="Pagefooter">
    <w:name w:val="Page footer"/>
    <w:basedOn w:val="PageNumber1"/>
    <w:rsid w:val="002A7140"/>
    <w:pPr>
      <w:tabs>
        <w:tab w:val="clear" w:pos="4513"/>
        <w:tab w:val="clear" w:pos="9026"/>
        <w:tab w:val="right" w:pos="9639"/>
      </w:tabs>
    </w:pPr>
    <w:rPr>
      <w:noProof/>
      <w:sz w:val="18"/>
    </w:rPr>
  </w:style>
  <w:style w:type="character" w:customStyle="1" w:styleId="PagenumberChar">
    <w:name w:val="Page number Char"/>
    <w:basedOn w:val="DefaultParagraphFont"/>
    <w:link w:val="PageNumber1"/>
    <w:rsid w:val="000441B6"/>
    <w:rPr>
      <w:color w:val="404040" w:themeColor="text1" w:themeTint="BF"/>
      <w:lang w:eastAsia="en-US"/>
    </w:rPr>
  </w:style>
  <w:style w:type="paragraph" w:customStyle="1" w:styleId="Palladium-Numbering">
    <w:name w:val="Palladium - Numbering"/>
    <w:basedOn w:val="Body"/>
    <w:rsid w:val="00736434"/>
    <w:pPr>
      <w:numPr>
        <w:numId w:val="3"/>
      </w:numPr>
      <w:spacing w:after="300"/>
      <w:ind w:left="227" w:hanging="227"/>
    </w:pPr>
  </w:style>
  <w:style w:type="paragraph" w:customStyle="1" w:styleId="Palladium-SectionNumber">
    <w:name w:val="Palladium - Section Number"/>
    <w:basedOn w:val="Body"/>
    <w:rsid w:val="00736434"/>
    <w:pPr>
      <w:spacing w:after="520" w:line="520" w:lineRule="exact"/>
    </w:pPr>
    <w:rPr>
      <w:sz w:val="48"/>
    </w:rPr>
  </w:style>
  <w:style w:type="paragraph" w:customStyle="1" w:styleId="Palladium-FeatureFigure1">
    <w:name w:val="Palladium - Feature Figure 1"/>
    <w:basedOn w:val="Normal"/>
    <w:rsid w:val="00931A69"/>
    <w:pPr>
      <w:numPr>
        <w:numId w:val="4"/>
      </w:numPr>
      <w:suppressAutoHyphens/>
      <w:spacing w:line="1380" w:lineRule="exact"/>
      <w:outlineLvl w:val="0"/>
    </w:pPr>
    <w:rPr>
      <w:rFonts w:cs="Arial"/>
      <w:b/>
      <w:color w:val="000000" w:themeColor="text1"/>
      <w:sz w:val="130"/>
      <w:szCs w:val="60"/>
    </w:rPr>
  </w:style>
  <w:style w:type="paragraph" w:customStyle="1" w:styleId="Palladium-FeatureFigure2">
    <w:name w:val="Palladium - Feature Figure 2"/>
    <w:basedOn w:val="Palladium-FeatureFigure1"/>
    <w:rsid w:val="0044124A"/>
    <w:rPr>
      <w:color w:val="42B1C8"/>
    </w:rPr>
  </w:style>
  <w:style w:type="character" w:customStyle="1" w:styleId="Heading1Char">
    <w:name w:val="Heading 1 Char"/>
    <w:basedOn w:val="DefaultParagraphFont"/>
    <w:link w:val="Heading1"/>
    <w:uiPriority w:val="9"/>
    <w:rsid w:val="00143184"/>
    <w:rPr>
      <w:rFonts w:asciiTheme="majorHAnsi" w:eastAsiaTheme="majorEastAsia" w:hAnsiTheme="majorHAnsi" w:cstheme="majorBidi"/>
      <w:color w:val="02616F" w:themeColor="accent1" w:themeShade="80"/>
      <w:sz w:val="36"/>
      <w:szCs w:val="36"/>
    </w:rPr>
  </w:style>
  <w:style w:type="character" w:customStyle="1" w:styleId="HeaderChar">
    <w:name w:val="Header Char"/>
    <w:basedOn w:val="DefaultParagraphFont"/>
    <w:link w:val="Header"/>
    <w:uiPriority w:val="99"/>
    <w:rsid w:val="006F48B6"/>
  </w:style>
  <w:style w:type="numbering" w:customStyle="1" w:styleId="HeadList2">
    <w:name w:val="Head List 2"/>
    <w:uiPriority w:val="99"/>
    <w:rsid w:val="005D253B"/>
    <w:pPr>
      <w:numPr>
        <w:numId w:val="5"/>
      </w:numPr>
    </w:pPr>
  </w:style>
  <w:style w:type="paragraph" w:customStyle="1" w:styleId="Head1">
    <w:name w:val="Head1"/>
    <w:basedOn w:val="Heading1"/>
    <w:link w:val="Head1Char"/>
    <w:qFormat/>
    <w:rsid w:val="00017C2E"/>
    <w:pPr>
      <w:numPr>
        <w:numId w:val="11"/>
      </w:numPr>
      <w:pBdr>
        <w:bottom w:val="single" w:sz="4" w:space="1" w:color="auto"/>
      </w:pBdr>
      <w:spacing w:before="360" w:after="120" w:line="276" w:lineRule="auto"/>
      <w:ind w:left="0" w:firstLine="0"/>
    </w:pPr>
    <w:rPr>
      <w:rFonts w:ascii="Arial" w:hAnsi="Arial" w:cs="Arial"/>
      <w:color w:val="252D65"/>
      <w:sz w:val="56"/>
      <w:u w:color="252E65"/>
    </w:rPr>
  </w:style>
  <w:style w:type="paragraph" w:customStyle="1" w:styleId="Head2">
    <w:name w:val="Head2"/>
    <w:basedOn w:val="Heading2"/>
    <w:link w:val="Head2Char"/>
    <w:qFormat/>
    <w:rsid w:val="005130B7"/>
    <w:pPr>
      <w:numPr>
        <w:numId w:val="11"/>
      </w:numPr>
      <w:spacing w:before="360" w:after="120"/>
    </w:pPr>
    <w:rPr>
      <w:b/>
      <w:bCs/>
      <w:color w:val="002060"/>
    </w:rPr>
  </w:style>
  <w:style w:type="character" w:customStyle="1" w:styleId="Head1Char">
    <w:name w:val="Head1 Char"/>
    <w:basedOn w:val="DefaultParagraphFont"/>
    <w:link w:val="Head1"/>
    <w:rsid w:val="00017C2E"/>
    <w:rPr>
      <w:rFonts w:ascii="Arial" w:eastAsiaTheme="majorEastAsia" w:hAnsi="Arial" w:cs="Arial"/>
      <w:color w:val="252D65"/>
      <w:sz w:val="56"/>
      <w:szCs w:val="36"/>
      <w:u w:color="252E65"/>
    </w:rPr>
  </w:style>
  <w:style w:type="paragraph" w:customStyle="1" w:styleId="Head3">
    <w:name w:val="Head3"/>
    <w:basedOn w:val="Head2"/>
    <w:link w:val="Head3Char"/>
    <w:qFormat/>
    <w:rsid w:val="00B03C3A"/>
    <w:pPr>
      <w:numPr>
        <w:ilvl w:val="0"/>
        <w:numId w:val="0"/>
      </w:numPr>
      <w:ind w:left="14"/>
    </w:pPr>
    <w:rPr>
      <w:color w:val="005C71"/>
      <w:sz w:val="24"/>
      <w:lang w:val="en-ID"/>
    </w:rPr>
  </w:style>
  <w:style w:type="character" w:customStyle="1" w:styleId="Head2Char">
    <w:name w:val="Head2 Char"/>
    <w:basedOn w:val="Head1Char"/>
    <w:link w:val="Head2"/>
    <w:rsid w:val="005130B7"/>
    <w:rPr>
      <w:rFonts w:asciiTheme="majorHAnsi" w:eastAsiaTheme="majorEastAsia" w:hAnsiTheme="majorHAnsi" w:cstheme="majorBidi"/>
      <w:b/>
      <w:bCs/>
      <w:color w:val="002060"/>
      <w:sz w:val="26"/>
      <w:szCs w:val="26"/>
      <w:u w:color="252E65"/>
    </w:rPr>
  </w:style>
  <w:style w:type="character" w:customStyle="1" w:styleId="Head3Char">
    <w:name w:val="Head3 Char"/>
    <w:basedOn w:val="Head2Char"/>
    <w:link w:val="Head3"/>
    <w:rsid w:val="00B03C3A"/>
    <w:rPr>
      <w:rFonts w:asciiTheme="majorHAnsi" w:eastAsiaTheme="majorEastAsia" w:hAnsiTheme="majorHAnsi" w:cstheme="majorBidi"/>
      <w:b/>
      <w:bCs/>
      <w:color w:val="005C71"/>
      <w:sz w:val="24"/>
      <w:szCs w:val="26"/>
      <w:u w:color="252E65"/>
      <w:lang w:val="en-ID"/>
    </w:rPr>
  </w:style>
  <w:style w:type="numbering" w:customStyle="1" w:styleId="Style2">
    <w:name w:val="Style2"/>
    <w:uiPriority w:val="99"/>
    <w:locked/>
    <w:rsid w:val="001C78CA"/>
    <w:pPr>
      <w:numPr>
        <w:numId w:val="6"/>
      </w:numPr>
    </w:pPr>
  </w:style>
  <w:style w:type="paragraph" w:customStyle="1" w:styleId="Head4">
    <w:name w:val="Head4"/>
    <w:basedOn w:val="ListParagraph"/>
    <w:link w:val="Head4Char"/>
    <w:qFormat/>
    <w:rsid w:val="00504EBD"/>
    <w:pPr>
      <w:spacing w:before="120" w:after="120" w:line="240" w:lineRule="auto"/>
      <w:ind w:left="0"/>
    </w:pPr>
    <w:rPr>
      <w:rFonts w:eastAsiaTheme="minorHAnsi"/>
      <w:b/>
      <w:bCs/>
      <w:color w:val="252D65"/>
      <w:szCs w:val="24"/>
      <w:lang w:val="en-ID"/>
    </w:rPr>
  </w:style>
  <w:style w:type="character" w:customStyle="1" w:styleId="Head4Char">
    <w:name w:val="Head4 Char"/>
    <w:basedOn w:val="DefaultParagraphFont"/>
    <w:link w:val="Head4"/>
    <w:rsid w:val="00504EBD"/>
    <w:rPr>
      <w:rFonts w:eastAsiaTheme="minorHAnsi"/>
      <w:b/>
      <w:bCs/>
      <w:color w:val="252D65"/>
      <w:szCs w:val="24"/>
      <w:lang w:val="en-ID"/>
    </w:rPr>
  </w:style>
  <w:style w:type="numbering" w:customStyle="1" w:styleId="HeadList1">
    <w:name w:val="Head List 1"/>
    <w:uiPriority w:val="99"/>
    <w:rsid w:val="001076BC"/>
    <w:pPr>
      <w:numPr>
        <w:numId w:val="7"/>
      </w:numPr>
    </w:pPr>
  </w:style>
  <w:style w:type="numbering" w:customStyle="1" w:styleId="HeadList3">
    <w:name w:val="Head List 3"/>
    <w:uiPriority w:val="99"/>
    <w:rsid w:val="00FC4258"/>
    <w:pPr>
      <w:numPr>
        <w:numId w:val="8"/>
      </w:numPr>
    </w:pPr>
  </w:style>
  <w:style w:type="numbering" w:customStyle="1" w:styleId="HeadList4">
    <w:name w:val="Head List 4"/>
    <w:uiPriority w:val="99"/>
    <w:rsid w:val="00DD7E0C"/>
    <w:pPr>
      <w:numPr>
        <w:numId w:val="15"/>
      </w:numPr>
    </w:pPr>
  </w:style>
  <w:style w:type="paragraph" w:styleId="Footer">
    <w:name w:val="footer"/>
    <w:basedOn w:val="Normal"/>
    <w:link w:val="FooterChar"/>
    <w:uiPriority w:val="99"/>
    <w:unhideWhenUsed/>
    <w:rsid w:val="006F48B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F48B6"/>
  </w:style>
  <w:style w:type="character" w:styleId="PlaceholderText">
    <w:name w:val="Placeholder Text"/>
    <w:basedOn w:val="DefaultParagraphFont"/>
    <w:uiPriority w:val="99"/>
    <w:semiHidden/>
    <w:rsid w:val="00771EE8"/>
    <w:rPr>
      <w:color w:val="808080"/>
    </w:rPr>
  </w:style>
  <w:style w:type="character" w:customStyle="1" w:styleId="Heading2Char">
    <w:name w:val="Heading 2 Char"/>
    <w:basedOn w:val="DefaultParagraphFont"/>
    <w:link w:val="Heading2"/>
    <w:uiPriority w:val="9"/>
    <w:semiHidden/>
    <w:rsid w:val="00143184"/>
    <w:rPr>
      <w:rFonts w:asciiTheme="majorHAnsi" w:eastAsiaTheme="majorEastAsia" w:hAnsiTheme="majorHAnsi" w:cstheme="majorBidi"/>
      <w:color w:val="02616F" w:themeColor="accent1" w:themeShade="80"/>
      <w:sz w:val="26"/>
      <w:szCs w:val="26"/>
    </w:rPr>
  </w:style>
  <w:style w:type="character" w:customStyle="1" w:styleId="Heading3Char">
    <w:name w:val="Heading 3 Char"/>
    <w:basedOn w:val="DefaultParagraphFont"/>
    <w:link w:val="Heading3"/>
    <w:uiPriority w:val="9"/>
    <w:semiHidden/>
    <w:rsid w:val="00143184"/>
    <w:rPr>
      <w:rFonts w:asciiTheme="majorHAnsi" w:eastAsiaTheme="majorEastAsia" w:hAnsiTheme="majorHAnsi" w:cstheme="majorBidi"/>
      <w:color w:val="02606E" w:themeColor="accent1" w:themeShade="7F"/>
      <w:sz w:val="24"/>
      <w:szCs w:val="24"/>
    </w:rPr>
  </w:style>
  <w:style w:type="character" w:customStyle="1" w:styleId="Heading4Char">
    <w:name w:val="Heading 4 Char"/>
    <w:basedOn w:val="DefaultParagraphFont"/>
    <w:link w:val="Heading4"/>
    <w:uiPriority w:val="9"/>
    <w:semiHidden/>
    <w:rsid w:val="00143184"/>
    <w:rPr>
      <w:rFonts w:asciiTheme="majorHAnsi" w:eastAsiaTheme="majorEastAsia" w:hAnsiTheme="majorHAnsi" w:cstheme="majorBidi"/>
      <w:color w:val="0391A6" w:themeColor="accent1" w:themeShade="BF"/>
      <w:sz w:val="24"/>
      <w:szCs w:val="24"/>
    </w:rPr>
  </w:style>
  <w:style w:type="character" w:customStyle="1" w:styleId="Heading5Char">
    <w:name w:val="Heading 5 Char"/>
    <w:basedOn w:val="DefaultParagraphFont"/>
    <w:link w:val="Heading5"/>
    <w:uiPriority w:val="9"/>
    <w:semiHidden/>
    <w:rsid w:val="00143184"/>
    <w:rPr>
      <w:rFonts w:asciiTheme="majorHAnsi" w:eastAsiaTheme="majorEastAsia" w:hAnsiTheme="majorHAnsi" w:cstheme="majorBidi"/>
      <w:caps/>
      <w:color w:val="0391A6" w:themeColor="accent1" w:themeShade="BF"/>
    </w:rPr>
  </w:style>
  <w:style w:type="character" w:customStyle="1" w:styleId="Heading6Char">
    <w:name w:val="Heading 6 Char"/>
    <w:basedOn w:val="DefaultParagraphFont"/>
    <w:link w:val="Heading6"/>
    <w:uiPriority w:val="9"/>
    <w:semiHidden/>
    <w:rsid w:val="00143184"/>
    <w:rPr>
      <w:rFonts w:asciiTheme="majorHAnsi" w:eastAsiaTheme="majorEastAsia" w:hAnsiTheme="majorHAnsi" w:cstheme="majorBidi"/>
      <w:i/>
      <w:iCs/>
      <w:caps/>
      <w:color w:val="02616F" w:themeColor="accent1" w:themeShade="80"/>
    </w:rPr>
  </w:style>
  <w:style w:type="character" w:customStyle="1" w:styleId="Heading7Char">
    <w:name w:val="Heading 7 Char"/>
    <w:basedOn w:val="DefaultParagraphFont"/>
    <w:link w:val="Heading7"/>
    <w:uiPriority w:val="9"/>
    <w:semiHidden/>
    <w:rsid w:val="00143184"/>
    <w:rPr>
      <w:rFonts w:asciiTheme="majorHAnsi" w:eastAsiaTheme="majorEastAsia" w:hAnsiTheme="majorHAnsi" w:cstheme="majorBidi"/>
      <w:b/>
      <w:bCs/>
      <w:color w:val="02616F" w:themeColor="accent1" w:themeShade="80"/>
    </w:rPr>
  </w:style>
  <w:style w:type="character" w:customStyle="1" w:styleId="Heading8Char">
    <w:name w:val="Heading 8 Char"/>
    <w:basedOn w:val="DefaultParagraphFont"/>
    <w:link w:val="Heading8"/>
    <w:uiPriority w:val="9"/>
    <w:semiHidden/>
    <w:rsid w:val="00143184"/>
    <w:rPr>
      <w:rFonts w:asciiTheme="majorHAnsi" w:eastAsiaTheme="majorEastAsia" w:hAnsiTheme="majorHAnsi" w:cstheme="majorBidi"/>
      <w:b/>
      <w:bCs/>
      <w:i/>
      <w:iCs/>
      <w:color w:val="02616F" w:themeColor="accent1" w:themeShade="80"/>
    </w:rPr>
  </w:style>
  <w:style w:type="character" w:customStyle="1" w:styleId="Heading9Char">
    <w:name w:val="Heading 9 Char"/>
    <w:basedOn w:val="DefaultParagraphFont"/>
    <w:link w:val="Heading9"/>
    <w:uiPriority w:val="9"/>
    <w:semiHidden/>
    <w:rsid w:val="00143184"/>
    <w:rPr>
      <w:rFonts w:asciiTheme="majorHAnsi" w:eastAsiaTheme="majorEastAsia" w:hAnsiTheme="majorHAnsi" w:cstheme="majorBidi"/>
      <w:i/>
      <w:iCs/>
      <w:color w:val="02616F" w:themeColor="accent1" w:themeShade="80"/>
    </w:rPr>
  </w:style>
  <w:style w:type="paragraph" w:customStyle="1" w:styleId="TitleHeader">
    <w:name w:val="Title Header"/>
    <w:basedOn w:val="Title"/>
    <w:link w:val="TitleHeaderChar"/>
    <w:qFormat/>
    <w:rsid w:val="00433154"/>
    <w:pPr>
      <w:pBdr>
        <w:bottom w:val="single" w:sz="4" w:space="1" w:color="05C3DE" w:themeColor="accent1"/>
      </w:pBdr>
      <w:tabs>
        <w:tab w:val="left" w:pos="6396"/>
      </w:tabs>
      <w:spacing w:before="600" w:after="600"/>
      <w:ind w:left="2268"/>
    </w:pPr>
    <w:rPr>
      <w:color w:val="05C3DE" w:themeColor="accent1"/>
    </w:rPr>
  </w:style>
  <w:style w:type="character" w:customStyle="1" w:styleId="TitleHeaderChar">
    <w:name w:val="Title Header Char"/>
    <w:basedOn w:val="BodyChar"/>
    <w:link w:val="TitleHeader"/>
    <w:rsid w:val="00433154"/>
    <w:rPr>
      <w:rFonts w:asciiTheme="majorHAnsi" w:eastAsiaTheme="majorEastAsia" w:hAnsiTheme="majorHAnsi" w:cstheme="majorBidi"/>
      <w:color w:val="05C3DE" w:themeColor="accent1"/>
      <w:spacing w:val="-10"/>
      <w:kern w:val="28"/>
      <w:sz w:val="56"/>
      <w:szCs w:val="56"/>
      <w:lang w:eastAsia="en-US"/>
    </w:rPr>
  </w:style>
  <w:style w:type="character" w:styleId="FollowedHyperlink">
    <w:name w:val="FollowedHyperlink"/>
    <w:basedOn w:val="DefaultParagraphFont"/>
    <w:uiPriority w:val="99"/>
    <w:semiHidden/>
    <w:unhideWhenUsed/>
    <w:rsid w:val="001476B9"/>
    <w:rPr>
      <w:color w:val="000000" w:themeColor="followedHyperlink"/>
      <w:u w:val="single"/>
    </w:rPr>
  </w:style>
  <w:style w:type="paragraph" w:customStyle="1" w:styleId="BodyNoSpace">
    <w:name w:val="BodyNoSpace"/>
    <w:basedOn w:val="Body"/>
    <w:qFormat/>
    <w:rsid w:val="00D4198D"/>
    <w:pPr>
      <w:spacing w:after="0" w:line="240" w:lineRule="auto"/>
    </w:pPr>
  </w:style>
  <w:style w:type="paragraph" w:styleId="NoSpacing">
    <w:name w:val="No Spacing"/>
    <w:link w:val="NoSpacingChar"/>
    <w:uiPriority w:val="1"/>
    <w:qFormat/>
    <w:rsid w:val="00143184"/>
    <w:pPr>
      <w:spacing w:after="0" w:line="240" w:lineRule="auto"/>
    </w:pPr>
  </w:style>
  <w:style w:type="paragraph" w:styleId="Title">
    <w:name w:val="Title"/>
    <w:basedOn w:val="Normal"/>
    <w:next w:val="Normal"/>
    <w:link w:val="TitleChar"/>
    <w:uiPriority w:val="10"/>
    <w:qFormat/>
    <w:rsid w:val="006508BC"/>
    <w:pPr>
      <w:spacing w:after="240" w:line="240" w:lineRule="auto"/>
    </w:pPr>
    <w:rPr>
      <w:color w:val="383D6A"/>
      <w:sz w:val="56"/>
      <w:szCs w:val="56"/>
      <w:lang w:val="en-AU"/>
    </w:rPr>
  </w:style>
  <w:style w:type="character" w:customStyle="1" w:styleId="TitleChar">
    <w:name w:val="Title Char"/>
    <w:basedOn w:val="DefaultParagraphFont"/>
    <w:link w:val="Title"/>
    <w:uiPriority w:val="10"/>
    <w:rsid w:val="00143184"/>
    <w:rPr>
      <w:color w:val="383D6A"/>
      <w:sz w:val="56"/>
      <w:szCs w:val="56"/>
      <w:lang w:val="en-AU"/>
    </w:rPr>
  </w:style>
  <w:style w:type="table" w:styleId="TableGridLight">
    <w:name w:val="Grid Table Light"/>
    <w:basedOn w:val="TableNormal"/>
    <w:uiPriority w:val="40"/>
    <w:rsid w:val="00200EF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543C9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543C9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543C9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543C9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PlainText">
    <w:name w:val="Plain Text"/>
    <w:basedOn w:val="Normal"/>
    <w:link w:val="PlainTextChar"/>
    <w:uiPriority w:val="99"/>
    <w:unhideWhenUsed/>
    <w:rsid w:val="00767D47"/>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767D47"/>
    <w:rPr>
      <w:rFonts w:ascii="Consolas" w:hAnsi="Consolas"/>
      <w:sz w:val="21"/>
      <w:szCs w:val="21"/>
    </w:rPr>
  </w:style>
  <w:style w:type="paragraph" w:customStyle="1" w:styleId="Figure">
    <w:name w:val="Figure"/>
    <w:basedOn w:val="Tableheading"/>
    <w:link w:val="FigureChar"/>
    <w:uiPriority w:val="99"/>
    <w:qFormat/>
    <w:rsid w:val="00725180"/>
    <w:pPr>
      <w:numPr>
        <w:numId w:val="16"/>
      </w:numPr>
      <w:spacing w:before="120" w:after="360"/>
    </w:pPr>
  </w:style>
  <w:style w:type="paragraph" w:styleId="BodyText">
    <w:name w:val="Body Text"/>
    <w:basedOn w:val="Normal"/>
    <w:link w:val="BodyTextChar"/>
    <w:uiPriority w:val="99"/>
    <w:rsid w:val="00BA2895"/>
    <w:pPr>
      <w:suppressAutoHyphens/>
      <w:autoSpaceDE w:val="0"/>
      <w:autoSpaceDN w:val="0"/>
      <w:adjustRightInd w:val="0"/>
      <w:spacing w:after="227" w:line="240" w:lineRule="atLeast"/>
      <w:textAlignment w:val="center"/>
    </w:pPr>
    <w:rPr>
      <w:rFonts w:ascii="Helvetica Neue Regular" w:hAnsi="Helvetica Neue Regular" w:cs="Helvetica Neue Regular"/>
      <w:color w:val="000000"/>
      <w:sz w:val="19"/>
      <w:szCs w:val="19"/>
    </w:rPr>
  </w:style>
  <w:style w:type="character" w:customStyle="1" w:styleId="FigureChar">
    <w:name w:val="Figure Char"/>
    <w:basedOn w:val="TableheadingChar"/>
    <w:link w:val="Figure"/>
    <w:uiPriority w:val="99"/>
    <w:rsid w:val="00725180"/>
    <w:rPr>
      <w:rFonts w:cs="Arial"/>
      <w:color w:val="404040" w:themeColor="text1" w:themeTint="BF"/>
      <w:sz w:val="18"/>
    </w:rPr>
  </w:style>
  <w:style w:type="character" w:customStyle="1" w:styleId="BodyTextChar">
    <w:name w:val="Body Text Char"/>
    <w:basedOn w:val="DefaultParagraphFont"/>
    <w:link w:val="BodyText"/>
    <w:uiPriority w:val="99"/>
    <w:rsid w:val="00BA2895"/>
    <w:rPr>
      <w:rFonts w:ascii="Helvetica Neue Regular" w:hAnsi="Helvetica Neue Regular" w:cs="Helvetica Neue Regular"/>
      <w:color w:val="000000"/>
      <w:sz w:val="19"/>
      <w:szCs w:val="19"/>
    </w:rPr>
  </w:style>
  <w:style w:type="paragraph" w:styleId="ListParagraph">
    <w:name w:val="List Paragraph"/>
    <w:aliases w:val="List Paragraph1,Recommendation,List Paragraph11,List Paragraph2,NFP GP Bulleted List,FooterText,numbered,Paragraphe de liste1,Bulletr List Paragraph,列出段落,列出段落1,List Paragraph21,Listeafsnit1,Parágrafo da Lista1,Párrafo de lista1,リスト段落1,L,列"/>
    <w:basedOn w:val="Normal"/>
    <w:link w:val="ListParagraphChar"/>
    <w:uiPriority w:val="34"/>
    <w:qFormat/>
    <w:rsid w:val="00BA2895"/>
    <w:pPr>
      <w:ind w:left="720"/>
      <w:contextualSpacing/>
    </w:pPr>
  </w:style>
  <w:style w:type="paragraph" w:customStyle="1" w:styleId="Bold">
    <w:name w:val="Bold"/>
    <w:basedOn w:val="Body"/>
    <w:link w:val="BoldChar"/>
    <w:uiPriority w:val="98"/>
    <w:qFormat/>
    <w:rsid w:val="000B360B"/>
    <w:rPr>
      <w:b/>
      <w:bCs/>
      <w:szCs w:val="24"/>
    </w:rPr>
  </w:style>
  <w:style w:type="character" w:customStyle="1" w:styleId="ui-provider">
    <w:name w:val="ui-provider"/>
    <w:basedOn w:val="DefaultParagraphFont"/>
    <w:rsid w:val="00D55353"/>
  </w:style>
  <w:style w:type="character" w:customStyle="1" w:styleId="BoldChar">
    <w:name w:val="Bold Char"/>
    <w:basedOn w:val="BodyChar"/>
    <w:link w:val="Bold"/>
    <w:uiPriority w:val="98"/>
    <w:rsid w:val="000B360B"/>
    <w:rPr>
      <w:rFonts w:cs="Arial"/>
      <w:b/>
      <w:bCs/>
      <w:color w:val="000000"/>
      <w:szCs w:val="24"/>
      <w:lang w:eastAsia="en-US"/>
    </w:rPr>
  </w:style>
  <w:style w:type="paragraph" w:customStyle="1" w:styleId="NoParagraphStyle">
    <w:name w:val="[No Paragraph Style]"/>
    <w:rsid w:val="00661845"/>
    <w:pPr>
      <w:widowControl w:val="0"/>
      <w:autoSpaceDE w:val="0"/>
      <w:autoSpaceDN w:val="0"/>
      <w:adjustRightInd w:val="0"/>
      <w:spacing w:after="0" w:line="288" w:lineRule="auto"/>
      <w:textAlignment w:val="center"/>
    </w:pPr>
    <w:rPr>
      <w:rFonts w:ascii="HelveticaNeue-Bold" w:hAnsi="HelveticaNeue-Bold"/>
      <w:color w:val="000000"/>
      <w:sz w:val="24"/>
      <w:szCs w:val="24"/>
      <w:lang w:val="en-US" w:eastAsia="en-US"/>
    </w:rPr>
  </w:style>
  <w:style w:type="paragraph" w:customStyle="1" w:styleId="BasicParagraph">
    <w:name w:val="[Basic Paragraph]"/>
    <w:basedOn w:val="NoParagraphStyle"/>
    <w:uiPriority w:val="99"/>
    <w:rsid w:val="00661845"/>
  </w:style>
  <w:style w:type="character" w:customStyle="1" w:styleId="H3number">
    <w:name w:val="H3 number"/>
    <w:uiPriority w:val="99"/>
    <w:rsid w:val="00661845"/>
    <w:rPr>
      <w:sz w:val="26"/>
      <w:szCs w:val="26"/>
    </w:rPr>
  </w:style>
  <w:style w:type="paragraph" w:styleId="FootnoteText">
    <w:name w:val="footnote text"/>
    <w:basedOn w:val="Normal"/>
    <w:link w:val="FootnoteTextChar"/>
    <w:uiPriority w:val="99"/>
    <w:unhideWhenUsed/>
    <w:qFormat/>
    <w:rsid w:val="007A0BB6"/>
    <w:pPr>
      <w:spacing w:after="0" w:line="240" w:lineRule="auto"/>
    </w:pPr>
    <w:rPr>
      <w:sz w:val="18"/>
      <w:szCs w:val="20"/>
    </w:rPr>
  </w:style>
  <w:style w:type="character" w:customStyle="1" w:styleId="FootnoteTextChar">
    <w:name w:val="Footnote Text Char"/>
    <w:basedOn w:val="DefaultParagraphFont"/>
    <w:link w:val="FootnoteText"/>
    <w:uiPriority w:val="99"/>
    <w:rsid w:val="007A0BB6"/>
    <w:rPr>
      <w:sz w:val="18"/>
      <w:szCs w:val="20"/>
    </w:rPr>
  </w:style>
  <w:style w:type="character" w:styleId="FootnoteReference">
    <w:name w:val="footnote reference"/>
    <w:basedOn w:val="DefaultParagraphFont"/>
    <w:uiPriority w:val="99"/>
    <w:unhideWhenUsed/>
    <w:qFormat/>
    <w:rsid w:val="009F04D3"/>
    <w:rPr>
      <w:vertAlign w:val="superscript"/>
    </w:rPr>
  </w:style>
  <w:style w:type="paragraph" w:customStyle="1" w:styleId="Bodytext1colmn">
    <w:name w:val="Body text 1 colmn"/>
    <w:basedOn w:val="Normal"/>
    <w:uiPriority w:val="99"/>
    <w:rsid w:val="006A057B"/>
    <w:pPr>
      <w:widowControl w:val="0"/>
      <w:suppressAutoHyphens/>
      <w:autoSpaceDE w:val="0"/>
      <w:autoSpaceDN w:val="0"/>
      <w:adjustRightInd w:val="0"/>
      <w:spacing w:before="113" w:after="170" w:line="240" w:lineRule="atLeast"/>
      <w:jc w:val="both"/>
      <w:textAlignment w:val="center"/>
    </w:pPr>
    <w:rPr>
      <w:rFonts w:ascii="HelveticaNeueLTStd-Lt" w:hAnsi="HelveticaNeueLTStd-Lt" w:cs="HelveticaNeueLTStd-Lt"/>
      <w:color w:val="000000"/>
      <w:spacing w:val="2"/>
      <w:szCs w:val="20"/>
      <w:lang w:val="en-US"/>
    </w:rPr>
  </w:style>
  <w:style w:type="character" w:customStyle="1" w:styleId="Quotes">
    <w:name w:val="Quotes"/>
    <w:uiPriority w:val="99"/>
    <w:rsid w:val="00F81B4C"/>
  </w:style>
  <w:style w:type="character" w:customStyle="1" w:styleId="NoSpacingChar">
    <w:name w:val="No Spacing Char"/>
    <w:basedOn w:val="DefaultParagraphFont"/>
    <w:link w:val="NoSpacing"/>
    <w:uiPriority w:val="1"/>
    <w:rsid w:val="007E24BC"/>
  </w:style>
  <w:style w:type="paragraph" w:customStyle="1" w:styleId="Quote2">
    <w:name w:val="Quote 2"/>
    <w:basedOn w:val="Callouttext1"/>
    <w:link w:val="Quote2Char"/>
    <w:uiPriority w:val="98"/>
    <w:qFormat/>
    <w:rsid w:val="00F81B4C"/>
    <w:pPr>
      <w:ind w:left="864"/>
    </w:pPr>
  </w:style>
  <w:style w:type="character" w:customStyle="1" w:styleId="Quote2Char">
    <w:name w:val="Quote 2 Char"/>
    <w:basedOn w:val="Callouttext1Char"/>
    <w:link w:val="Quote2"/>
    <w:uiPriority w:val="98"/>
    <w:rsid w:val="00F81B4C"/>
    <w:rPr>
      <w:rFonts w:cs="Arial"/>
      <w:color w:val="808080"/>
    </w:rPr>
  </w:style>
  <w:style w:type="paragraph" w:styleId="Revision">
    <w:name w:val="Revision"/>
    <w:hidden/>
    <w:uiPriority w:val="99"/>
    <w:semiHidden/>
    <w:rsid w:val="004825FD"/>
    <w:pPr>
      <w:spacing w:after="0" w:line="240" w:lineRule="auto"/>
    </w:pPr>
    <w:rPr>
      <w:lang w:eastAsia="en-US"/>
    </w:rPr>
  </w:style>
  <w:style w:type="character" w:styleId="CommentReference">
    <w:name w:val="annotation reference"/>
    <w:basedOn w:val="DefaultParagraphFont"/>
    <w:uiPriority w:val="99"/>
    <w:semiHidden/>
    <w:unhideWhenUsed/>
    <w:rsid w:val="00E17A48"/>
    <w:rPr>
      <w:sz w:val="16"/>
      <w:szCs w:val="16"/>
    </w:rPr>
  </w:style>
  <w:style w:type="paragraph" w:styleId="CommentText">
    <w:name w:val="annotation text"/>
    <w:basedOn w:val="Normal"/>
    <w:link w:val="CommentTextChar"/>
    <w:uiPriority w:val="99"/>
    <w:unhideWhenUsed/>
    <w:rsid w:val="00E17A48"/>
    <w:pPr>
      <w:spacing w:line="240" w:lineRule="auto"/>
    </w:pPr>
    <w:rPr>
      <w:szCs w:val="20"/>
    </w:rPr>
  </w:style>
  <w:style w:type="character" w:customStyle="1" w:styleId="CommentTextChar">
    <w:name w:val="Comment Text Char"/>
    <w:basedOn w:val="DefaultParagraphFont"/>
    <w:link w:val="CommentText"/>
    <w:uiPriority w:val="99"/>
    <w:rsid w:val="00E17A48"/>
    <w:rPr>
      <w:lang w:eastAsia="en-US"/>
    </w:rPr>
  </w:style>
  <w:style w:type="paragraph" w:styleId="CommentSubject">
    <w:name w:val="annotation subject"/>
    <w:basedOn w:val="CommentText"/>
    <w:next w:val="CommentText"/>
    <w:link w:val="CommentSubjectChar"/>
    <w:uiPriority w:val="99"/>
    <w:semiHidden/>
    <w:unhideWhenUsed/>
    <w:rsid w:val="00E17A48"/>
    <w:rPr>
      <w:b/>
      <w:bCs/>
    </w:rPr>
  </w:style>
  <w:style w:type="character" w:customStyle="1" w:styleId="CommentSubjectChar">
    <w:name w:val="Comment Subject Char"/>
    <w:basedOn w:val="CommentTextChar"/>
    <w:link w:val="CommentSubject"/>
    <w:uiPriority w:val="99"/>
    <w:semiHidden/>
    <w:rsid w:val="00E17A48"/>
    <w:rPr>
      <w:b/>
      <w:bCs/>
      <w:lang w:eastAsia="en-US"/>
    </w:rPr>
  </w:style>
  <w:style w:type="character" w:styleId="UnresolvedMention">
    <w:name w:val="Unresolved Mention"/>
    <w:basedOn w:val="DefaultParagraphFont"/>
    <w:uiPriority w:val="99"/>
    <w:semiHidden/>
    <w:unhideWhenUsed/>
    <w:rsid w:val="002C3EF6"/>
    <w:rPr>
      <w:color w:val="605E5C"/>
      <w:shd w:val="clear" w:color="auto" w:fill="E1DFDD"/>
    </w:rPr>
  </w:style>
  <w:style w:type="paragraph" w:styleId="NormalWeb">
    <w:name w:val="Normal (Web)"/>
    <w:basedOn w:val="Normal"/>
    <w:uiPriority w:val="99"/>
    <w:unhideWhenUsed/>
    <w:rsid w:val="00A22725"/>
    <w:pPr>
      <w:spacing w:before="100" w:beforeAutospacing="1" w:after="100" w:afterAutospacing="1" w:line="240" w:lineRule="auto"/>
    </w:pPr>
    <w:rPr>
      <w:rFonts w:ascii="Times New Roman" w:eastAsia="Times New Roman" w:hAnsi="Times New Roman"/>
      <w:sz w:val="24"/>
      <w:szCs w:val="24"/>
      <w:lang w:val="en-ID" w:eastAsia="en-ID"/>
    </w:rPr>
  </w:style>
  <w:style w:type="character" w:styleId="Emphasis">
    <w:name w:val="Emphasis"/>
    <w:basedOn w:val="DefaultParagraphFont"/>
    <w:uiPriority w:val="20"/>
    <w:qFormat/>
    <w:rsid w:val="00143184"/>
    <w:rPr>
      <w:i/>
      <w:iCs/>
    </w:rPr>
  </w:style>
  <w:style w:type="character" w:styleId="Strong">
    <w:name w:val="Strong"/>
    <w:basedOn w:val="DefaultParagraphFont"/>
    <w:uiPriority w:val="22"/>
    <w:qFormat/>
    <w:rsid w:val="00143184"/>
    <w:rPr>
      <w:b/>
      <w:bCs/>
    </w:rPr>
  </w:style>
  <w:style w:type="character" w:customStyle="1" w:styleId="normaltextrun">
    <w:name w:val="normaltextrun"/>
    <w:basedOn w:val="DefaultParagraphFont"/>
    <w:rsid w:val="00FF290D"/>
  </w:style>
  <w:style w:type="character" w:customStyle="1" w:styleId="eop">
    <w:name w:val="eop"/>
    <w:basedOn w:val="DefaultParagraphFont"/>
    <w:rsid w:val="00FF290D"/>
  </w:style>
  <w:style w:type="paragraph" w:customStyle="1" w:styleId="paragraph">
    <w:name w:val="paragraph"/>
    <w:basedOn w:val="Normal"/>
    <w:rsid w:val="00D178E0"/>
    <w:pPr>
      <w:spacing w:before="100" w:beforeAutospacing="1" w:after="100" w:afterAutospacing="1" w:line="240" w:lineRule="auto"/>
    </w:pPr>
    <w:rPr>
      <w:rFonts w:ascii="Times New Roman" w:eastAsia="Times New Roman" w:hAnsi="Times New Roman"/>
      <w:sz w:val="24"/>
      <w:szCs w:val="24"/>
      <w:lang w:val="en-ID" w:eastAsia="en-ID"/>
    </w:rPr>
  </w:style>
  <w:style w:type="paragraph" w:customStyle="1" w:styleId="pf0">
    <w:name w:val="pf0"/>
    <w:basedOn w:val="Normal"/>
    <w:rsid w:val="00A762B7"/>
    <w:pPr>
      <w:spacing w:before="100" w:beforeAutospacing="1" w:after="100" w:afterAutospacing="1" w:line="240" w:lineRule="auto"/>
    </w:pPr>
    <w:rPr>
      <w:rFonts w:ascii="Times New Roman" w:eastAsia="Times New Roman" w:hAnsi="Times New Roman"/>
      <w:sz w:val="24"/>
      <w:szCs w:val="24"/>
      <w:lang w:val="en-AU" w:eastAsia="en-AU"/>
    </w:rPr>
  </w:style>
  <w:style w:type="character" w:customStyle="1" w:styleId="ListParagraphChar">
    <w:name w:val="List Paragraph Char"/>
    <w:aliases w:val="List Paragraph1 Char,Recommendation Char,List Paragraph11 Char,List Paragraph2 Char,NFP GP Bulleted List Char,FooterText Char,numbered Char,Paragraphe de liste1 Char,Bulletr List Paragraph Char,列出段落 Char,列出段落1 Char,Listeafsnit1 Char"/>
    <w:link w:val="ListParagraph"/>
    <w:uiPriority w:val="34"/>
    <w:qFormat/>
    <w:locked/>
    <w:rsid w:val="008212CD"/>
  </w:style>
  <w:style w:type="table" w:styleId="GridTable1Light">
    <w:name w:val="Grid Table 1 Light"/>
    <w:basedOn w:val="TableNormal"/>
    <w:uiPriority w:val="46"/>
    <w:rsid w:val="009F3BE7"/>
    <w:pPr>
      <w:spacing w:after="0" w:line="240" w:lineRule="auto"/>
    </w:pPr>
    <w:rPr>
      <w:kern w:val="2"/>
      <w14:ligatures w14:val="standardContextua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Mention">
    <w:name w:val="Mention"/>
    <w:basedOn w:val="DefaultParagraphFont"/>
    <w:uiPriority w:val="99"/>
    <w:unhideWhenUsed/>
    <w:rsid w:val="00E50378"/>
    <w:rPr>
      <w:color w:val="2B579A"/>
      <w:shd w:val="clear" w:color="auto" w:fill="E1DFDD"/>
    </w:rPr>
  </w:style>
  <w:style w:type="paragraph" w:styleId="Caption">
    <w:name w:val="caption"/>
    <w:basedOn w:val="Normal"/>
    <w:next w:val="Normal"/>
    <w:uiPriority w:val="35"/>
    <w:unhideWhenUsed/>
    <w:qFormat/>
    <w:rsid w:val="000642D5"/>
    <w:pPr>
      <w:spacing w:after="0" w:line="240" w:lineRule="auto"/>
    </w:pPr>
    <w:rPr>
      <w:rFonts w:ascii="Arial" w:eastAsia="Calibri" w:hAnsi="Arial" w:cs="Arial"/>
      <w:color w:val="002060"/>
      <w:sz w:val="18"/>
      <w:szCs w:val="24"/>
      <w:lang w:val="en-US" w:eastAsia="en-US"/>
    </w:rPr>
  </w:style>
  <w:style w:type="table" w:styleId="GridTable2-Accent1">
    <w:name w:val="Grid Table 2 Accent 1"/>
    <w:basedOn w:val="TableNormal"/>
    <w:uiPriority w:val="47"/>
    <w:rsid w:val="00AA172E"/>
    <w:pPr>
      <w:spacing w:after="0" w:line="240" w:lineRule="auto"/>
    </w:pPr>
    <w:rPr>
      <w:rFonts w:eastAsiaTheme="minorHAnsi"/>
      <w:lang w:val="en-US" w:eastAsia="en-US"/>
    </w:rPr>
    <w:tblPr>
      <w:tblStyleRowBandSize w:val="1"/>
      <w:tblStyleColBandSize w:val="1"/>
      <w:tblBorders>
        <w:top w:val="single" w:sz="2" w:space="0" w:color="58E6FB" w:themeColor="accent1" w:themeTint="99"/>
        <w:bottom w:val="single" w:sz="2" w:space="0" w:color="58E6FB" w:themeColor="accent1" w:themeTint="99"/>
        <w:insideH w:val="single" w:sz="2" w:space="0" w:color="58E6FB" w:themeColor="accent1" w:themeTint="99"/>
        <w:insideV w:val="single" w:sz="2" w:space="0" w:color="58E6FB" w:themeColor="accent1" w:themeTint="99"/>
      </w:tblBorders>
    </w:tblPr>
    <w:tblStylePr w:type="firstRow">
      <w:rPr>
        <w:b/>
        <w:bCs/>
      </w:rPr>
      <w:tblPr/>
      <w:tcPr>
        <w:tcBorders>
          <w:top w:val="nil"/>
          <w:bottom w:val="single" w:sz="12" w:space="0" w:color="58E6FB" w:themeColor="accent1" w:themeTint="99"/>
          <w:insideH w:val="nil"/>
          <w:insideV w:val="nil"/>
        </w:tcBorders>
        <w:shd w:val="clear" w:color="auto" w:fill="FFFFFF" w:themeFill="background1"/>
      </w:tcPr>
    </w:tblStylePr>
    <w:tblStylePr w:type="lastRow">
      <w:rPr>
        <w:b/>
        <w:bCs/>
      </w:rPr>
      <w:tblPr/>
      <w:tcPr>
        <w:tcBorders>
          <w:top w:val="double" w:sz="2" w:space="0" w:color="58E6F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7F7FD" w:themeFill="accent1" w:themeFillTint="33"/>
      </w:tcPr>
    </w:tblStylePr>
    <w:tblStylePr w:type="band1Horz">
      <w:tblPr/>
      <w:tcPr>
        <w:shd w:val="clear" w:color="auto" w:fill="C7F7FD" w:themeFill="accent1" w:themeFillTint="33"/>
      </w:tcPr>
    </w:tblStylePr>
  </w:style>
  <w:style w:type="character" w:customStyle="1" w:styleId="cf01">
    <w:name w:val="cf01"/>
    <w:basedOn w:val="DefaultParagraphFont"/>
    <w:rsid w:val="00C62BD4"/>
    <w:rPr>
      <w:rFonts w:ascii="Segoe UI" w:hAnsi="Segoe UI" w:cs="Segoe UI" w:hint="default"/>
      <w:sz w:val="18"/>
      <w:szCs w:val="18"/>
    </w:rPr>
  </w:style>
  <w:style w:type="paragraph" w:customStyle="1" w:styleId="Snapshootpara">
    <w:name w:val="Snapshoot para"/>
    <w:basedOn w:val="Body"/>
    <w:link w:val="SnapshootparaChar"/>
    <w:uiPriority w:val="98"/>
    <w:qFormat/>
    <w:rsid w:val="00067802"/>
    <w:pPr>
      <w:shd w:val="clear" w:color="auto" w:fill="D5D9EB"/>
      <w:ind w:left="720" w:right="990"/>
    </w:pPr>
    <w:rPr>
      <w:lang w:val="en-ID"/>
    </w:rPr>
  </w:style>
  <w:style w:type="table" w:styleId="ListTable3">
    <w:name w:val="List Table 3"/>
    <w:basedOn w:val="TableNormal"/>
    <w:uiPriority w:val="48"/>
    <w:rsid w:val="00262AF1"/>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SnapshootparaChar">
    <w:name w:val="Snapshoot para Char"/>
    <w:basedOn w:val="BodyChar"/>
    <w:link w:val="Snapshootpara"/>
    <w:uiPriority w:val="98"/>
    <w:rsid w:val="00067802"/>
    <w:rPr>
      <w:rFonts w:cs="Arial"/>
      <w:color w:val="000000"/>
      <w:szCs w:val="22"/>
      <w:shd w:val="clear" w:color="auto" w:fill="D5D9EB"/>
      <w:lang w:val="en-ID" w:eastAsia="en-US"/>
    </w:rPr>
  </w:style>
  <w:style w:type="paragraph" w:styleId="TOC4">
    <w:name w:val="toc 4"/>
    <w:basedOn w:val="Normal"/>
    <w:next w:val="Normal"/>
    <w:autoRedefine/>
    <w:uiPriority w:val="39"/>
    <w:unhideWhenUsed/>
    <w:rsid w:val="00F81F96"/>
    <w:pPr>
      <w:spacing w:after="0"/>
      <w:ind w:left="660"/>
    </w:pPr>
    <w:rPr>
      <w:rFonts w:cstheme="minorHAnsi"/>
      <w:sz w:val="20"/>
      <w:szCs w:val="20"/>
    </w:rPr>
  </w:style>
  <w:style w:type="paragraph" w:styleId="TOC5">
    <w:name w:val="toc 5"/>
    <w:basedOn w:val="Normal"/>
    <w:next w:val="Normal"/>
    <w:autoRedefine/>
    <w:uiPriority w:val="39"/>
    <w:unhideWhenUsed/>
    <w:rsid w:val="00F81F96"/>
    <w:pPr>
      <w:spacing w:after="0"/>
      <w:ind w:left="880"/>
    </w:pPr>
    <w:rPr>
      <w:rFonts w:cstheme="minorHAnsi"/>
      <w:sz w:val="20"/>
      <w:szCs w:val="20"/>
    </w:rPr>
  </w:style>
  <w:style w:type="paragraph" w:styleId="TOC6">
    <w:name w:val="toc 6"/>
    <w:basedOn w:val="Normal"/>
    <w:next w:val="Normal"/>
    <w:autoRedefine/>
    <w:uiPriority w:val="39"/>
    <w:unhideWhenUsed/>
    <w:rsid w:val="00F81F96"/>
    <w:pPr>
      <w:spacing w:after="0"/>
      <w:ind w:left="1100"/>
    </w:pPr>
    <w:rPr>
      <w:rFonts w:cstheme="minorHAnsi"/>
      <w:sz w:val="20"/>
      <w:szCs w:val="20"/>
    </w:rPr>
  </w:style>
  <w:style w:type="paragraph" w:styleId="TOC7">
    <w:name w:val="toc 7"/>
    <w:basedOn w:val="Normal"/>
    <w:next w:val="Normal"/>
    <w:autoRedefine/>
    <w:uiPriority w:val="39"/>
    <w:unhideWhenUsed/>
    <w:rsid w:val="00F81F96"/>
    <w:pPr>
      <w:spacing w:after="0"/>
      <w:ind w:left="1320"/>
    </w:pPr>
    <w:rPr>
      <w:rFonts w:cstheme="minorHAnsi"/>
      <w:sz w:val="20"/>
      <w:szCs w:val="20"/>
    </w:rPr>
  </w:style>
  <w:style w:type="paragraph" w:styleId="TOC8">
    <w:name w:val="toc 8"/>
    <w:basedOn w:val="Normal"/>
    <w:next w:val="Normal"/>
    <w:autoRedefine/>
    <w:uiPriority w:val="39"/>
    <w:unhideWhenUsed/>
    <w:rsid w:val="00F81F96"/>
    <w:pPr>
      <w:spacing w:after="0"/>
      <w:ind w:left="1540"/>
    </w:pPr>
    <w:rPr>
      <w:rFonts w:cstheme="minorHAnsi"/>
      <w:sz w:val="20"/>
      <w:szCs w:val="20"/>
    </w:rPr>
  </w:style>
  <w:style w:type="paragraph" w:styleId="TOC9">
    <w:name w:val="toc 9"/>
    <w:basedOn w:val="Normal"/>
    <w:next w:val="Normal"/>
    <w:autoRedefine/>
    <w:uiPriority w:val="39"/>
    <w:unhideWhenUsed/>
    <w:rsid w:val="00F81F96"/>
    <w:pPr>
      <w:spacing w:after="0"/>
      <w:ind w:left="1760"/>
    </w:pPr>
    <w:rPr>
      <w:rFonts w:cstheme="minorHAnsi"/>
      <w:sz w:val="20"/>
      <w:szCs w:val="20"/>
    </w:rPr>
  </w:style>
  <w:style w:type="paragraph" w:styleId="EndnoteText">
    <w:name w:val="endnote text"/>
    <w:basedOn w:val="Normal"/>
    <w:link w:val="EndnoteTextChar"/>
    <w:uiPriority w:val="99"/>
    <w:semiHidden/>
    <w:unhideWhenUsed/>
    <w:rsid w:val="00517A20"/>
    <w:pPr>
      <w:spacing w:after="0" w:line="240" w:lineRule="auto"/>
    </w:pPr>
    <w:rPr>
      <w:szCs w:val="20"/>
    </w:rPr>
  </w:style>
  <w:style w:type="character" w:customStyle="1" w:styleId="EndnoteTextChar">
    <w:name w:val="Endnote Text Char"/>
    <w:basedOn w:val="DefaultParagraphFont"/>
    <w:link w:val="EndnoteText"/>
    <w:uiPriority w:val="99"/>
    <w:semiHidden/>
    <w:rsid w:val="00517A20"/>
    <w:rPr>
      <w:szCs w:val="20"/>
    </w:rPr>
  </w:style>
  <w:style w:type="character" w:styleId="EndnoteReference">
    <w:name w:val="endnote reference"/>
    <w:basedOn w:val="DefaultParagraphFont"/>
    <w:uiPriority w:val="99"/>
    <w:semiHidden/>
    <w:unhideWhenUsed/>
    <w:rsid w:val="00517A20"/>
    <w:rPr>
      <w:vertAlign w:val="superscript"/>
    </w:rPr>
  </w:style>
  <w:style w:type="paragraph" w:customStyle="1" w:styleId="MSSgraphicformat">
    <w:name w:val="MSS graphic format"/>
    <w:basedOn w:val="Normal"/>
    <w:link w:val="MSSgraphicformatChar"/>
    <w:uiPriority w:val="98"/>
    <w:qFormat/>
    <w:rsid w:val="000B11ED"/>
    <w:pPr>
      <w:spacing w:after="0" w:line="240" w:lineRule="auto"/>
      <w:jc w:val="center"/>
    </w:pPr>
    <w:rPr>
      <w:rFonts w:ascii="HelveticaNeueLT Std" w:hAnsi="HelveticaNeueLT Std" w:cs="HelveticaNeueLT Std"/>
      <w:b/>
      <w:color w:val="213463"/>
      <w:spacing w:val="-4"/>
      <w:sz w:val="11"/>
      <w:szCs w:val="11"/>
    </w:rPr>
  </w:style>
  <w:style w:type="character" w:customStyle="1" w:styleId="MSSgraphicformatChar">
    <w:name w:val="MSS graphic format Char"/>
    <w:basedOn w:val="DefaultParagraphFont"/>
    <w:link w:val="MSSgraphicformat"/>
    <w:uiPriority w:val="98"/>
    <w:rsid w:val="00C83270"/>
    <w:rPr>
      <w:rFonts w:ascii="HelveticaNeueLT Std" w:hAnsi="HelveticaNeueLT Std" w:cs="HelveticaNeueLT Std"/>
      <w:b/>
      <w:color w:val="213463"/>
      <w:spacing w:val="-4"/>
      <w:sz w:val="11"/>
      <w:szCs w:val="11"/>
    </w:rPr>
  </w:style>
  <w:style w:type="paragraph" w:customStyle="1" w:styleId="MSSInterventionArea">
    <w:name w:val="MSS Intervention Area"/>
    <w:basedOn w:val="Normal"/>
    <w:link w:val="MSSInterventionAreaChar"/>
    <w:uiPriority w:val="98"/>
    <w:qFormat/>
    <w:rsid w:val="00A06F84"/>
    <w:pPr>
      <w:spacing w:before="18" w:line="285" w:lineRule="auto"/>
      <w:ind w:left="14" w:right="14"/>
      <w:jc w:val="center"/>
    </w:pPr>
    <w:rPr>
      <w:rFonts w:cstheme="minorHAnsi"/>
      <w:color w:val="213463"/>
      <w:sz w:val="14"/>
      <w:szCs w:val="14"/>
    </w:rPr>
  </w:style>
  <w:style w:type="character" w:customStyle="1" w:styleId="MSSInterventionAreaChar">
    <w:name w:val="MSS Intervention Area Char"/>
    <w:basedOn w:val="DefaultParagraphFont"/>
    <w:link w:val="MSSInterventionArea"/>
    <w:uiPriority w:val="98"/>
    <w:rsid w:val="000B3071"/>
    <w:rPr>
      <w:rFonts w:cstheme="minorHAnsi"/>
      <w:color w:val="213463"/>
      <w:sz w:val="14"/>
      <w:szCs w:val="14"/>
    </w:rPr>
  </w:style>
  <w:style w:type="character" w:customStyle="1" w:styleId="cf11">
    <w:name w:val="cf11"/>
    <w:basedOn w:val="DefaultParagraphFont"/>
    <w:rsid w:val="00DA78E6"/>
    <w:rPr>
      <w:rFonts w:ascii="Segoe UI" w:hAnsi="Segoe UI" w:cs="Segoe UI" w:hint="default"/>
      <w:sz w:val="18"/>
      <w:szCs w:val="18"/>
      <w:shd w:val="clear" w:color="auto" w:fill="FFFFFF"/>
    </w:rPr>
  </w:style>
  <w:style w:type="character" w:customStyle="1" w:styleId="cf21">
    <w:name w:val="cf21"/>
    <w:basedOn w:val="DefaultParagraphFont"/>
    <w:rsid w:val="006252FF"/>
    <w:rPr>
      <w:rFonts w:ascii="Segoe UI" w:hAnsi="Segoe UI" w:cs="Segoe UI" w:hint="default"/>
      <w:sz w:val="18"/>
      <w:szCs w:val="18"/>
      <w:shd w:val="clear" w:color="auto" w:fill="FFFFFF"/>
    </w:rPr>
  </w:style>
  <w:style w:type="character" w:customStyle="1" w:styleId="tabchar">
    <w:name w:val="tabchar"/>
    <w:basedOn w:val="DefaultParagraphFont"/>
    <w:rsid w:val="001408A8"/>
  </w:style>
  <w:style w:type="character" w:customStyle="1" w:styleId="scxw31581502">
    <w:name w:val="scxw31581502"/>
    <w:basedOn w:val="DefaultParagraphFont"/>
    <w:rsid w:val="001408A8"/>
  </w:style>
  <w:style w:type="character" w:customStyle="1" w:styleId="findhit">
    <w:name w:val="findhit"/>
    <w:basedOn w:val="DefaultParagraphFont"/>
    <w:rsid w:val="00046023"/>
  </w:style>
  <w:style w:type="paragraph" w:styleId="Subtitle">
    <w:name w:val="Subtitle"/>
    <w:basedOn w:val="Normal"/>
    <w:next w:val="Normal"/>
    <w:link w:val="SubtitleChar"/>
    <w:uiPriority w:val="11"/>
    <w:qFormat/>
    <w:rsid w:val="00D90FD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4318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90FD0"/>
    <w:pPr>
      <w:spacing w:before="160"/>
      <w:jc w:val="center"/>
    </w:pPr>
    <w:rPr>
      <w:i/>
      <w:iCs/>
      <w:color w:val="404040" w:themeColor="text1" w:themeTint="BF"/>
    </w:rPr>
  </w:style>
  <w:style w:type="character" w:customStyle="1" w:styleId="QuoteChar">
    <w:name w:val="Quote Char"/>
    <w:basedOn w:val="DefaultParagraphFont"/>
    <w:link w:val="Quote"/>
    <w:uiPriority w:val="29"/>
    <w:rsid w:val="00143184"/>
    <w:rPr>
      <w:i/>
      <w:iCs/>
      <w:color w:val="404040" w:themeColor="text1" w:themeTint="BF"/>
    </w:rPr>
  </w:style>
  <w:style w:type="character" w:styleId="IntenseEmphasis">
    <w:name w:val="Intense Emphasis"/>
    <w:basedOn w:val="DefaultParagraphFont"/>
    <w:uiPriority w:val="21"/>
    <w:qFormat/>
    <w:rsid w:val="00D90FD0"/>
    <w:rPr>
      <w:i/>
      <w:iCs/>
      <w:color w:val="0391A6" w:themeColor="accent1" w:themeShade="BF"/>
    </w:rPr>
  </w:style>
  <w:style w:type="paragraph" w:styleId="IntenseQuote">
    <w:name w:val="Intense Quote"/>
    <w:basedOn w:val="Normal"/>
    <w:next w:val="Normal"/>
    <w:link w:val="IntenseQuoteChar"/>
    <w:uiPriority w:val="30"/>
    <w:qFormat/>
    <w:rsid w:val="00D90FD0"/>
    <w:pPr>
      <w:pBdr>
        <w:top w:val="single" w:sz="4" w:space="10" w:color="0391A6" w:themeColor="accent1" w:themeShade="BF"/>
        <w:bottom w:val="single" w:sz="4" w:space="10" w:color="0391A6" w:themeColor="accent1" w:themeShade="BF"/>
      </w:pBdr>
      <w:spacing w:before="360" w:after="360"/>
      <w:ind w:left="864" w:right="864"/>
      <w:jc w:val="center"/>
    </w:pPr>
    <w:rPr>
      <w:i/>
      <w:iCs/>
      <w:color w:val="0391A6" w:themeColor="accent1" w:themeShade="BF"/>
    </w:rPr>
  </w:style>
  <w:style w:type="character" w:customStyle="1" w:styleId="IntenseQuoteChar">
    <w:name w:val="Intense Quote Char"/>
    <w:basedOn w:val="DefaultParagraphFont"/>
    <w:link w:val="IntenseQuote"/>
    <w:uiPriority w:val="30"/>
    <w:rsid w:val="00143184"/>
    <w:rPr>
      <w:i/>
      <w:iCs/>
      <w:color w:val="0391A6" w:themeColor="accent1" w:themeShade="BF"/>
    </w:rPr>
  </w:style>
  <w:style w:type="character" w:styleId="IntenseReference">
    <w:name w:val="Intense Reference"/>
    <w:basedOn w:val="DefaultParagraphFont"/>
    <w:uiPriority w:val="32"/>
    <w:qFormat/>
    <w:rsid w:val="00D90FD0"/>
    <w:rPr>
      <w:b/>
      <w:bCs/>
      <w:smallCaps/>
      <w:color w:val="0391A6" w:themeColor="accent1" w:themeShade="BF"/>
      <w:spacing w:val="5"/>
    </w:rPr>
  </w:style>
  <w:style w:type="paragraph" w:styleId="HTMLPreformatted">
    <w:name w:val="HTML Preformatted"/>
    <w:basedOn w:val="Normal"/>
    <w:link w:val="HTMLPreformattedChar"/>
    <w:uiPriority w:val="99"/>
    <w:unhideWhenUsed/>
    <w:rsid w:val="004739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Cs w:val="20"/>
      <w:lang w:val="en-ID" w:eastAsia="en-ID"/>
    </w:rPr>
  </w:style>
  <w:style w:type="character" w:customStyle="1" w:styleId="HTMLPreformattedChar">
    <w:name w:val="HTML Preformatted Char"/>
    <w:basedOn w:val="DefaultParagraphFont"/>
    <w:link w:val="HTMLPreformatted"/>
    <w:uiPriority w:val="99"/>
    <w:rsid w:val="00473940"/>
    <w:rPr>
      <w:rFonts w:ascii="Courier New" w:eastAsia="Times New Roman" w:hAnsi="Courier New" w:cs="Courier New"/>
      <w:szCs w:val="20"/>
      <w:lang w:val="en-ID" w:eastAsia="en-ID"/>
    </w:rPr>
  </w:style>
  <w:style w:type="character" w:customStyle="1" w:styleId="y2iqfc">
    <w:name w:val="y2iqfc"/>
    <w:basedOn w:val="DefaultParagraphFont"/>
    <w:rsid w:val="00473940"/>
  </w:style>
  <w:style w:type="paragraph" w:customStyle="1" w:styleId="Default">
    <w:name w:val="Default"/>
    <w:rsid w:val="00B477C7"/>
    <w:pPr>
      <w:autoSpaceDE w:val="0"/>
      <w:autoSpaceDN w:val="0"/>
      <w:adjustRightInd w:val="0"/>
      <w:spacing w:after="0" w:line="240" w:lineRule="auto"/>
    </w:pPr>
    <w:rPr>
      <w:rFonts w:ascii="Helvetica Neue" w:hAnsi="Helvetica Neue" w:cs="Helvetica Neue"/>
      <w:color w:val="000000"/>
      <w:sz w:val="24"/>
      <w:szCs w:val="24"/>
      <w:lang w:val="en-ID"/>
    </w:rPr>
  </w:style>
  <w:style w:type="table" w:customStyle="1" w:styleId="Table21">
    <w:name w:val="Table 21"/>
    <w:basedOn w:val="TableNormal"/>
    <w:next w:val="TableGrid"/>
    <w:uiPriority w:val="39"/>
    <w:rsid w:val="006B7C5A"/>
    <w:pPr>
      <w:spacing w:after="0" w:line="240" w:lineRule="auto"/>
    </w:pPr>
    <w:rPr>
      <w:rFonts w:ascii="Calibri" w:eastAsia="Calibri" w:hAnsi="Calibri"/>
      <w:sz w:val="18"/>
      <w:lang w:val="en-US" w:eastAsia="en-US"/>
    </w:rPr>
    <w:tblPr>
      <w:tblStyleRowBandSize w:val="1"/>
      <w:tblBorders>
        <w:insideH w:val="single" w:sz="4" w:space="0" w:color="auto"/>
      </w:tblBorders>
    </w:tblPr>
    <w:tblStylePr w:type="firstRow">
      <w:rPr>
        <w:rFonts w:ascii="Verdana" w:hAnsi="Verdana"/>
        <w:b/>
        <w:color w:val="FFFFFF"/>
        <w:sz w:val="20"/>
      </w:rPr>
      <w:tblPr/>
      <w:tcPr>
        <w:tcBorders>
          <w:top w:val="nil"/>
          <w:left w:val="nil"/>
          <w:bottom w:val="nil"/>
          <w:right w:val="nil"/>
          <w:insideH w:val="nil"/>
          <w:insideV w:val="nil"/>
          <w:tl2br w:val="nil"/>
          <w:tr2bl w:val="nil"/>
        </w:tcBorders>
        <w:shd w:val="clear" w:color="auto" w:fill="FFC000"/>
      </w:tcPr>
    </w:tblStylePr>
    <w:tblStylePr w:type="firstCol">
      <w:tblPr/>
      <w:tcPr>
        <w:tcBorders>
          <w:top w:val="nil"/>
          <w:left w:val="nil"/>
          <w:bottom w:val="nil"/>
          <w:right w:val="nil"/>
          <w:insideH w:val="nil"/>
          <w:insideV w:val="nil"/>
          <w:tl2br w:val="nil"/>
          <w:tr2bl w:val="nil"/>
        </w:tcBorders>
      </w:tcPr>
    </w:tblStylePr>
  </w:style>
  <w:style w:type="table" w:customStyle="1" w:styleId="TableGridLight1">
    <w:name w:val="Table Grid Light1"/>
    <w:basedOn w:val="TableNormal"/>
    <w:next w:val="TableGridLight"/>
    <w:uiPriority w:val="40"/>
    <w:rsid w:val="006B7C5A"/>
    <w:pPr>
      <w:spacing w:after="0" w:line="240" w:lineRule="auto"/>
    </w:pPr>
    <w:rPr>
      <w:rFonts w:ascii="Calibri" w:eastAsia="Calibri" w:hAnsi="Calibri"/>
      <w:sz w:val="24"/>
      <w:szCs w:val="24"/>
      <w:lang w:val="en-AU"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21">
    <w:name w:val="Plain Table 21"/>
    <w:basedOn w:val="TableNormal"/>
    <w:next w:val="PlainTable2"/>
    <w:uiPriority w:val="42"/>
    <w:rsid w:val="006B7C5A"/>
    <w:pPr>
      <w:spacing w:after="0" w:line="240" w:lineRule="auto"/>
    </w:pPr>
    <w:rPr>
      <w:rFonts w:ascii="Calibri" w:eastAsia="Calibri" w:hAnsi="Calibri"/>
      <w:sz w:val="24"/>
      <w:szCs w:val="24"/>
      <w:lang w:val="en-AU"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A7">
    <w:name w:val="A7"/>
    <w:uiPriority w:val="99"/>
    <w:rsid w:val="0062370F"/>
    <w:rPr>
      <w:rFonts w:cs="Helvetica Neue"/>
      <w:color w:val="211D1E"/>
      <w:sz w:val="20"/>
      <w:szCs w:val="20"/>
    </w:rPr>
  </w:style>
  <w:style w:type="paragraph" w:customStyle="1" w:styleId="xmsonormal">
    <w:name w:val="x_msonormal"/>
    <w:basedOn w:val="Normal"/>
    <w:rsid w:val="00B6478F"/>
    <w:pPr>
      <w:spacing w:after="0" w:line="240" w:lineRule="auto"/>
    </w:pPr>
    <w:rPr>
      <w:rFonts w:ascii="Calibri" w:eastAsiaTheme="minorHAnsi" w:hAnsi="Calibri" w:cs="Calibri"/>
      <w:lang w:val="en-US"/>
    </w:rPr>
  </w:style>
  <w:style w:type="character" w:customStyle="1" w:styleId="wacimagecontainer">
    <w:name w:val="wacimagecontainer"/>
    <w:basedOn w:val="DefaultParagraphFont"/>
    <w:rsid w:val="00960DB2"/>
  </w:style>
  <w:style w:type="character" w:styleId="SubtleEmphasis">
    <w:name w:val="Subtle Emphasis"/>
    <w:basedOn w:val="DefaultParagraphFont"/>
    <w:uiPriority w:val="19"/>
    <w:qFormat/>
    <w:rsid w:val="00143184"/>
    <w:rPr>
      <w:i/>
      <w:iCs/>
      <w:color w:val="595959" w:themeColor="text1" w:themeTint="A6"/>
    </w:rPr>
  </w:style>
  <w:style w:type="character" w:styleId="SubtleReference">
    <w:name w:val="Subtle Reference"/>
    <w:basedOn w:val="DefaultParagraphFont"/>
    <w:uiPriority w:val="31"/>
    <w:qFormat/>
    <w:rsid w:val="00143184"/>
    <w:rPr>
      <w:smallCaps/>
      <w:color w:val="595959" w:themeColor="text1" w:themeTint="A6"/>
      <w:u w:val="none" w:color="7F7F7F" w:themeColor="text1" w:themeTint="80"/>
      <w:bdr w:val="none" w:sz="0" w:space="0" w:color="auto"/>
    </w:rPr>
  </w:style>
  <w:style w:type="character" w:styleId="BookTitle">
    <w:name w:val="Book Title"/>
    <w:basedOn w:val="DefaultParagraphFont"/>
    <w:uiPriority w:val="33"/>
    <w:qFormat/>
    <w:rsid w:val="00143184"/>
    <w:rPr>
      <w:b/>
      <w:bCs/>
      <w:smallCaps/>
      <w:spacing w:val="10"/>
    </w:rPr>
  </w:style>
  <w:style w:type="table" w:styleId="ListTable4">
    <w:name w:val="List Table 4"/>
    <w:basedOn w:val="TableNormal"/>
    <w:uiPriority w:val="49"/>
    <w:rsid w:val="003708E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PageNumber">
    <w:name w:val="page number"/>
    <w:basedOn w:val="DefaultParagraphFont"/>
    <w:uiPriority w:val="99"/>
    <w:semiHidden/>
    <w:unhideWhenUsed/>
    <w:rsid w:val="00E72EF3"/>
  </w:style>
  <w:style w:type="paragraph" w:styleId="TableofFigures">
    <w:name w:val="table of figures"/>
    <w:basedOn w:val="Normal"/>
    <w:next w:val="Normal"/>
    <w:uiPriority w:val="99"/>
    <w:unhideWhenUsed/>
    <w:rsid w:val="00DE3EE6"/>
    <w:pPr>
      <w:spacing w:after="0"/>
    </w:pPr>
  </w:style>
  <w:style w:type="numbering" w:customStyle="1" w:styleId="CurrentList1">
    <w:name w:val="Current List1"/>
    <w:uiPriority w:val="99"/>
    <w:rsid w:val="001A6437"/>
    <w:pPr>
      <w:numPr>
        <w:numId w:val="29"/>
      </w:numPr>
    </w:pPr>
  </w:style>
  <w:style w:type="table" w:styleId="GridTable2-Accent6">
    <w:name w:val="Grid Table 2 Accent 6"/>
    <w:basedOn w:val="TableNormal"/>
    <w:uiPriority w:val="47"/>
    <w:rsid w:val="001D3C8E"/>
    <w:pPr>
      <w:spacing w:before="200" w:after="0" w:line="240" w:lineRule="auto"/>
    </w:pPr>
    <w:rPr>
      <w:rFonts w:ascii="Arial" w:eastAsia="Arial" w:hAnsi="Arial" w:cs="Times New Roman"/>
      <w:sz w:val="20"/>
      <w:szCs w:val="20"/>
    </w:rPr>
    <w:tblPr>
      <w:tblStyleRowBandSize w:val="1"/>
      <w:tblStyleColBandSize w:val="1"/>
      <w:tblBorders>
        <w:top w:val="single" w:sz="2" w:space="0" w:color="BAA7C0" w:themeColor="accent6" w:themeTint="99"/>
        <w:bottom w:val="single" w:sz="2" w:space="0" w:color="BAA7C0" w:themeColor="accent6" w:themeTint="99"/>
        <w:insideH w:val="single" w:sz="2" w:space="0" w:color="BAA7C0" w:themeColor="accent6" w:themeTint="99"/>
        <w:insideV w:val="single" w:sz="2" w:space="0" w:color="BAA7C0" w:themeColor="accent6" w:themeTint="99"/>
      </w:tblBorders>
    </w:tblPr>
    <w:tblStylePr w:type="firstRow">
      <w:rPr>
        <w:b/>
        <w:bCs/>
      </w:rPr>
      <w:tblPr/>
      <w:tcPr>
        <w:tcBorders>
          <w:top w:val="nil"/>
          <w:bottom w:val="single" w:sz="12" w:space="0" w:color="BAA7C0" w:themeColor="accent6" w:themeTint="99"/>
          <w:insideH w:val="nil"/>
          <w:insideV w:val="nil"/>
        </w:tcBorders>
        <w:shd w:val="clear" w:color="auto" w:fill="FFFFFF" w:themeFill="background1"/>
      </w:tcPr>
    </w:tblStylePr>
    <w:tblStylePr w:type="lastRow">
      <w:rPr>
        <w:b/>
        <w:bCs/>
      </w:rPr>
      <w:tblPr/>
      <w:tcPr>
        <w:tcBorders>
          <w:top w:val="double" w:sz="2" w:space="0" w:color="BAA7C0"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8E1EA" w:themeFill="accent6" w:themeFillTint="33"/>
      </w:tcPr>
    </w:tblStylePr>
    <w:tblStylePr w:type="band1Horz">
      <w:tblPr/>
      <w:tcPr>
        <w:shd w:val="clear" w:color="auto" w:fill="E8E1EA" w:themeFill="accent6" w:themeFillTint="33"/>
      </w:tcPr>
    </w:tblStylePr>
  </w:style>
  <w:style w:type="paragraph" w:customStyle="1" w:styleId="Head1nonumber">
    <w:name w:val="Head 1 no number"/>
    <w:basedOn w:val="Head1"/>
    <w:link w:val="Head1nonumberChar"/>
    <w:uiPriority w:val="98"/>
    <w:qFormat/>
    <w:rsid w:val="00263701"/>
    <w:pPr>
      <w:numPr>
        <w:numId w:val="0"/>
      </w:numPr>
    </w:pPr>
  </w:style>
  <w:style w:type="character" w:customStyle="1" w:styleId="Head1nonumberChar">
    <w:name w:val="Head 1 no number Char"/>
    <w:basedOn w:val="Head1Char"/>
    <w:link w:val="Head1nonumber"/>
    <w:uiPriority w:val="98"/>
    <w:rsid w:val="00263701"/>
    <w:rPr>
      <w:rFonts w:ascii="Arial" w:eastAsiaTheme="majorEastAsia" w:hAnsi="Arial" w:cs="Arial"/>
      <w:color w:val="252D65"/>
      <w:sz w:val="56"/>
      <w:szCs w:val="36"/>
      <w:u w:color="252E65"/>
    </w:rPr>
  </w:style>
  <w:style w:type="paragraph" w:customStyle="1" w:styleId="Head2nonumber">
    <w:name w:val="Head 2 no number"/>
    <w:basedOn w:val="Head2"/>
    <w:link w:val="Head2nonumberChar"/>
    <w:uiPriority w:val="98"/>
    <w:qFormat/>
    <w:rsid w:val="008B6EBE"/>
    <w:pPr>
      <w:numPr>
        <w:ilvl w:val="0"/>
        <w:numId w:val="0"/>
      </w:numPr>
      <w:spacing w:after="240"/>
      <w:ind w:left="14"/>
    </w:pPr>
    <w:rPr>
      <w:noProof/>
    </w:rPr>
  </w:style>
  <w:style w:type="character" w:customStyle="1" w:styleId="Head2nonumberChar">
    <w:name w:val="Head 2 no number Char"/>
    <w:basedOn w:val="Head2Char"/>
    <w:link w:val="Head2nonumber"/>
    <w:uiPriority w:val="98"/>
    <w:rsid w:val="008B6EBE"/>
    <w:rPr>
      <w:rFonts w:asciiTheme="majorHAnsi" w:eastAsiaTheme="majorEastAsia" w:hAnsiTheme="majorHAnsi" w:cstheme="majorBidi"/>
      <w:b/>
      <w:bCs/>
      <w:noProof/>
      <w:color w:val="002060"/>
      <w:sz w:val="26"/>
      <w:szCs w:val="26"/>
      <w:u w:color="252E65"/>
    </w:rPr>
  </w:style>
  <w:style w:type="character" w:customStyle="1" w:styleId="white-space-pre">
    <w:name w:val="white-space-pre"/>
    <w:basedOn w:val="DefaultParagraphFont"/>
    <w:rsid w:val="00AB7FC7"/>
  </w:style>
  <w:style w:type="character" w:customStyle="1" w:styleId="visually-hidden">
    <w:name w:val="visually-hidden"/>
    <w:basedOn w:val="DefaultParagraphFont"/>
    <w:rsid w:val="00AB7FC7"/>
  </w:style>
  <w:style w:type="table" w:customStyle="1" w:styleId="GridTable1Light1">
    <w:name w:val="Grid Table 1 Light1"/>
    <w:basedOn w:val="TableNormal"/>
    <w:next w:val="GridTable1Light"/>
    <w:uiPriority w:val="46"/>
    <w:rsid w:val="00FC7DB8"/>
    <w:pPr>
      <w:spacing w:before="200" w:after="0" w:line="240" w:lineRule="auto"/>
    </w:pPr>
    <w:rPr>
      <w:rFonts w:ascii="Arial" w:eastAsia="Arial" w:hAnsi="Arial" w:cs="Times New Roman"/>
      <w:kern w:val="2"/>
      <w:sz w:val="20"/>
      <w:szCs w:val="20"/>
      <w14:ligatures w14:val="standardContextua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NoList1">
    <w:name w:val="No List1"/>
    <w:next w:val="NoList"/>
    <w:uiPriority w:val="99"/>
    <w:semiHidden/>
    <w:unhideWhenUsed/>
    <w:rsid w:val="00F709FF"/>
  </w:style>
  <w:style w:type="table" w:customStyle="1" w:styleId="TableGrid1">
    <w:name w:val="Table Grid1"/>
    <w:basedOn w:val="TableNormal"/>
    <w:next w:val="TableGrid"/>
    <w:uiPriority w:val="39"/>
    <w:rsid w:val="00F709FF"/>
    <w:pPr>
      <w:spacing w:after="0" w:line="240" w:lineRule="auto"/>
    </w:pPr>
    <w:rPr>
      <w:rFonts w:eastAsia="Aptos"/>
      <w:kern w:val="2"/>
      <w:sz w:val="24"/>
      <w:szCs w:val="24"/>
      <w:lang w:val="en-AU"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ullet1">
    <w:name w:val="Table bullet 1"/>
    <w:basedOn w:val="ListParagraph"/>
    <w:qFormat/>
    <w:rsid w:val="00E85D95"/>
    <w:pPr>
      <w:keepNext/>
      <w:keepLines/>
      <w:framePr w:hSpace="181" w:wrap="around" w:vAnchor="text" w:hAnchor="text" w:y="1"/>
      <w:numPr>
        <w:numId w:val="13"/>
      </w:numPr>
      <w:spacing w:after="80" w:line="240" w:lineRule="auto"/>
      <w:ind w:left="1080"/>
      <w:contextualSpacing w:val="0"/>
      <w:suppressOverlap/>
      <w:outlineLvl w:val="1"/>
    </w:pPr>
    <w:rPr>
      <w:rFonts w:ascii="Arial" w:eastAsia="Times New Roman" w:hAnsi="Arial" w:cs="Arial"/>
      <w:color w:val="000000"/>
      <w:sz w:val="20"/>
      <w:szCs w:val="20"/>
      <w:lang w:val="en-ID" w:eastAsia="en-ID"/>
    </w:rPr>
  </w:style>
  <w:style w:type="paragraph" w:customStyle="1" w:styleId="Tableheader">
    <w:name w:val="Table header"/>
    <w:basedOn w:val="Normal"/>
    <w:qFormat/>
    <w:rsid w:val="00F709FF"/>
    <w:pPr>
      <w:keepNext/>
      <w:keepLines/>
      <w:framePr w:hSpace="181" w:wrap="around" w:vAnchor="text" w:hAnchor="text" w:y="1"/>
      <w:spacing w:before="60" w:after="60" w:line="240" w:lineRule="auto"/>
      <w:ind w:left="11"/>
      <w:suppressOverlap/>
      <w:outlineLvl w:val="1"/>
    </w:pPr>
    <w:rPr>
      <w:rFonts w:ascii="Arial" w:eastAsia="Times New Roman" w:hAnsi="Arial" w:cs="Arial"/>
      <w:b/>
      <w:bCs/>
      <w:color w:val="000000"/>
      <w:lang w:val="en-ID" w:eastAsia="en-ID"/>
    </w:rPr>
  </w:style>
  <w:style w:type="character" w:customStyle="1" w:styleId="superscript">
    <w:name w:val="superscript"/>
    <w:basedOn w:val="DefaultParagraphFont"/>
    <w:rsid w:val="00CE1041"/>
  </w:style>
  <w:style w:type="character" w:customStyle="1" w:styleId="breakobjecttext">
    <w:name w:val="breakobjecttext"/>
    <w:basedOn w:val="DefaultParagraphFont"/>
    <w:rsid w:val="00C07FE6"/>
  </w:style>
  <w:style w:type="table" w:styleId="GridTable7Colorful">
    <w:name w:val="Grid Table 7 Colorful"/>
    <w:basedOn w:val="TableNormal"/>
    <w:uiPriority w:val="52"/>
    <w:rsid w:val="009C0795"/>
    <w:pPr>
      <w:spacing w:before="200" w:after="0" w:line="240" w:lineRule="auto"/>
    </w:pPr>
    <w:rPr>
      <w:rFonts w:ascii="Arial" w:eastAsia="Arial" w:hAnsi="Arial" w:cs="Times New Roman"/>
      <w:color w:val="000000" w:themeColor="text1"/>
      <w:sz w:val="20"/>
      <w:szCs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eGrid2">
    <w:name w:val="Table Grid2"/>
    <w:basedOn w:val="TableNormal"/>
    <w:next w:val="TableGrid"/>
    <w:uiPriority w:val="39"/>
    <w:rsid w:val="00775960"/>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6">
    <w:name w:val="Grid Table 1 Light Accent 6"/>
    <w:basedOn w:val="TableNormal"/>
    <w:uiPriority w:val="46"/>
    <w:rsid w:val="002B01AF"/>
    <w:pPr>
      <w:spacing w:after="0" w:line="240" w:lineRule="auto"/>
    </w:pPr>
    <w:tblPr>
      <w:tblStyleRowBandSize w:val="1"/>
      <w:tblStyleColBandSize w:val="1"/>
      <w:tblBorders>
        <w:top w:val="single" w:sz="4" w:space="0" w:color="D1C4D5" w:themeColor="accent6" w:themeTint="66"/>
        <w:left w:val="single" w:sz="4" w:space="0" w:color="D1C4D5" w:themeColor="accent6" w:themeTint="66"/>
        <w:bottom w:val="single" w:sz="4" w:space="0" w:color="D1C4D5" w:themeColor="accent6" w:themeTint="66"/>
        <w:right w:val="single" w:sz="4" w:space="0" w:color="D1C4D5" w:themeColor="accent6" w:themeTint="66"/>
        <w:insideH w:val="single" w:sz="4" w:space="0" w:color="D1C4D5" w:themeColor="accent6" w:themeTint="66"/>
        <w:insideV w:val="single" w:sz="4" w:space="0" w:color="D1C4D5" w:themeColor="accent6" w:themeTint="66"/>
      </w:tblBorders>
    </w:tblPr>
    <w:tblStylePr w:type="firstRow">
      <w:rPr>
        <w:b/>
        <w:bCs/>
      </w:rPr>
      <w:tblPr/>
      <w:tcPr>
        <w:tcBorders>
          <w:bottom w:val="single" w:sz="12" w:space="0" w:color="BAA7C0" w:themeColor="accent6" w:themeTint="99"/>
        </w:tcBorders>
      </w:tcPr>
    </w:tblStylePr>
    <w:tblStylePr w:type="lastRow">
      <w:rPr>
        <w:b/>
        <w:bCs/>
      </w:rPr>
      <w:tblPr/>
      <w:tcPr>
        <w:tcBorders>
          <w:top w:val="double" w:sz="2" w:space="0" w:color="BAA7C0" w:themeColor="accent6" w:themeTint="99"/>
        </w:tcBorders>
      </w:tcPr>
    </w:tblStylePr>
    <w:tblStylePr w:type="firstCol">
      <w:rPr>
        <w:b/>
        <w:bCs/>
      </w:rPr>
    </w:tblStylePr>
    <w:tblStylePr w:type="lastCol">
      <w:rPr>
        <w:b/>
        <w:bCs/>
      </w:rPr>
    </w:tblStylePr>
  </w:style>
  <w:style w:type="table" w:customStyle="1" w:styleId="GRMTable1">
    <w:name w:val="GRM Table1"/>
    <w:basedOn w:val="TableNormal"/>
    <w:next w:val="TableGrid"/>
    <w:uiPriority w:val="39"/>
    <w:rsid w:val="00B30B11"/>
    <w:tblPr>
      <w:tblStyleRowBandSize w:val="1"/>
      <w:tblStyleColBandSize w:val="1"/>
      <w:tblBorders>
        <w:top w:val="single" w:sz="8" w:space="0" w:color="auto"/>
        <w:bottom w:val="single" w:sz="8" w:space="0" w:color="auto"/>
      </w:tblBorders>
      <w:tblCellMar>
        <w:top w:w="170" w:type="dxa"/>
        <w:left w:w="85" w:type="dxa"/>
        <w:bottom w:w="170" w:type="dxa"/>
        <w:right w:w="85" w:type="dxa"/>
      </w:tblCellMar>
    </w:tblPr>
    <w:tblStylePr w:type="firstRow">
      <w:rPr>
        <w:rFonts w:ascii="Arial" w:hAnsi="Arial"/>
        <w:color w:val="42B1C8"/>
      </w:rPr>
    </w:tblStylePr>
    <w:tblStylePr w:type="band2Horz">
      <w:tblPr>
        <w:tblCellMar>
          <w:top w:w="170" w:type="dxa"/>
          <w:left w:w="85" w:type="dxa"/>
          <w:bottom w:w="170" w:type="dxa"/>
          <w:right w:w="85" w:type="dxa"/>
        </w:tblCellMar>
      </w:tblPr>
      <w:tcPr>
        <w:shd w:val="clear" w:color="auto" w:fill="E6E6E6"/>
      </w:tcPr>
    </w:tblStylePr>
  </w:style>
  <w:style w:type="numbering" w:customStyle="1" w:styleId="HeadList21">
    <w:name w:val="Head List 21"/>
    <w:uiPriority w:val="99"/>
    <w:rsid w:val="00B30B11"/>
    <w:pPr>
      <w:numPr>
        <w:numId w:val="33"/>
      </w:numPr>
    </w:pPr>
  </w:style>
  <w:style w:type="numbering" w:customStyle="1" w:styleId="Style21">
    <w:name w:val="Style21"/>
    <w:uiPriority w:val="99"/>
    <w:locked/>
    <w:rsid w:val="00B30B11"/>
    <w:pPr>
      <w:numPr>
        <w:numId w:val="34"/>
      </w:numPr>
    </w:pPr>
  </w:style>
  <w:style w:type="numbering" w:customStyle="1" w:styleId="HeadList11">
    <w:name w:val="Head List 11"/>
    <w:uiPriority w:val="99"/>
    <w:rsid w:val="00B30B11"/>
  </w:style>
  <w:style w:type="numbering" w:customStyle="1" w:styleId="HeadList31">
    <w:name w:val="Head List 31"/>
    <w:uiPriority w:val="99"/>
    <w:rsid w:val="00B30B11"/>
    <w:pPr>
      <w:numPr>
        <w:numId w:val="35"/>
      </w:numPr>
    </w:pPr>
  </w:style>
  <w:style w:type="numbering" w:customStyle="1" w:styleId="HeadList41">
    <w:name w:val="Head List 41"/>
    <w:uiPriority w:val="99"/>
    <w:rsid w:val="00B30B11"/>
  </w:style>
  <w:style w:type="table" w:customStyle="1" w:styleId="PlainTable11">
    <w:name w:val="Plain Table 11"/>
    <w:basedOn w:val="TableNormal"/>
    <w:next w:val="PlainTable1"/>
    <w:uiPriority w:val="41"/>
    <w:rsid w:val="00B30B1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next w:val="PlainTable3"/>
    <w:uiPriority w:val="43"/>
    <w:rsid w:val="00B30B1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next w:val="PlainTable4"/>
    <w:uiPriority w:val="44"/>
    <w:rsid w:val="00B30B1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1">
    <w:name w:val="Table Grid Light11"/>
    <w:basedOn w:val="TableNormal"/>
    <w:next w:val="TableGridLight"/>
    <w:uiPriority w:val="40"/>
    <w:rsid w:val="00B30B11"/>
    <w:pPr>
      <w:spacing w:after="0" w:line="240" w:lineRule="auto"/>
    </w:pPr>
    <w:rPr>
      <w:rFonts w:ascii="Calibri" w:eastAsia="Calibri" w:hAnsi="Calibri"/>
      <w:sz w:val="24"/>
      <w:szCs w:val="24"/>
      <w:lang w:val="en-AU"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211">
    <w:name w:val="Plain Table 211"/>
    <w:basedOn w:val="TableNormal"/>
    <w:next w:val="PlainTable2"/>
    <w:uiPriority w:val="42"/>
    <w:rsid w:val="00B30B11"/>
    <w:pPr>
      <w:spacing w:after="0" w:line="240" w:lineRule="auto"/>
    </w:pPr>
    <w:rPr>
      <w:rFonts w:ascii="Calibri" w:eastAsia="Calibri" w:hAnsi="Calibri"/>
      <w:sz w:val="24"/>
      <w:szCs w:val="24"/>
      <w:lang w:val="en-AU"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11">
    <w:name w:val="No List11"/>
    <w:next w:val="NoList"/>
    <w:uiPriority w:val="99"/>
    <w:semiHidden/>
    <w:unhideWhenUsed/>
    <w:rsid w:val="00B30B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21275">
      <w:bodyDiv w:val="1"/>
      <w:marLeft w:val="0"/>
      <w:marRight w:val="0"/>
      <w:marTop w:val="0"/>
      <w:marBottom w:val="0"/>
      <w:divBdr>
        <w:top w:val="none" w:sz="0" w:space="0" w:color="auto"/>
        <w:left w:val="none" w:sz="0" w:space="0" w:color="auto"/>
        <w:bottom w:val="none" w:sz="0" w:space="0" w:color="auto"/>
        <w:right w:val="none" w:sz="0" w:space="0" w:color="auto"/>
      </w:divBdr>
    </w:div>
    <w:div w:id="9576081">
      <w:bodyDiv w:val="1"/>
      <w:marLeft w:val="0"/>
      <w:marRight w:val="0"/>
      <w:marTop w:val="0"/>
      <w:marBottom w:val="0"/>
      <w:divBdr>
        <w:top w:val="none" w:sz="0" w:space="0" w:color="auto"/>
        <w:left w:val="none" w:sz="0" w:space="0" w:color="auto"/>
        <w:bottom w:val="none" w:sz="0" w:space="0" w:color="auto"/>
        <w:right w:val="none" w:sz="0" w:space="0" w:color="auto"/>
      </w:divBdr>
    </w:div>
    <w:div w:id="11349581">
      <w:bodyDiv w:val="1"/>
      <w:marLeft w:val="0"/>
      <w:marRight w:val="0"/>
      <w:marTop w:val="0"/>
      <w:marBottom w:val="0"/>
      <w:divBdr>
        <w:top w:val="none" w:sz="0" w:space="0" w:color="auto"/>
        <w:left w:val="none" w:sz="0" w:space="0" w:color="auto"/>
        <w:bottom w:val="none" w:sz="0" w:space="0" w:color="auto"/>
        <w:right w:val="none" w:sz="0" w:space="0" w:color="auto"/>
      </w:divBdr>
    </w:div>
    <w:div w:id="56439008">
      <w:bodyDiv w:val="1"/>
      <w:marLeft w:val="0"/>
      <w:marRight w:val="0"/>
      <w:marTop w:val="0"/>
      <w:marBottom w:val="0"/>
      <w:divBdr>
        <w:top w:val="none" w:sz="0" w:space="0" w:color="auto"/>
        <w:left w:val="none" w:sz="0" w:space="0" w:color="auto"/>
        <w:bottom w:val="none" w:sz="0" w:space="0" w:color="auto"/>
        <w:right w:val="none" w:sz="0" w:space="0" w:color="auto"/>
      </w:divBdr>
    </w:div>
    <w:div w:id="83234115">
      <w:bodyDiv w:val="1"/>
      <w:marLeft w:val="0"/>
      <w:marRight w:val="0"/>
      <w:marTop w:val="0"/>
      <w:marBottom w:val="0"/>
      <w:divBdr>
        <w:top w:val="none" w:sz="0" w:space="0" w:color="auto"/>
        <w:left w:val="none" w:sz="0" w:space="0" w:color="auto"/>
        <w:bottom w:val="none" w:sz="0" w:space="0" w:color="auto"/>
        <w:right w:val="none" w:sz="0" w:space="0" w:color="auto"/>
      </w:divBdr>
    </w:div>
    <w:div w:id="88429351">
      <w:bodyDiv w:val="1"/>
      <w:marLeft w:val="0"/>
      <w:marRight w:val="0"/>
      <w:marTop w:val="0"/>
      <w:marBottom w:val="0"/>
      <w:divBdr>
        <w:top w:val="none" w:sz="0" w:space="0" w:color="auto"/>
        <w:left w:val="none" w:sz="0" w:space="0" w:color="auto"/>
        <w:bottom w:val="none" w:sz="0" w:space="0" w:color="auto"/>
        <w:right w:val="none" w:sz="0" w:space="0" w:color="auto"/>
      </w:divBdr>
    </w:div>
    <w:div w:id="117653410">
      <w:bodyDiv w:val="1"/>
      <w:marLeft w:val="0"/>
      <w:marRight w:val="0"/>
      <w:marTop w:val="0"/>
      <w:marBottom w:val="0"/>
      <w:divBdr>
        <w:top w:val="none" w:sz="0" w:space="0" w:color="auto"/>
        <w:left w:val="none" w:sz="0" w:space="0" w:color="auto"/>
        <w:bottom w:val="none" w:sz="0" w:space="0" w:color="auto"/>
        <w:right w:val="none" w:sz="0" w:space="0" w:color="auto"/>
      </w:divBdr>
    </w:div>
    <w:div w:id="144516886">
      <w:bodyDiv w:val="1"/>
      <w:marLeft w:val="0"/>
      <w:marRight w:val="0"/>
      <w:marTop w:val="0"/>
      <w:marBottom w:val="0"/>
      <w:divBdr>
        <w:top w:val="none" w:sz="0" w:space="0" w:color="auto"/>
        <w:left w:val="none" w:sz="0" w:space="0" w:color="auto"/>
        <w:bottom w:val="none" w:sz="0" w:space="0" w:color="auto"/>
        <w:right w:val="none" w:sz="0" w:space="0" w:color="auto"/>
      </w:divBdr>
    </w:div>
    <w:div w:id="172764630">
      <w:bodyDiv w:val="1"/>
      <w:marLeft w:val="0"/>
      <w:marRight w:val="0"/>
      <w:marTop w:val="0"/>
      <w:marBottom w:val="0"/>
      <w:divBdr>
        <w:top w:val="none" w:sz="0" w:space="0" w:color="auto"/>
        <w:left w:val="none" w:sz="0" w:space="0" w:color="auto"/>
        <w:bottom w:val="none" w:sz="0" w:space="0" w:color="auto"/>
        <w:right w:val="none" w:sz="0" w:space="0" w:color="auto"/>
      </w:divBdr>
      <w:divsChild>
        <w:div w:id="53503434">
          <w:marLeft w:val="0"/>
          <w:marRight w:val="0"/>
          <w:marTop w:val="0"/>
          <w:marBottom w:val="0"/>
          <w:divBdr>
            <w:top w:val="none" w:sz="0" w:space="0" w:color="auto"/>
            <w:left w:val="none" w:sz="0" w:space="0" w:color="auto"/>
            <w:bottom w:val="none" w:sz="0" w:space="0" w:color="auto"/>
            <w:right w:val="none" w:sz="0" w:space="0" w:color="auto"/>
          </w:divBdr>
        </w:div>
        <w:div w:id="79717578">
          <w:marLeft w:val="0"/>
          <w:marRight w:val="0"/>
          <w:marTop w:val="0"/>
          <w:marBottom w:val="0"/>
          <w:divBdr>
            <w:top w:val="none" w:sz="0" w:space="0" w:color="auto"/>
            <w:left w:val="none" w:sz="0" w:space="0" w:color="auto"/>
            <w:bottom w:val="none" w:sz="0" w:space="0" w:color="auto"/>
            <w:right w:val="none" w:sz="0" w:space="0" w:color="auto"/>
          </w:divBdr>
        </w:div>
        <w:div w:id="218371741">
          <w:marLeft w:val="0"/>
          <w:marRight w:val="0"/>
          <w:marTop w:val="0"/>
          <w:marBottom w:val="0"/>
          <w:divBdr>
            <w:top w:val="none" w:sz="0" w:space="0" w:color="auto"/>
            <w:left w:val="none" w:sz="0" w:space="0" w:color="auto"/>
            <w:bottom w:val="none" w:sz="0" w:space="0" w:color="auto"/>
            <w:right w:val="none" w:sz="0" w:space="0" w:color="auto"/>
          </w:divBdr>
        </w:div>
        <w:div w:id="249702092">
          <w:marLeft w:val="0"/>
          <w:marRight w:val="0"/>
          <w:marTop w:val="0"/>
          <w:marBottom w:val="0"/>
          <w:divBdr>
            <w:top w:val="none" w:sz="0" w:space="0" w:color="auto"/>
            <w:left w:val="none" w:sz="0" w:space="0" w:color="auto"/>
            <w:bottom w:val="none" w:sz="0" w:space="0" w:color="auto"/>
            <w:right w:val="none" w:sz="0" w:space="0" w:color="auto"/>
          </w:divBdr>
        </w:div>
        <w:div w:id="281621544">
          <w:marLeft w:val="0"/>
          <w:marRight w:val="0"/>
          <w:marTop w:val="0"/>
          <w:marBottom w:val="0"/>
          <w:divBdr>
            <w:top w:val="none" w:sz="0" w:space="0" w:color="auto"/>
            <w:left w:val="none" w:sz="0" w:space="0" w:color="auto"/>
            <w:bottom w:val="none" w:sz="0" w:space="0" w:color="auto"/>
            <w:right w:val="none" w:sz="0" w:space="0" w:color="auto"/>
          </w:divBdr>
        </w:div>
        <w:div w:id="395013592">
          <w:marLeft w:val="0"/>
          <w:marRight w:val="0"/>
          <w:marTop w:val="0"/>
          <w:marBottom w:val="0"/>
          <w:divBdr>
            <w:top w:val="none" w:sz="0" w:space="0" w:color="auto"/>
            <w:left w:val="none" w:sz="0" w:space="0" w:color="auto"/>
            <w:bottom w:val="none" w:sz="0" w:space="0" w:color="auto"/>
            <w:right w:val="none" w:sz="0" w:space="0" w:color="auto"/>
          </w:divBdr>
          <w:divsChild>
            <w:div w:id="806780517">
              <w:marLeft w:val="-75"/>
              <w:marRight w:val="0"/>
              <w:marTop w:val="30"/>
              <w:marBottom w:val="30"/>
              <w:divBdr>
                <w:top w:val="none" w:sz="0" w:space="0" w:color="auto"/>
                <w:left w:val="none" w:sz="0" w:space="0" w:color="auto"/>
                <w:bottom w:val="none" w:sz="0" w:space="0" w:color="auto"/>
                <w:right w:val="none" w:sz="0" w:space="0" w:color="auto"/>
              </w:divBdr>
              <w:divsChild>
                <w:div w:id="100492606">
                  <w:marLeft w:val="0"/>
                  <w:marRight w:val="0"/>
                  <w:marTop w:val="0"/>
                  <w:marBottom w:val="0"/>
                  <w:divBdr>
                    <w:top w:val="none" w:sz="0" w:space="0" w:color="auto"/>
                    <w:left w:val="none" w:sz="0" w:space="0" w:color="auto"/>
                    <w:bottom w:val="none" w:sz="0" w:space="0" w:color="auto"/>
                    <w:right w:val="none" w:sz="0" w:space="0" w:color="auto"/>
                  </w:divBdr>
                  <w:divsChild>
                    <w:div w:id="150604486">
                      <w:marLeft w:val="0"/>
                      <w:marRight w:val="0"/>
                      <w:marTop w:val="0"/>
                      <w:marBottom w:val="0"/>
                      <w:divBdr>
                        <w:top w:val="none" w:sz="0" w:space="0" w:color="auto"/>
                        <w:left w:val="none" w:sz="0" w:space="0" w:color="auto"/>
                        <w:bottom w:val="none" w:sz="0" w:space="0" w:color="auto"/>
                        <w:right w:val="none" w:sz="0" w:space="0" w:color="auto"/>
                      </w:divBdr>
                    </w:div>
                    <w:div w:id="1311205135">
                      <w:marLeft w:val="0"/>
                      <w:marRight w:val="0"/>
                      <w:marTop w:val="0"/>
                      <w:marBottom w:val="0"/>
                      <w:divBdr>
                        <w:top w:val="none" w:sz="0" w:space="0" w:color="auto"/>
                        <w:left w:val="none" w:sz="0" w:space="0" w:color="auto"/>
                        <w:bottom w:val="none" w:sz="0" w:space="0" w:color="auto"/>
                        <w:right w:val="none" w:sz="0" w:space="0" w:color="auto"/>
                      </w:divBdr>
                    </w:div>
                    <w:div w:id="1517814264">
                      <w:marLeft w:val="0"/>
                      <w:marRight w:val="0"/>
                      <w:marTop w:val="0"/>
                      <w:marBottom w:val="0"/>
                      <w:divBdr>
                        <w:top w:val="none" w:sz="0" w:space="0" w:color="auto"/>
                        <w:left w:val="none" w:sz="0" w:space="0" w:color="auto"/>
                        <w:bottom w:val="none" w:sz="0" w:space="0" w:color="auto"/>
                        <w:right w:val="none" w:sz="0" w:space="0" w:color="auto"/>
                      </w:divBdr>
                    </w:div>
                  </w:divsChild>
                </w:div>
                <w:div w:id="152842739">
                  <w:marLeft w:val="0"/>
                  <w:marRight w:val="0"/>
                  <w:marTop w:val="0"/>
                  <w:marBottom w:val="0"/>
                  <w:divBdr>
                    <w:top w:val="none" w:sz="0" w:space="0" w:color="auto"/>
                    <w:left w:val="none" w:sz="0" w:space="0" w:color="auto"/>
                    <w:bottom w:val="none" w:sz="0" w:space="0" w:color="auto"/>
                    <w:right w:val="none" w:sz="0" w:space="0" w:color="auto"/>
                  </w:divBdr>
                  <w:divsChild>
                    <w:div w:id="394550612">
                      <w:marLeft w:val="0"/>
                      <w:marRight w:val="0"/>
                      <w:marTop w:val="0"/>
                      <w:marBottom w:val="0"/>
                      <w:divBdr>
                        <w:top w:val="none" w:sz="0" w:space="0" w:color="auto"/>
                        <w:left w:val="none" w:sz="0" w:space="0" w:color="auto"/>
                        <w:bottom w:val="none" w:sz="0" w:space="0" w:color="auto"/>
                        <w:right w:val="none" w:sz="0" w:space="0" w:color="auto"/>
                      </w:divBdr>
                    </w:div>
                  </w:divsChild>
                </w:div>
                <w:div w:id="221254668">
                  <w:marLeft w:val="0"/>
                  <w:marRight w:val="0"/>
                  <w:marTop w:val="0"/>
                  <w:marBottom w:val="0"/>
                  <w:divBdr>
                    <w:top w:val="none" w:sz="0" w:space="0" w:color="auto"/>
                    <w:left w:val="none" w:sz="0" w:space="0" w:color="auto"/>
                    <w:bottom w:val="none" w:sz="0" w:space="0" w:color="auto"/>
                    <w:right w:val="none" w:sz="0" w:space="0" w:color="auto"/>
                  </w:divBdr>
                  <w:divsChild>
                    <w:div w:id="1314094152">
                      <w:marLeft w:val="0"/>
                      <w:marRight w:val="0"/>
                      <w:marTop w:val="0"/>
                      <w:marBottom w:val="0"/>
                      <w:divBdr>
                        <w:top w:val="none" w:sz="0" w:space="0" w:color="auto"/>
                        <w:left w:val="none" w:sz="0" w:space="0" w:color="auto"/>
                        <w:bottom w:val="none" w:sz="0" w:space="0" w:color="auto"/>
                        <w:right w:val="none" w:sz="0" w:space="0" w:color="auto"/>
                      </w:divBdr>
                    </w:div>
                    <w:div w:id="2065255007">
                      <w:marLeft w:val="0"/>
                      <w:marRight w:val="0"/>
                      <w:marTop w:val="0"/>
                      <w:marBottom w:val="0"/>
                      <w:divBdr>
                        <w:top w:val="none" w:sz="0" w:space="0" w:color="auto"/>
                        <w:left w:val="none" w:sz="0" w:space="0" w:color="auto"/>
                        <w:bottom w:val="none" w:sz="0" w:space="0" w:color="auto"/>
                        <w:right w:val="none" w:sz="0" w:space="0" w:color="auto"/>
                      </w:divBdr>
                    </w:div>
                  </w:divsChild>
                </w:div>
                <w:div w:id="235015549">
                  <w:marLeft w:val="0"/>
                  <w:marRight w:val="0"/>
                  <w:marTop w:val="0"/>
                  <w:marBottom w:val="0"/>
                  <w:divBdr>
                    <w:top w:val="none" w:sz="0" w:space="0" w:color="auto"/>
                    <w:left w:val="none" w:sz="0" w:space="0" w:color="auto"/>
                    <w:bottom w:val="none" w:sz="0" w:space="0" w:color="auto"/>
                    <w:right w:val="none" w:sz="0" w:space="0" w:color="auto"/>
                  </w:divBdr>
                  <w:divsChild>
                    <w:div w:id="2049599619">
                      <w:marLeft w:val="0"/>
                      <w:marRight w:val="0"/>
                      <w:marTop w:val="0"/>
                      <w:marBottom w:val="0"/>
                      <w:divBdr>
                        <w:top w:val="none" w:sz="0" w:space="0" w:color="auto"/>
                        <w:left w:val="none" w:sz="0" w:space="0" w:color="auto"/>
                        <w:bottom w:val="none" w:sz="0" w:space="0" w:color="auto"/>
                        <w:right w:val="none" w:sz="0" w:space="0" w:color="auto"/>
                      </w:divBdr>
                    </w:div>
                  </w:divsChild>
                </w:div>
                <w:div w:id="1379434313">
                  <w:marLeft w:val="0"/>
                  <w:marRight w:val="0"/>
                  <w:marTop w:val="0"/>
                  <w:marBottom w:val="0"/>
                  <w:divBdr>
                    <w:top w:val="none" w:sz="0" w:space="0" w:color="auto"/>
                    <w:left w:val="none" w:sz="0" w:space="0" w:color="auto"/>
                    <w:bottom w:val="none" w:sz="0" w:space="0" w:color="auto"/>
                    <w:right w:val="none" w:sz="0" w:space="0" w:color="auto"/>
                  </w:divBdr>
                  <w:divsChild>
                    <w:div w:id="344527181">
                      <w:marLeft w:val="0"/>
                      <w:marRight w:val="0"/>
                      <w:marTop w:val="0"/>
                      <w:marBottom w:val="0"/>
                      <w:divBdr>
                        <w:top w:val="none" w:sz="0" w:space="0" w:color="auto"/>
                        <w:left w:val="none" w:sz="0" w:space="0" w:color="auto"/>
                        <w:bottom w:val="none" w:sz="0" w:space="0" w:color="auto"/>
                        <w:right w:val="none" w:sz="0" w:space="0" w:color="auto"/>
                      </w:divBdr>
                    </w:div>
                  </w:divsChild>
                </w:div>
                <w:div w:id="1457407084">
                  <w:marLeft w:val="0"/>
                  <w:marRight w:val="0"/>
                  <w:marTop w:val="0"/>
                  <w:marBottom w:val="0"/>
                  <w:divBdr>
                    <w:top w:val="none" w:sz="0" w:space="0" w:color="auto"/>
                    <w:left w:val="none" w:sz="0" w:space="0" w:color="auto"/>
                    <w:bottom w:val="none" w:sz="0" w:space="0" w:color="auto"/>
                    <w:right w:val="none" w:sz="0" w:space="0" w:color="auto"/>
                  </w:divBdr>
                  <w:divsChild>
                    <w:div w:id="758020339">
                      <w:marLeft w:val="0"/>
                      <w:marRight w:val="0"/>
                      <w:marTop w:val="0"/>
                      <w:marBottom w:val="0"/>
                      <w:divBdr>
                        <w:top w:val="none" w:sz="0" w:space="0" w:color="auto"/>
                        <w:left w:val="none" w:sz="0" w:space="0" w:color="auto"/>
                        <w:bottom w:val="none" w:sz="0" w:space="0" w:color="auto"/>
                        <w:right w:val="none" w:sz="0" w:space="0" w:color="auto"/>
                      </w:divBdr>
                    </w:div>
                    <w:div w:id="936717157">
                      <w:marLeft w:val="0"/>
                      <w:marRight w:val="0"/>
                      <w:marTop w:val="0"/>
                      <w:marBottom w:val="0"/>
                      <w:divBdr>
                        <w:top w:val="none" w:sz="0" w:space="0" w:color="auto"/>
                        <w:left w:val="none" w:sz="0" w:space="0" w:color="auto"/>
                        <w:bottom w:val="none" w:sz="0" w:space="0" w:color="auto"/>
                        <w:right w:val="none" w:sz="0" w:space="0" w:color="auto"/>
                      </w:divBdr>
                    </w:div>
                    <w:div w:id="1416515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683274">
          <w:marLeft w:val="0"/>
          <w:marRight w:val="0"/>
          <w:marTop w:val="0"/>
          <w:marBottom w:val="0"/>
          <w:divBdr>
            <w:top w:val="none" w:sz="0" w:space="0" w:color="auto"/>
            <w:left w:val="none" w:sz="0" w:space="0" w:color="auto"/>
            <w:bottom w:val="none" w:sz="0" w:space="0" w:color="auto"/>
            <w:right w:val="none" w:sz="0" w:space="0" w:color="auto"/>
          </w:divBdr>
        </w:div>
        <w:div w:id="504900131">
          <w:marLeft w:val="0"/>
          <w:marRight w:val="0"/>
          <w:marTop w:val="0"/>
          <w:marBottom w:val="0"/>
          <w:divBdr>
            <w:top w:val="none" w:sz="0" w:space="0" w:color="auto"/>
            <w:left w:val="none" w:sz="0" w:space="0" w:color="auto"/>
            <w:bottom w:val="none" w:sz="0" w:space="0" w:color="auto"/>
            <w:right w:val="none" w:sz="0" w:space="0" w:color="auto"/>
          </w:divBdr>
        </w:div>
        <w:div w:id="516966879">
          <w:marLeft w:val="0"/>
          <w:marRight w:val="0"/>
          <w:marTop w:val="0"/>
          <w:marBottom w:val="0"/>
          <w:divBdr>
            <w:top w:val="none" w:sz="0" w:space="0" w:color="auto"/>
            <w:left w:val="none" w:sz="0" w:space="0" w:color="auto"/>
            <w:bottom w:val="none" w:sz="0" w:space="0" w:color="auto"/>
            <w:right w:val="none" w:sz="0" w:space="0" w:color="auto"/>
          </w:divBdr>
          <w:divsChild>
            <w:div w:id="1080562490">
              <w:marLeft w:val="-75"/>
              <w:marRight w:val="0"/>
              <w:marTop w:val="30"/>
              <w:marBottom w:val="30"/>
              <w:divBdr>
                <w:top w:val="none" w:sz="0" w:space="0" w:color="auto"/>
                <w:left w:val="none" w:sz="0" w:space="0" w:color="auto"/>
                <w:bottom w:val="none" w:sz="0" w:space="0" w:color="auto"/>
                <w:right w:val="none" w:sz="0" w:space="0" w:color="auto"/>
              </w:divBdr>
              <w:divsChild>
                <w:div w:id="123274613">
                  <w:marLeft w:val="0"/>
                  <w:marRight w:val="0"/>
                  <w:marTop w:val="0"/>
                  <w:marBottom w:val="0"/>
                  <w:divBdr>
                    <w:top w:val="none" w:sz="0" w:space="0" w:color="auto"/>
                    <w:left w:val="none" w:sz="0" w:space="0" w:color="auto"/>
                    <w:bottom w:val="none" w:sz="0" w:space="0" w:color="auto"/>
                    <w:right w:val="none" w:sz="0" w:space="0" w:color="auto"/>
                  </w:divBdr>
                  <w:divsChild>
                    <w:div w:id="233010928">
                      <w:marLeft w:val="0"/>
                      <w:marRight w:val="0"/>
                      <w:marTop w:val="0"/>
                      <w:marBottom w:val="0"/>
                      <w:divBdr>
                        <w:top w:val="none" w:sz="0" w:space="0" w:color="auto"/>
                        <w:left w:val="none" w:sz="0" w:space="0" w:color="auto"/>
                        <w:bottom w:val="none" w:sz="0" w:space="0" w:color="auto"/>
                        <w:right w:val="none" w:sz="0" w:space="0" w:color="auto"/>
                      </w:divBdr>
                    </w:div>
                  </w:divsChild>
                </w:div>
                <w:div w:id="127210106">
                  <w:marLeft w:val="0"/>
                  <w:marRight w:val="0"/>
                  <w:marTop w:val="0"/>
                  <w:marBottom w:val="0"/>
                  <w:divBdr>
                    <w:top w:val="none" w:sz="0" w:space="0" w:color="auto"/>
                    <w:left w:val="none" w:sz="0" w:space="0" w:color="auto"/>
                    <w:bottom w:val="none" w:sz="0" w:space="0" w:color="auto"/>
                    <w:right w:val="none" w:sz="0" w:space="0" w:color="auto"/>
                  </w:divBdr>
                  <w:divsChild>
                    <w:div w:id="990015349">
                      <w:marLeft w:val="0"/>
                      <w:marRight w:val="0"/>
                      <w:marTop w:val="0"/>
                      <w:marBottom w:val="0"/>
                      <w:divBdr>
                        <w:top w:val="none" w:sz="0" w:space="0" w:color="auto"/>
                        <w:left w:val="none" w:sz="0" w:space="0" w:color="auto"/>
                        <w:bottom w:val="none" w:sz="0" w:space="0" w:color="auto"/>
                        <w:right w:val="none" w:sz="0" w:space="0" w:color="auto"/>
                      </w:divBdr>
                    </w:div>
                  </w:divsChild>
                </w:div>
                <w:div w:id="145782204">
                  <w:marLeft w:val="0"/>
                  <w:marRight w:val="0"/>
                  <w:marTop w:val="0"/>
                  <w:marBottom w:val="0"/>
                  <w:divBdr>
                    <w:top w:val="none" w:sz="0" w:space="0" w:color="auto"/>
                    <w:left w:val="none" w:sz="0" w:space="0" w:color="auto"/>
                    <w:bottom w:val="none" w:sz="0" w:space="0" w:color="auto"/>
                    <w:right w:val="none" w:sz="0" w:space="0" w:color="auto"/>
                  </w:divBdr>
                  <w:divsChild>
                    <w:div w:id="645937883">
                      <w:marLeft w:val="0"/>
                      <w:marRight w:val="0"/>
                      <w:marTop w:val="0"/>
                      <w:marBottom w:val="0"/>
                      <w:divBdr>
                        <w:top w:val="none" w:sz="0" w:space="0" w:color="auto"/>
                        <w:left w:val="none" w:sz="0" w:space="0" w:color="auto"/>
                        <w:bottom w:val="none" w:sz="0" w:space="0" w:color="auto"/>
                        <w:right w:val="none" w:sz="0" w:space="0" w:color="auto"/>
                      </w:divBdr>
                    </w:div>
                  </w:divsChild>
                </w:div>
                <w:div w:id="178080314">
                  <w:marLeft w:val="0"/>
                  <w:marRight w:val="0"/>
                  <w:marTop w:val="0"/>
                  <w:marBottom w:val="0"/>
                  <w:divBdr>
                    <w:top w:val="none" w:sz="0" w:space="0" w:color="auto"/>
                    <w:left w:val="none" w:sz="0" w:space="0" w:color="auto"/>
                    <w:bottom w:val="none" w:sz="0" w:space="0" w:color="auto"/>
                    <w:right w:val="none" w:sz="0" w:space="0" w:color="auto"/>
                  </w:divBdr>
                  <w:divsChild>
                    <w:div w:id="1997604388">
                      <w:marLeft w:val="0"/>
                      <w:marRight w:val="0"/>
                      <w:marTop w:val="0"/>
                      <w:marBottom w:val="0"/>
                      <w:divBdr>
                        <w:top w:val="none" w:sz="0" w:space="0" w:color="auto"/>
                        <w:left w:val="none" w:sz="0" w:space="0" w:color="auto"/>
                        <w:bottom w:val="none" w:sz="0" w:space="0" w:color="auto"/>
                        <w:right w:val="none" w:sz="0" w:space="0" w:color="auto"/>
                      </w:divBdr>
                    </w:div>
                  </w:divsChild>
                </w:div>
                <w:div w:id="330984581">
                  <w:marLeft w:val="0"/>
                  <w:marRight w:val="0"/>
                  <w:marTop w:val="0"/>
                  <w:marBottom w:val="0"/>
                  <w:divBdr>
                    <w:top w:val="none" w:sz="0" w:space="0" w:color="auto"/>
                    <w:left w:val="none" w:sz="0" w:space="0" w:color="auto"/>
                    <w:bottom w:val="none" w:sz="0" w:space="0" w:color="auto"/>
                    <w:right w:val="none" w:sz="0" w:space="0" w:color="auto"/>
                  </w:divBdr>
                  <w:divsChild>
                    <w:div w:id="502476747">
                      <w:marLeft w:val="0"/>
                      <w:marRight w:val="0"/>
                      <w:marTop w:val="0"/>
                      <w:marBottom w:val="0"/>
                      <w:divBdr>
                        <w:top w:val="none" w:sz="0" w:space="0" w:color="auto"/>
                        <w:left w:val="none" w:sz="0" w:space="0" w:color="auto"/>
                        <w:bottom w:val="none" w:sz="0" w:space="0" w:color="auto"/>
                        <w:right w:val="none" w:sz="0" w:space="0" w:color="auto"/>
                      </w:divBdr>
                    </w:div>
                  </w:divsChild>
                </w:div>
                <w:div w:id="408117101">
                  <w:marLeft w:val="0"/>
                  <w:marRight w:val="0"/>
                  <w:marTop w:val="0"/>
                  <w:marBottom w:val="0"/>
                  <w:divBdr>
                    <w:top w:val="none" w:sz="0" w:space="0" w:color="auto"/>
                    <w:left w:val="none" w:sz="0" w:space="0" w:color="auto"/>
                    <w:bottom w:val="none" w:sz="0" w:space="0" w:color="auto"/>
                    <w:right w:val="none" w:sz="0" w:space="0" w:color="auto"/>
                  </w:divBdr>
                  <w:divsChild>
                    <w:div w:id="2069956596">
                      <w:marLeft w:val="0"/>
                      <w:marRight w:val="0"/>
                      <w:marTop w:val="0"/>
                      <w:marBottom w:val="0"/>
                      <w:divBdr>
                        <w:top w:val="none" w:sz="0" w:space="0" w:color="auto"/>
                        <w:left w:val="none" w:sz="0" w:space="0" w:color="auto"/>
                        <w:bottom w:val="none" w:sz="0" w:space="0" w:color="auto"/>
                        <w:right w:val="none" w:sz="0" w:space="0" w:color="auto"/>
                      </w:divBdr>
                    </w:div>
                  </w:divsChild>
                </w:div>
                <w:div w:id="411781084">
                  <w:marLeft w:val="0"/>
                  <w:marRight w:val="0"/>
                  <w:marTop w:val="0"/>
                  <w:marBottom w:val="0"/>
                  <w:divBdr>
                    <w:top w:val="none" w:sz="0" w:space="0" w:color="auto"/>
                    <w:left w:val="none" w:sz="0" w:space="0" w:color="auto"/>
                    <w:bottom w:val="none" w:sz="0" w:space="0" w:color="auto"/>
                    <w:right w:val="none" w:sz="0" w:space="0" w:color="auto"/>
                  </w:divBdr>
                  <w:divsChild>
                    <w:div w:id="1406873744">
                      <w:marLeft w:val="0"/>
                      <w:marRight w:val="0"/>
                      <w:marTop w:val="0"/>
                      <w:marBottom w:val="0"/>
                      <w:divBdr>
                        <w:top w:val="none" w:sz="0" w:space="0" w:color="auto"/>
                        <w:left w:val="none" w:sz="0" w:space="0" w:color="auto"/>
                        <w:bottom w:val="none" w:sz="0" w:space="0" w:color="auto"/>
                        <w:right w:val="none" w:sz="0" w:space="0" w:color="auto"/>
                      </w:divBdr>
                    </w:div>
                  </w:divsChild>
                </w:div>
                <w:div w:id="441075989">
                  <w:marLeft w:val="0"/>
                  <w:marRight w:val="0"/>
                  <w:marTop w:val="0"/>
                  <w:marBottom w:val="0"/>
                  <w:divBdr>
                    <w:top w:val="none" w:sz="0" w:space="0" w:color="auto"/>
                    <w:left w:val="none" w:sz="0" w:space="0" w:color="auto"/>
                    <w:bottom w:val="none" w:sz="0" w:space="0" w:color="auto"/>
                    <w:right w:val="none" w:sz="0" w:space="0" w:color="auto"/>
                  </w:divBdr>
                  <w:divsChild>
                    <w:div w:id="2135363078">
                      <w:marLeft w:val="0"/>
                      <w:marRight w:val="0"/>
                      <w:marTop w:val="0"/>
                      <w:marBottom w:val="0"/>
                      <w:divBdr>
                        <w:top w:val="none" w:sz="0" w:space="0" w:color="auto"/>
                        <w:left w:val="none" w:sz="0" w:space="0" w:color="auto"/>
                        <w:bottom w:val="none" w:sz="0" w:space="0" w:color="auto"/>
                        <w:right w:val="none" w:sz="0" w:space="0" w:color="auto"/>
                      </w:divBdr>
                    </w:div>
                  </w:divsChild>
                </w:div>
                <w:div w:id="503403720">
                  <w:marLeft w:val="0"/>
                  <w:marRight w:val="0"/>
                  <w:marTop w:val="0"/>
                  <w:marBottom w:val="0"/>
                  <w:divBdr>
                    <w:top w:val="none" w:sz="0" w:space="0" w:color="auto"/>
                    <w:left w:val="none" w:sz="0" w:space="0" w:color="auto"/>
                    <w:bottom w:val="none" w:sz="0" w:space="0" w:color="auto"/>
                    <w:right w:val="none" w:sz="0" w:space="0" w:color="auto"/>
                  </w:divBdr>
                  <w:divsChild>
                    <w:div w:id="804275642">
                      <w:marLeft w:val="0"/>
                      <w:marRight w:val="0"/>
                      <w:marTop w:val="0"/>
                      <w:marBottom w:val="0"/>
                      <w:divBdr>
                        <w:top w:val="none" w:sz="0" w:space="0" w:color="auto"/>
                        <w:left w:val="none" w:sz="0" w:space="0" w:color="auto"/>
                        <w:bottom w:val="none" w:sz="0" w:space="0" w:color="auto"/>
                        <w:right w:val="none" w:sz="0" w:space="0" w:color="auto"/>
                      </w:divBdr>
                    </w:div>
                  </w:divsChild>
                </w:div>
                <w:div w:id="859709293">
                  <w:marLeft w:val="0"/>
                  <w:marRight w:val="0"/>
                  <w:marTop w:val="0"/>
                  <w:marBottom w:val="0"/>
                  <w:divBdr>
                    <w:top w:val="none" w:sz="0" w:space="0" w:color="auto"/>
                    <w:left w:val="none" w:sz="0" w:space="0" w:color="auto"/>
                    <w:bottom w:val="none" w:sz="0" w:space="0" w:color="auto"/>
                    <w:right w:val="none" w:sz="0" w:space="0" w:color="auto"/>
                  </w:divBdr>
                  <w:divsChild>
                    <w:div w:id="1868256043">
                      <w:marLeft w:val="0"/>
                      <w:marRight w:val="0"/>
                      <w:marTop w:val="0"/>
                      <w:marBottom w:val="0"/>
                      <w:divBdr>
                        <w:top w:val="none" w:sz="0" w:space="0" w:color="auto"/>
                        <w:left w:val="none" w:sz="0" w:space="0" w:color="auto"/>
                        <w:bottom w:val="none" w:sz="0" w:space="0" w:color="auto"/>
                        <w:right w:val="none" w:sz="0" w:space="0" w:color="auto"/>
                      </w:divBdr>
                    </w:div>
                  </w:divsChild>
                </w:div>
                <w:div w:id="900335881">
                  <w:marLeft w:val="0"/>
                  <w:marRight w:val="0"/>
                  <w:marTop w:val="0"/>
                  <w:marBottom w:val="0"/>
                  <w:divBdr>
                    <w:top w:val="none" w:sz="0" w:space="0" w:color="auto"/>
                    <w:left w:val="none" w:sz="0" w:space="0" w:color="auto"/>
                    <w:bottom w:val="none" w:sz="0" w:space="0" w:color="auto"/>
                    <w:right w:val="none" w:sz="0" w:space="0" w:color="auto"/>
                  </w:divBdr>
                  <w:divsChild>
                    <w:div w:id="1665234200">
                      <w:marLeft w:val="0"/>
                      <w:marRight w:val="0"/>
                      <w:marTop w:val="0"/>
                      <w:marBottom w:val="0"/>
                      <w:divBdr>
                        <w:top w:val="none" w:sz="0" w:space="0" w:color="auto"/>
                        <w:left w:val="none" w:sz="0" w:space="0" w:color="auto"/>
                        <w:bottom w:val="none" w:sz="0" w:space="0" w:color="auto"/>
                        <w:right w:val="none" w:sz="0" w:space="0" w:color="auto"/>
                      </w:divBdr>
                    </w:div>
                  </w:divsChild>
                </w:div>
                <w:div w:id="966086768">
                  <w:marLeft w:val="0"/>
                  <w:marRight w:val="0"/>
                  <w:marTop w:val="0"/>
                  <w:marBottom w:val="0"/>
                  <w:divBdr>
                    <w:top w:val="none" w:sz="0" w:space="0" w:color="auto"/>
                    <w:left w:val="none" w:sz="0" w:space="0" w:color="auto"/>
                    <w:bottom w:val="none" w:sz="0" w:space="0" w:color="auto"/>
                    <w:right w:val="none" w:sz="0" w:space="0" w:color="auto"/>
                  </w:divBdr>
                  <w:divsChild>
                    <w:div w:id="1716616586">
                      <w:marLeft w:val="0"/>
                      <w:marRight w:val="0"/>
                      <w:marTop w:val="0"/>
                      <w:marBottom w:val="0"/>
                      <w:divBdr>
                        <w:top w:val="none" w:sz="0" w:space="0" w:color="auto"/>
                        <w:left w:val="none" w:sz="0" w:space="0" w:color="auto"/>
                        <w:bottom w:val="none" w:sz="0" w:space="0" w:color="auto"/>
                        <w:right w:val="none" w:sz="0" w:space="0" w:color="auto"/>
                      </w:divBdr>
                    </w:div>
                  </w:divsChild>
                </w:div>
                <w:div w:id="1019769526">
                  <w:marLeft w:val="0"/>
                  <w:marRight w:val="0"/>
                  <w:marTop w:val="0"/>
                  <w:marBottom w:val="0"/>
                  <w:divBdr>
                    <w:top w:val="none" w:sz="0" w:space="0" w:color="auto"/>
                    <w:left w:val="none" w:sz="0" w:space="0" w:color="auto"/>
                    <w:bottom w:val="none" w:sz="0" w:space="0" w:color="auto"/>
                    <w:right w:val="none" w:sz="0" w:space="0" w:color="auto"/>
                  </w:divBdr>
                  <w:divsChild>
                    <w:div w:id="1613852721">
                      <w:marLeft w:val="0"/>
                      <w:marRight w:val="0"/>
                      <w:marTop w:val="0"/>
                      <w:marBottom w:val="0"/>
                      <w:divBdr>
                        <w:top w:val="none" w:sz="0" w:space="0" w:color="auto"/>
                        <w:left w:val="none" w:sz="0" w:space="0" w:color="auto"/>
                        <w:bottom w:val="none" w:sz="0" w:space="0" w:color="auto"/>
                        <w:right w:val="none" w:sz="0" w:space="0" w:color="auto"/>
                      </w:divBdr>
                    </w:div>
                  </w:divsChild>
                </w:div>
                <w:div w:id="1070269070">
                  <w:marLeft w:val="0"/>
                  <w:marRight w:val="0"/>
                  <w:marTop w:val="0"/>
                  <w:marBottom w:val="0"/>
                  <w:divBdr>
                    <w:top w:val="none" w:sz="0" w:space="0" w:color="auto"/>
                    <w:left w:val="none" w:sz="0" w:space="0" w:color="auto"/>
                    <w:bottom w:val="none" w:sz="0" w:space="0" w:color="auto"/>
                    <w:right w:val="none" w:sz="0" w:space="0" w:color="auto"/>
                  </w:divBdr>
                  <w:divsChild>
                    <w:div w:id="1775905012">
                      <w:marLeft w:val="0"/>
                      <w:marRight w:val="0"/>
                      <w:marTop w:val="0"/>
                      <w:marBottom w:val="0"/>
                      <w:divBdr>
                        <w:top w:val="none" w:sz="0" w:space="0" w:color="auto"/>
                        <w:left w:val="none" w:sz="0" w:space="0" w:color="auto"/>
                        <w:bottom w:val="none" w:sz="0" w:space="0" w:color="auto"/>
                        <w:right w:val="none" w:sz="0" w:space="0" w:color="auto"/>
                      </w:divBdr>
                    </w:div>
                  </w:divsChild>
                </w:div>
                <w:div w:id="1133017452">
                  <w:marLeft w:val="0"/>
                  <w:marRight w:val="0"/>
                  <w:marTop w:val="0"/>
                  <w:marBottom w:val="0"/>
                  <w:divBdr>
                    <w:top w:val="none" w:sz="0" w:space="0" w:color="auto"/>
                    <w:left w:val="none" w:sz="0" w:space="0" w:color="auto"/>
                    <w:bottom w:val="none" w:sz="0" w:space="0" w:color="auto"/>
                    <w:right w:val="none" w:sz="0" w:space="0" w:color="auto"/>
                  </w:divBdr>
                  <w:divsChild>
                    <w:div w:id="916747307">
                      <w:marLeft w:val="0"/>
                      <w:marRight w:val="0"/>
                      <w:marTop w:val="0"/>
                      <w:marBottom w:val="0"/>
                      <w:divBdr>
                        <w:top w:val="none" w:sz="0" w:space="0" w:color="auto"/>
                        <w:left w:val="none" w:sz="0" w:space="0" w:color="auto"/>
                        <w:bottom w:val="none" w:sz="0" w:space="0" w:color="auto"/>
                        <w:right w:val="none" w:sz="0" w:space="0" w:color="auto"/>
                      </w:divBdr>
                    </w:div>
                  </w:divsChild>
                </w:div>
                <w:div w:id="1231425049">
                  <w:marLeft w:val="0"/>
                  <w:marRight w:val="0"/>
                  <w:marTop w:val="0"/>
                  <w:marBottom w:val="0"/>
                  <w:divBdr>
                    <w:top w:val="none" w:sz="0" w:space="0" w:color="auto"/>
                    <w:left w:val="none" w:sz="0" w:space="0" w:color="auto"/>
                    <w:bottom w:val="none" w:sz="0" w:space="0" w:color="auto"/>
                    <w:right w:val="none" w:sz="0" w:space="0" w:color="auto"/>
                  </w:divBdr>
                  <w:divsChild>
                    <w:div w:id="1127892705">
                      <w:marLeft w:val="0"/>
                      <w:marRight w:val="0"/>
                      <w:marTop w:val="0"/>
                      <w:marBottom w:val="0"/>
                      <w:divBdr>
                        <w:top w:val="none" w:sz="0" w:space="0" w:color="auto"/>
                        <w:left w:val="none" w:sz="0" w:space="0" w:color="auto"/>
                        <w:bottom w:val="none" w:sz="0" w:space="0" w:color="auto"/>
                        <w:right w:val="none" w:sz="0" w:space="0" w:color="auto"/>
                      </w:divBdr>
                    </w:div>
                  </w:divsChild>
                </w:div>
                <w:div w:id="1241984031">
                  <w:marLeft w:val="0"/>
                  <w:marRight w:val="0"/>
                  <w:marTop w:val="0"/>
                  <w:marBottom w:val="0"/>
                  <w:divBdr>
                    <w:top w:val="none" w:sz="0" w:space="0" w:color="auto"/>
                    <w:left w:val="none" w:sz="0" w:space="0" w:color="auto"/>
                    <w:bottom w:val="none" w:sz="0" w:space="0" w:color="auto"/>
                    <w:right w:val="none" w:sz="0" w:space="0" w:color="auto"/>
                  </w:divBdr>
                  <w:divsChild>
                    <w:div w:id="1724595740">
                      <w:marLeft w:val="0"/>
                      <w:marRight w:val="0"/>
                      <w:marTop w:val="0"/>
                      <w:marBottom w:val="0"/>
                      <w:divBdr>
                        <w:top w:val="none" w:sz="0" w:space="0" w:color="auto"/>
                        <w:left w:val="none" w:sz="0" w:space="0" w:color="auto"/>
                        <w:bottom w:val="none" w:sz="0" w:space="0" w:color="auto"/>
                        <w:right w:val="none" w:sz="0" w:space="0" w:color="auto"/>
                      </w:divBdr>
                    </w:div>
                  </w:divsChild>
                </w:div>
                <w:div w:id="1371419421">
                  <w:marLeft w:val="0"/>
                  <w:marRight w:val="0"/>
                  <w:marTop w:val="0"/>
                  <w:marBottom w:val="0"/>
                  <w:divBdr>
                    <w:top w:val="none" w:sz="0" w:space="0" w:color="auto"/>
                    <w:left w:val="none" w:sz="0" w:space="0" w:color="auto"/>
                    <w:bottom w:val="none" w:sz="0" w:space="0" w:color="auto"/>
                    <w:right w:val="none" w:sz="0" w:space="0" w:color="auto"/>
                  </w:divBdr>
                  <w:divsChild>
                    <w:div w:id="1173953954">
                      <w:marLeft w:val="0"/>
                      <w:marRight w:val="0"/>
                      <w:marTop w:val="0"/>
                      <w:marBottom w:val="0"/>
                      <w:divBdr>
                        <w:top w:val="none" w:sz="0" w:space="0" w:color="auto"/>
                        <w:left w:val="none" w:sz="0" w:space="0" w:color="auto"/>
                        <w:bottom w:val="none" w:sz="0" w:space="0" w:color="auto"/>
                        <w:right w:val="none" w:sz="0" w:space="0" w:color="auto"/>
                      </w:divBdr>
                    </w:div>
                  </w:divsChild>
                </w:div>
                <w:div w:id="1716196247">
                  <w:marLeft w:val="0"/>
                  <w:marRight w:val="0"/>
                  <w:marTop w:val="0"/>
                  <w:marBottom w:val="0"/>
                  <w:divBdr>
                    <w:top w:val="none" w:sz="0" w:space="0" w:color="auto"/>
                    <w:left w:val="none" w:sz="0" w:space="0" w:color="auto"/>
                    <w:bottom w:val="none" w:sz="0" w:space="0" w:color="auto"/>
                    <w:right w:val="none" w:sz="0" w:space="0" w:color="auto"/>
                  </w:divBdr>
                  <w:divsChild>
                    <w:div w:id="1815873089">
                      <w:marLeft w:val="0"/>
                      <w:marRight w:val="0"/>
                      <w:marTop w:val="0"/>
                      <w:marBottom w:val="0"/>
                      <w:divBdr>
                        <w:top w:val="none" w:sz="0" w:space="0" w:color="auto"/>
                        <w:left w:val="none" w:sz="0" w:space="0" w:color="auto"/>
                        <w:bottom w:val="none" w:sz="0" w:space="0" w:color="auto"/>
                        <w:right w:val="none" w:sz="0" w:space="0" w:color="auto"/>
                      </w:divBdr>
                    </w:div>
                  </w:divsChild>
                </w:div>
                <w:div w:id="1754400219">
                  <w:marLeft w:val="0"/>
                  <w:marRight w:val="0"/>
                  <w:marTop w:val="0"/>
                  <w:marBottom w:val="0"/>
                  <w:divBdr>
                    <w:top w:val="none" w:sz="0" w:space="0" w:color="auto"/>
                    <w:left w:val="none" w:sz="0" w:space="0" w:color="auto"/>
                    <w:bottom w:val="none" w:sz="0" w:space="0" w:color="auto"/>
                    <w:right w:val="none" w:sz="0" w:space="0" w:color="auto"/>
                  </w:divBdr>
                  <w:divsChild>
                    <w:div w:id="520165250">
                      <w:marLeft w:val="0"/>
                      <w:marRight w:val="0"/>
                      <w:marTop w:val="0"/>
                      <w:marBottom w:val="0"/>
                      <w:divBdr>
                        <w:top w:val="none" w:sz="0" w:space="0" w:color="auto"/>
                        <w:left w:val="none" w:sz="0" w:space="0" w:color="auto"/>
                        <w:bottom w:val="none" w:sz="0" w:space="0" w:color="auto"/>
                        <w:right w:val="none" w:sz="0" w:space="0" w:color="auto"/>
                      </w:divBdr>
                    </w:div>
                  </w:divsChild>
                </w:div>
                <w:div w:id="1772313646">
                  <w:marLeft w:val="0"/>
                  <w:marRight w:val="0"/>
                  <w:marTop w:val="0"/>
                  <w:marBottom w:val="0"/>
                  <w:divBdr>
                    <w:top w:val="none" w:sz="0" w:space="0" w:color="auto"/>
                    <w:left w:val="none" w:sz="0" w:space="0" w:color="auto"/>
                    <w:bottom w:val="none" w:sz="0" w:space="0" w:color="auto"/>
                    <w:right w:val="none" w:sz="0" w:space="0" w:color="auto"/>
                  </w:divBdr>
                  <w:divsChild>
                    <w:div w:id="663440248">
                      <w:marLeft w:val="0"/>
                      <w:marRight w:val="0"/>
                      <w:marTop w:val="0"/>
                      <w:marBottom w:val="0"/>
                      <w:divBdr>
                        <w:top w:val="none" w:sz="0" w:space="0" w:color="auto"/>
                        <w:left w:val="none" w:sz="0" w:space="0" w:color="auto"/>
                        <w:bottom w:val="none" w:sz="0" w:space="0" w:color="auto"/>
                        <w:right w:val="none" w:sz="0" w:space="0" w:color="auto"/>
                      </w:divBdr>
                    </w:div>
                  </w:divsChild>
                </w:div>
                <w:div w:id="1878468186">
                  <w:marLeft w:val="0"/>
                  <w:marRight w:val="0"/>
                  <w:marTop w:val="0"/>
                  <w:marBottom w:val="0"/>
                  <w:divBdr>
                    <w:top w:val="none" w:sz="0" w:space="0" w:color="auto"/>
                    <w:left w:val="none" w:sz="0" w:space="0" w:color="auto"/>
                    <w:bottom w:val="none" w:sz="0" w:space="0" w:color="auto"/>
                    <w:right w:val="none" w:sz="0" w:space="0" w:color="auto"/>
                  </w:divBdr>
                  <w:divsChild>
                    <w:div w:id="1978951680">
                      <w:marLeft w:val="0"/>
                      <w:marRight w:val="0"/>
                      <w:marTop w:val="0"/>
                      <w:marBottom w:val="0"/>
                      <w:divBdr>
                        <w:top w:val="none" w:sz="0" w:space="0" w:color="auto"/>
                        <w:left w:val="none" w:sz="0" w:space="0" w:color="auto"/>
                        <w:bottom w:val="none" w:sz="0" w:space="0" w:color="auto"/>
                        <w:right w:val="none" w:sz="0" w:space="0" w:color="auto"/>
                      </w:divBdr>
                    </w:div>
                  </w:divsChild>
                </w:div>
                <w:div w:id="1940916815">
                  <w:marLeft w:val="0"/>
                  <w:marRight w:val="0"/>
                  <w:marTop w:val="0"/>
                  <w:marBottom w:val="0"/>
                  <w:divBdr>
                    <w:top w:val="none" w:sz="0" w:space="0" w:color="auto"/>
                    <w:left w:val="none" w:sz="0" w:space="0" w:color="auto"/>
                    <w:bottom w:val="none" w:sz="0" w:space="0" w:color="auto"/>
                    <w:right w:val="none" w:sz="0" w:space="0" w:color="auto"/>
                  </w:divBdr>
                  <w:divsChild>
                    <w:div w:id="262996241">
                      <w:marLeft w:val="0"/>
                      <w:marRight w:val="0"/>
                      <w:marTop w:val="0"/>
                      <w:marBottom w:val="0"/>
                      <w:divBdr>
                        <w:top w:val="none" w:sz="0" w:space="0" w:color="auto"/>
                        <w:left w:val="none" w:sz="0" w:space="0" w:color="auto"/>
                        <w:bottom w:val="none" w:sz="0" w:space="0" w:color="auto"/>
                        <w:right w:val="none" w:sz="0" w:space="0" w:color="auto"/>
                      </w:divBdr>
                    </w:div>
                  </w:divsChild>
                </w:div>
                <w:div w:id="2019379565">
                  <w:marLeft w:val="0"/>
                  <w:marRight w:val="0"/>
                  <w:marTop w:val="0"/>
                  <w:marBottom w:val="0"/>
                  <w:divBdr>
                    <w:top w:val="none" w:sz="0" w:space="0" w:color="auto"/>
                    <w:left w:val="none" w:sz="0" w:space="0" w:color="auto"/>
                    <w:bottom w:val="none" w:sz="0" w:space="0" w:color="auto"/>
                    <w:right w:val="none" w:sz="0" w:space="0" w:color="auto"/>
                  </w:divBdr>
                  <w:divsChild>
                    <w:div w:id="148250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383742">
          <w:marLeft w:val="0"/>
          <w:marRight w:val="0"/>
          <w:marTop w:val="0"/>
          <w:marBottom w:val="0"/>
          <w:divBdr>
            <w:top w:val="none" w:sz="0" w:space="0" w:color="auto"/>
            <w:left w:val="none" w:sz="0" w:space="0" w:color="auto"/>
            <w:bottom w:val="none" w:sz="0" w:space="0" w:color="auto"/>
            <w:right w:val="none" w:sz="0" w:space="0" w:color="auto"/>
          </w:divBdr>
        </w:div>
        <w:div w:id="676427400">
          <w:marLeft w:val="0"/>
          <w:marRight w:val="0"/>
          <w:marTop w:val="0"/>
          <w:marBottom w:val="0"/>
          <w:divBdr>
            <w:top w:val="none" w:sz="0" w:space="0" w:color="auto"/>
            <w:left w:val="none" w:sz="0" w:space="0" w:color="auto"/>
            <w:bottom w:val="none" w:sz="0" w:space="0" w:color="auto"/>
            <w:right w:val="none" w:sz="0" w:space="0" w:color="auto"/>
          </w:divBdr>
        </w:div>
        <w:div w:id="720860520">
          <w:marLeft w:val="0"/>
          <w:marRight w:val="0"/>
          <w:marTop w:val="0"/>
          <w:marBottom w:val="0"/>
          <w:divBdr>
            <w:top w:val="none" w:sz="0" w:space="0" w:color="auto"/>
            <w:left w:val="none" w:sz="0" w:space="0" w:color="auto"/>
            <w:bottom w:val="none" w:sz="0" w:space="0" w:color="auto"/>
            <w:right w:val="none" w:sz="0" w:space="0" w:color="auto"/>
          </w:divBdr>
        </w:div>
        <w:div w:id="819226907">
          <w:marLeft w:val="0"/>
          <w:marRight w:val="0"/>
          <w:marTop w:val="0"/>
          <w:marBottom w:val="0"/>
          <w:divBdr>
            <w:top w:val="none" w:sz="0" w:space="0" w:color="auto"/>
            <w:left w:val="none" w:sz="0" w:space="0" w:color="auto"/>
            <w:bottom w:val="none" w:sz="0" w:space="0" w:color="auto"/>
            <w:right w:val="none" w:sz="0" w:space="0" w:color="auto"/>
          </w:divBdr>
        </w:div>
        <w:div w:id="842938561">
          <w:marLeft w:val="0"/>
          <w:marRight w:val="0"/>
          <w:marTop w:val="0"/>
          <w:marBottom w:val="0"/>
          <w:divBdr>
            <w:top w:val="none" w:sz="0" w:space="0" w:color="auto"/>
            <w:left w:val="none" w:sz="0" w:space="0" w:color="auto"/>
            <w:bottom w:val="none" w:sz="0" w:space="0" w:color="auto"/>
            <w:right w:val="none" w:sz="0" w:space="0" w:color="auto"/>
          </w:divBdr>
        </w:div>
        <w:div w:id="943998537">
          <w:marLeft w:val="0"/>
          <w:marRight w:val="0"/>
          <w:marTop w:val="0"/>
          <w:marBottom w:val="0"/>
          <w:divBdr>
            <w:top w:val="none" w:sz="0" w:space="0" w:color="auto"/>
            <w:left w:val="none" w:sz="0" w:space="0" w:color="auto"/>
            <w:bottom w:val="none" w:sz="0" w:space="0" w:color="auto"/>
            <w:right w:val="none" w:sz="0" w:space="0" w:color="auto"/>
          </w:divBdr>
        </w:div>
        <w:div w:id="978875398">
          <w:marLeft w:val="0"/>
          <w:marRight w:val="0"/>
          <w:marTop w:val="0"/>
          <w:marBottom w:val="0"/>
          <w:divBdr>
            <w:top w:val="none" w:sz="0" w:space="0" w:color="auto"/>
            <w:left w:val="none" w:sz="0" w:space="0" w:color="auto"/>
            <w:bottom w:val="none" w:sz="0" w:space="0" w:color="auto"/>
            <w:right w:val="none" w:sz="0" w:space="0" w:color="auto"/>
          </w:divBdr>
        </w:div>
        <w:div w:id="1083725001">
          <w:marLeft w:val="0"/>
          <w:marRight w:val="0"/>
          <w:marTop w:val="0"/>
          <w:marBottom w:val="0"/>
          <w:divBdr>
            <w:top w:val="none" w:sz="0" w:space="0" w:color="auto"/>
            <w:left w:val="none" w:sz="0" w:space="0" w:color="auto"/>
            <w:bottom w:val="none" w:sz="0" w:space="0" w:color="auto"/>
            <w:right w:val="none" w:sz="0" w:space="0" w:color="auto"/>
          </w:divBdr>
        </w:div>
        <w:div w:id="1167552322">
          <w:marLeft w:val="0"/>
          <w:marRight w:val="0"/>
          <w:marTop w:val="0"/>
          <w:marBottom w:val="0"/>
          <w:divBdr>
            <w:top w:val="none" w:sz="0" w:space="0" w:color="auto"/>
            <w:left w:val="none" w:sz="0" w:space="0" w:color="auto"/>
            <w:bottom w:val="none" w:sz="0" w:space="0" w:color="auto"/>
            <w:right w:val="none" w:sz="0" w:space="0" w:color="auto"/>
          </w:divBdr>
        </w:div>
        <w:div w:id="1235433166">
          <w:marLeft w:val="0"/>
          <w:marRight w:val="0"/>
          <w:marTop w:val="0"/>
          <w:marBottom w:val="0"/>
          <w:divBdr>
            <w:top w:val="none" w:sz="0" w:space="0" w:color="auto"/>
            <w:left w:val="none" w:sz="0" w:space="0" w:color="auto"/>
            <w:bottom w:val="none" w:sz="0" w:space="0" w:color="auto"/>
            <w:right w:val="none" w:sz="0" w:space="0" w:color="auto"/>
          </w:divBdr>
        </w:div>
        <w:div w:id="1272543876">
          <w:marLeft w:val="0"/>
          <w:marRight w:val="0"/>
          <w:marTop w:val="0"/>
          <w:marBottom w:val="0"/>
          <w:divBdr>
            <w:top w:val="none" w:sz="0" w:space="0" w:color="auto"/>
            <w:left w:val="none" w:sz="0" w:space="0" w:color="auto"/>
            <w:bottom w:val="none" w:sz="0" w:space="0" w:color="auto"/>
            <w:right w:val="none" w:sz="0" w:space="0" w:color="auto"/>
          </w:divBdr>
        </w:div>
        <w:div w:id="1462764131">
          <w:marLeft w:val="0"/>
          <w:marRight w:val="0"/>
          <w:marTop w:val="0"/>
          <w:marBottom w:val="0"/>
          <w:divBdr>
            <w:top w:val="none" w:sz="0" w:space="0" w:color="auto"/>
            <w:left w:val="none" w:sz="0" w:space="0" w:color="auto"/>
            <w:bottom w:val="none" w:sz="0" w:space="0" w:color="auto"/>
            <w:right w:val="none" w:sz="0" w:space="0" w:color="auto"/>
          </w:divBdr>
        </w:div>
        <w:div w:id="1487093771">
          <w:marLeft w:val="0"/>
          <w:marRight w:val="0"/>
          <w:marTop w:val="0"/>
          <w:marBottom w:val="0"/>
          <w:divBdr>
            <w:top w:val="none" w:sz="0" w:space="0" w:color="auto"/>
            <w:left w:val="none" w:sz="0" w:space="0" w:color="auto"/>
            <w:bottom w:val="none" w:sz="0" w:space="0" w:color="auto"/>
            <w:right w:val="none" w:sz="0" w:space="0" w:color="auto"/>
          </w:divBdr>
        </w:div>
        <w:div w:id="1567719312">
          <w:marLeft w:val="0"/>
          <w:marRight w:val="0"/>
          <w:marTop w:val="0"/>
          <w:marBottom w:val="0"/>
          <w:divBdr>
            <w:top w:val="none" w:sz="0" w:space="0" w:color="auto"/>
            <w:left w:val="none" w:sz="0" w:space="0" w:color="auto"/>
            <w:bottom w:val="none" w:sz="0" w:space="0" w:color="auto"/>
            <w:right w:val="none" w:sz="0" w:space="0" w:color="auto"/>
          </w:divBdr>
        </w:div>
        <w:div w:id="1770538979">
          <w:marLeft w:val="0"/>
          <w:marRight w:val="0"/>
          <w:marTop w:val="0"/>
          <w:marBottom w:val="0"/>
          <w:divBdr>
            <w:top w:val="none" w:sz="0" w:space="0" w:color="auto"/>
            <w:left w:val="none" w:sz="0" w:space="0" w:color="auto"/>
            <w:bottom w:val="none" w:sz="0" w:space="0" w:color="auto"/>
            <w:right w:val="none" w:sz="0" w:space="0" w:color="auto"/>
          </w:divBdr>
        </w:div>
        <w:div w:id="1831097415">
          <w:marLeft w:val="0"/>
          <w:marRight w:val="0"/>
          <w:marTop w:val="0"/>
          <w:marBottom w:val="0"/>
          <w:divBdr>
            <w:top w:val="none" w:sz="0" w:space="0" w:color="auto"/>
            <w:left w:val="none" w:sz="0" w:space="0" w:color="auto"/>
            <w:bottom w:val="none" w:sz="0" w:space="0" w:color="auto"/>
            <w:right w:val="none" w:sz="0" w:space="0" w:color="auto"/>
          </w:divBdr>
        </w:div>
        <w:div w:id="1962567773">
          <w:marLeft w:val="0"/>
          <w:marRight w:val="0"/>
          <w:marTop w:val="0"/>
          <w:marBottom w:val="0"/>
          <w:divBdr>
            <w:top w:val="none" w:sz="0" w:space="0" w:color="auto"/>
            <w:left w:val="none" w:sz="0" w:space="0" w:color="auto"/>
            <w:bottom w:val="none" w:sz="0" w:space="0" w:color="auto"/>
            <w:right w:val="none" w:sz="0" w:space="0" w:color="auto"/>
          </w:divBdr>
        </w:div>
        <w:div w:id="1994095205">
          <w:marLeft w:val="0"/>
          <w:marRight w:val="0"/>
          <w:marTop w:val="0"/>
          <w:marBottom w:val="0"/>
          <w:divBdr>
            <w:top w:val="none" w:sz="0" w:space="0" w:color="auto"/>
            <w:left w:val="none" w:sz="0" w:space="0" w:color="auto"/>
            <w:bottom w:val="none" w:sz="0" w:space="0" w:color="auto"/>
            <w:right w:val="none" w:sz="0" w:space="0" w:color="auto"/>
          </w:divBdr>
        </w:div>
        <w:div w:id="1994674574">
          <w:marLeft w:val="0"/>
          <w:marRight w:val="0"/>
          <w:marTop w:val="0"/>
          <w:marBottom w:val="0"/>
          <w:divBdr>
            <w:top w:val="none" w:sz="0" w:space="0" w:color="auto"/>
            <w:left w:val="none" w:sz="0" w:space="0" w:color="auto"/>
            <w:bottom w:val="none" w:sz="0" w:space="0" w:color="auto"/>
            <w:right w:val="none" w:sz="0" w:space="0" w:color="auto"/>
          </w:divBdr>
        </w:div>
        <w:div w:id="2012877195">
          <w:marLeft w:val="0"/>
          <w:marRight w:val="0"/>
          <w:marTop w:val="0"/>
          <w:marBottom w:val="0"/>
          <w:divBdr>
            <w:top w:val="none" w:sz="0" w:space="0" w:color="auto"/>
            <w:left w:val="none" w:sz="0" w:space="0" w:color="auto"/>
            <w:bottom w:val="none" w:sz="0" w:space="0" w:color="auto"/>
            <w:right w:val="none" w:sz="0" w:space="0" w:color="auto"/>
          </w:divBdr>
        </w:div>
        <w:div w:id="2106147067">
          <w:marLeft w:val="0"/>
          <w:marRight w:val="0"/>
          <w:marTop w:val="0"/>
          <w:marBottom w:val="0"/>
          <w:divBdr>
            <w:top w:val="none" w:sz="0" w:space="0" w:color="auto"/>
            <w:left w:val="none" w:sz="0" w:space="0" w:color="auto"/>
            <w:bottom w:val="none" w:sz="0" w:space="0" w:color="auto"/>
            <w:right w:val="none" w:sz="0" w:space="0" w:color="auto"/>
          </w:divBdr>
        </w:div>
      </w:divsChild>
    </w:div>
    <w:div w:id="215548514">
      <w:bodyDiv w:val="1"/>
      <w:marLeft w:val="0"/>
      <w:marRight w:val="0"/>
      <w:marTop w:val="0"/>
      <w:marBottom w:val="0"/>
      <w:divBdr>
        <w:top w:val="none" w:sz="0" w:space="0" w:color="auto"/>
        <w:left w:val="none" w:sz="0" w:space="0" w:color="auto"/>
        <w:bottom w:val="none" w:sz="0" w:space="0" w:color="auto"/>
        <w:right w:val="none" w:sz="0" w:space="0" w:color="auto"/>
      </w:divBdr>
    </w:div>
    <w:div w:id="239951144">
      <w:bodyDiv w:val="1"/>
      <w:marLeft w:val="0"/>
      <w:marRight w:val="0"/>
      <w:marTop w:val="0"/>
      <w:marBottom w:val="0"/>
      <w:divBdr>
        <w:top w:val="none" w:sz="0" w:space="0" w:color="auto"/>
        <w:left w:val="none" w:sz="0" w:space="0" w:color="auto"/>
        <w:bottom w:val="none" w:sz="0" w:space="0" w:color="auto"/>
        <w:right w:val="none" w:sz="0" w:space="0" w:color="auto"/>
      </w:divBdr>
    </w:div>
    <w:div w:id="243536752">
      <w:bodyDiv w:val="1"/>
      <w:marLeft w:val="0"/>
      <w:marRight w:val="0"/>
      <w:marTop w:val="0"/>
      <w:marBottom w:val="0"/>
      <w:divBdr>
        <w:top w:val="none" w:sz="0" w:space="0" w:color="auto"/>
        <w:left w:val="none" w:sz="0" w:space="0" w:color="auto"/>
        <w:bottom w:val="none" w:sz="0" w:space="0" w:color="auto"/>
        <w:right w:val="none" w:sz="0" w:space="0" w:color="auto"/>
      </w:divBdr>
      <w:divsChild>
        <w:div w:id="553665987">
          <w:marLeft w:val="446"/>
          <w:marRight w:val="0"/>
          <w:marTop w:val="0"/>
          <w:marBottom w:val="0"/>
          <w:divBdr>
            <w:top w:val="none" w:sz="0" w:space="0" w:color="auto"/>
            <w:left w:val="none" w:sz="0" w:space="0" w:color="auto"/>
            <w:bottom w:val="none" w:sz="0" w:space="0" w:color="auto"/>
            <w:right w:val="none" w:sz="0" w:space="0" w:color="auto"/>
          </w:divBdr>
        </w:div>
        <w:div w:id="888952273">
          <w:marLeft w:val="446"/>
          <w:marRight w:val="0"/>
          <w:marTop w:val="0"/>
          <w:marBottom w:val="0"/>
          <w:divBdr>
            <w:top w:val="none" w:sz="0" w:space="0" w:color="auto"/>
            <w:left w:val="none" w:sz="0" w:space="0" w:color="auto"/>
            <w:bottom w:val="none" w:sz="0" w:space="0" w:color="auto"/>
            <w:right w:val="none" w:sz="0" w:space="0" w:color="auto"/>
          </w:divBdr>
        </w:div>
        <w:div w:id="1252542258">
          <w:marLeft w:val="446"/>
          <w:marRight w:val="0"/>
          <w:marTop w:val="0"/>
          <w:marBottom w:val="0"/>
          <w:divBdr>
            <w:top w:val="none" w:sz="0" w:space="0" w:color="auto"/>
            <w:left w:val="none" w:sz="0" w:space="0" w:color="auto"/>
            <w:bottom w:val="none" w:sz="0" w:space="0" w:color="auto"/>
            <w:right w:val="none" w:sz="0" w:space="0" w:color="auto"/>
          </w:divBdr>
        </w:div>
        <w:div w:id="1623537675">
          <w:marLeft w:val="446"/>
          <w:marRight w:val="0"/>
          <w:marTop w:val="0"/>
          <w:marBottom w:val="0"/>
          <w:divBdr>
            <w:top w:val="none" w:sz="0" w:space="0" w:color="auto"/>
            <w:left w:val="none" w:sz="0" w:space="0" w:color="auto"/>
            <w:bottom w:val="none" w:sz="0" w:space="0" w:color="auto"/>
            <w:right w:val="none" w:sz="0" w:space="0" w:color="auto"/>
          </w:divBdr>
        </w:div>
        <w:div w:id="1773207852">
          <w:marLeft w:val="446"/>
          <w:marRight w:val="0"/>
          <w:marTop w:val="0"/>
          <w:marBottom w:val="0"/>
          <w:divBdr>
            <w:top w:val="none" w:sz="0" w:space="0" w:color="auto"/>
            <w:left w:val="none" w:sz="0" w:space="0" w:color="auto"/>
            <w:bottom w:val="none" w:sz="0" w:space="0" w:color="auto"/>
            <w:right w:val="none" w:sz="0" w:space="0" w:color="auto"/>
          </w:divBdr>
        </w:div>
      </w:divsChild>
    </w:div>
    <w:div w:id="283728994">
      <w:bodyDiv w:val="1"/>
      <w:marLeft w:val="0"/>
      <w:marRight w:val="0"/>
      <w:marTop w:val="0"/>
      <w:marBottom w:val="0"/>
      <w:divBdr>
        <w:top w:val="none" w:sz="0" w:space="0" w:color="auto"/>
        <w:left w:val="none" w:sz="0" w:space="0" w:color="auto"/>
        <w:bottom w:val="none" w:sz="0" w:space="0" w:color="auto"/>
        <w:right w:val="none" w:sz="0" w:space="0" w:color="auto"/>
      </w:divBdr>
    </w:div>
    <w:div w:id="284967838">
      <w:bodyDiv w:val="1"/>
      <w:marLeft w:val="0"/>
      <w:marRight w:val="0"/>
      <w:marTop w:val="0"/>
      <w:marBottom w:val="0"/>
      <w:divBdr>
        <w:top w:val="none" w:sz="0" w:space="0" w:color="auto"/>
        <w:left w:val="none" w:sz="0" w:space="0" w:color="auto"/>
        <w:bottom w:val="none" w:sz="0" w:space="0" w:color="auto"/>
        <w:right w:val="none" w:sz="0" w:space="0" w:color="auto"/>
      </w:divBdr>
    </w:div>
    <w:div w:id="301007756">
      <w:bodyDiv w:val="1"/>
      <w:marLeft w:val="0"/>
      <w:marRight w:val="0"/>
      <w:marTop w:val="0"/>
      <w:marBottom w:val="0"/>
      <w:divBdr>
        <w:top w:val="none" w:sz="0" w:space="0" w:color="auto"/>
        <w:left w:val="none" w:sz="0" w:space="0" w:color="auto"/>
        <w:bottom w:val="none" w:sz="0" w:space="0" w:color="auto"/>
        <w:right w:val="none" w:sz="0" w:space="0" w:color="auto"/>
      </w:divBdr>
    </w:div>
    <w:div w:id="326252951">
      <w:bodyDiv w:val="1"/>
      <w:marLeft w:val="0"/>
      <w:marRight w:val="0"/>
      <w:marTop w:val="0"/>
      <w:marBottom w:val="0"/>
      <w:divBdr>
        <w:top w:val="none" w:sz="0" w:space="0" w:color="auto"/>
        <w:left w:val="none" w:sz="0" w:space="0" w:color="auto"/>
        <w:bottom w:val="none" w:sz="0" w:space="0" w:color="auto"/>
        <w:right w:val="none" w:sz="0" w:space="0" w:color="auto"/>
      </w:divBdr>
    </w:div>
    <w:div w:id="358434428">
      <w:bodyDiv w:val="1"/>
      <w:marLeft w:val="0"/>
      <w:marRight w:val="0"/>
      <w:marTop w:val="0"/>
      <w:marBottom w:val="0"/>
      <w:divBdr>
        <w:top w:val="none" w:sz="0" w:space="0" w:color="auto"/>
        <w:left w:val="none" w:sz="0" w:space="0" w:color="auto"/>
        <w:bottom w:val="none" w:sz="0" w:space="0" w:color="auto"/>
        <w:right w:val="none" w:sz="0" w:space="0" w:color="auto"/>
      </w:divBdr>
    </w:div>
    <w:div w:id="369961372">
      <w:bodyDiv w:val="1"/>
      <w:marLeft w:val="0"/>
      <w:marRight w:val="0"/>
      <w:marTop w:val="0"/>
      <w:marBottom w:val="0"/>
      <w:divBdr>
        <w:top w:val="none" w:sz="0" w:space="0" w:color="auto"/>
        <w:left w:val="none" w:sz="0" w:space="0" w:color="auto"/>
        <w:bottom w:val="none" w:sz="0" w:space="0" w:color="auto"/>
        <w:right w:val="none" w:sz="0" w:space="0" w:color="auto"/>
      </w:divBdr>
    </w:div>
    <w:div w:id="385641849">
      <w:bodyDiv w:val="1"/>
      <w:marLeft w:val="0"/>
      <w:marRight w:val="0"/>
      <w:marTop w:val="0"/>
      <w:marBottom w:val="0"/>
      <w:divBdr>
        <w:top w:val="none" w:sz="0" w:space="0" w:color="auto"/>
        <w:left w:val="none" w:sz="0" w:space="0" w:color="auto"/>
        <w:bottom w:val="none" w:sz="0" w:space="0" w:color="auto"/>
        <w:right w:val="none" w:sz="0" w:space="0" w:color="auto"/>
      </w:divBdr>
    </w:div>
    <w:div w:id="392704587">
      <w:bodyDiv w:val="1"/>
      <w:marLeft w:val="0"/>
      <w:marRight w:val="0"/>
      <w:marTop w:val="0"/>
      <w:marBottom w:val="0"/>
      <w:divBdr>
        <w:top w:val="none" w:sz="0" w:space="0" w:color="auto"/>
        <w:left w:val="none" w:sz="0" w:space="0" w:color="auto"/>
        <w:bottom w:val="none" w:sz="0" w:space="0" w:color="auto"/>
        <w:right w:val="none" w:sz="0" w:space="0" w:color="auto"/>
      </w:divBdr>
    </w:div>
    <w:div w:id="404567379">
      <w:bodyDiv w:val="1"/>
      <w:marLeft w:val="0"/>
      <w:marRight w:val="0"/>
      <w:marTop w:val="0"/>
      <w:marBottom w:val="0"/>
      <w:divBdr>
        <w:top w:val="none" w:sz="0" w:space="0" w:color="auto"/>
        <w:left w:val="none" w:sz="0" w:space="0" w:color="auto"/>
        <w:bottom w:val="none" w:sz="0" w:space="0" w:color="auto"/>
        <w:right w:val="none" w:sz="0" w:space="0" w:color="auto"/>
      </w:divBdr>
    </w:div>
    <w:div w:id="463502601">
      <w:bodyDiv w:val="1"/>
      <w:marLeft w:val="0"/>
      <w:marRight w:val="0"/>
      <w:marTop w:val="0"/>
      <w:marBottom w:val="0"/>
      <w:divBdr>
        <w:top w:val="none" w:sz="0" w:space="0" w:color="auto"/>
        <w:left w:val="none" w:sz="0" w:space="0" w:color="auto"/>
        <w:bottom w:val="none" w:sz="0" w:space="0" w:color="auto"/>
        <w:right w:val="none" w:sz="0" w:space="0" w:color="auto"/>
      </w:divBdr>
    </w:div>
    <w:div w:id="474034274">
      <w:bodyDiv w:val="1"/>
      <w:marLeft w:val="0"/>
      <w:marRight w:val="0"/>
      <w:marTop w:val="0"/>
      <w:marBottom w:val="0"/>
      <w:divBdr>
        <w:top w:val="none" w:sz="0" w:space="0" w:color="auto"/>
        <w:left w:val="none" w:sz="0" w:space="0" w:color="auto"/>
        <w:bottom w:val="none" w:sz="0" w:space="0" w:color="auto"/>
        <w:right w:val="none" w:sz="0" w:space="0" w:color="auto"/>
      </w:divBdr>
    </w:div>
    <w:div w:id="505436250">
      <w:bodyDiv w:val="1"/>
      <w:marLeft w:val="0"/>
      <w:marRight w:val="0"/>
      <w:marTop w:val="0"/>
      <w:marBottom w:val="0"/>
      <w:divBdr>
        <w:top w:val="none" w:sz="0" w:space="0" w:color="auto"/>
        <w:left w:val="none" w:sz="0" w:space="0" w:color="auto"/>
        <w:bottom w:val="none" w:sz="0" w:space="0" w:color="auto"/>
        <w:right w:val="none" w:sz="0" w:space="0" w:color="auto"/>
      </w:divBdr>
    </w:div>
    <w:div w:id="522672099">
      <w:bodyDiv w:val="1"/>
      <w:marLeft w:val="0"/>
      <w:marRight w:val="0"/>
      <w:marTop w:val="0"/>
      <w:marBottom w:val="0"/>
      <w:divBdr>
        <w:top w:val="none" w:sz="0" w:space="0" w:color="auto"/>
        <w:left w:val="none" w:sz="0" w:space="0" w:color="auto"/>
        <w:bottom w:val="none" w:sz="0" w:space="0" w:color="auto"/>
        <w:right w:val="none" w:sz="0" w:space="0" w:color="auto"/>
      </w:divBdr>
    </w:div>
    <w:div w:id="533541810">
      <w:bodyDiv w:val="1"/>
      <w:marLeft w:val="0"/>
      <w:marRight w:val="0"/>
      <w:marTop w:val="0"/>
      <w:marBottom w:val="0"/>
      <w:divBdr>
        <w:top w:val="none" w:sz="0" w:space="0" w:color="auto"/>
        <w:left w:val="none" w:sz="0" w:space="0" w:color="auto"/>
        <w:bottom w:val="none" w:sz="0" w:space="0" w:color="auto"/>
        <w:right w:val="none" w:sz="0" w:space="0" w:color="auto"/>
      </w:divBdr>
    </w:div>
    <w:div w:id="534929713">
      <w:bodyDiv w:val="1"/>
      <w:marLeft w:val="0"/>
      <w:marRight w:val="0"/>
      <w:marTop w:val="0"/>
      <w:marBottom w:val="0"/>
      <w:divBdr>
        <w:top w:val="none" w:sz="0" w:space="0" w:color="auto"/>
        <w:left w:val="none" w:sz="0" w:space="0" w:color="auto"/>
        <w:bottom w:val="none" w:sz="0" w:space="0" w:color="auto"/>
        <w:right w:val="none" w:sz="0" w:space="0" w:color="auto"/>
      </w:divBdr>
    </w:div>
    <w:div w:id="583346811">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sChild>
        <w:div w:id="157187794">
          <w:marLeft w:val="446"/>
          <w:marRight w:val="0"/>
          <w:marTop w:val="0"/>
          <w:marBottom w:val="0"/>
          <w:divBdr>
            <w:top w:val="none" w:sz="0" w:space="0" w:color="auto"/>
            <w:left w:val="none" w:sz="0" w:space="0" w:color="auto"/>
            <w:bottom w:val="none" w:sz="0" w:space="0" w:color="auto"/>
            <w:right w:val="none" w:sz="0" w:space="0" w:color="auto"/>
          </w:divBdr>
        </w:div>
        <w:div w:id="425735131">
          <w:marLeft w:val="446"/>
          <w:marRight w:val="0"/>
          <w:marTop w:val="0"/>
          <w:marBottom w:val="0"/>
          <w:divBdr>
            <w:top w:val="none" w:sz="0" w:space="0" w:color="auto"/>
            <w:left w:val="none" w:sz="0" w:space="0" w:color="auto"/>
            <w:bottom w:val="none" w:sz="0" w:space="0" w:color="auto"/>
            <w:right w:val="none" w:sz="0" w:space="0" w:color="auto"/>
          </w:divBdr>
        </w:div>
        <w:div w:id="737021410">
          <w:marLeft w:val="446"/>
          <w:marRight w:val="0"/>
          <w:marTop w:val="0"/>
          <w:marBottom w:val="0"/>
          <w:divBdr>
            <w:top w:val="none" w:sz="0" w:space="0" w:color="auto"/>
            <w:left w:val="none" w:sz="0" w:space="0" w:color="auto"/>
            <w:bottom w:val="none" w:sz="0" w:space="0" w:color="auto"/>
            <w:right w:val="none" w:sz="0" w:space="0" w:color="auto"/>
          </w:divBdr>
        </w:div>
        <w:div w:id="1120994243">
          <w:marLeft w:val="446"/>
          <w:marRight w:val="0"/>
          <w:marTop w:val="0"/>
          <w:marBottom w:val="0"/>
          <w:divBdr>
            <w:top w:val="none" w:sz="0" w:space="0" w:color="auto"/>
            <w:left w:val="none" w:sz="0" w:space="0" w:color="auto"/>
            <w:bottom w:val="none" w:sz="0" w:space="0" w:color="auto"/>
            <w:right w:val="none" w:sz="0" w:space="0" w:color="auto"/>
          </w:divBdr>
        </w:div>
        <w:div w:id="1181624932">
          <w:marLeft w:val="446"/>
          <w:marRight w:val="0"/>
          <w:marTop w:val="0"/>
          <w:marBottom w:val="0"/>
          <w:divBdr>
            <w:top w:val="none" w:sz="0" w:space="0" w:color="auto"/>
            <w:left w:val="none" w:sz="0" w:space="0" w:color="auto"/>
            <w:bottom w:val="none" w:sz="0" w:space="0" w:color="auto"/>
            <w:right w:val="none" w:sz="0" w:space="0" w:color="auto"/>
          </w:divBdr>
        </w:div>
        <w:div w:id="1554077777">
          <w:marLeft w:val="446"/>
          <w:marRight w:val="0"/>
          <w:marTop w:val="0"/>
          <w:marBottom w:val="0"/>
          <w:divBdr>
            <w:top w:val="none" w:sz="0" w:space="0" w:color="auto"/>
            <w:left w:val="none" w:sz="0" w:space="0" w:color="auto"/>
            <w:bottom w:val="none" w:sz="0" w:space="0" w:color="auto"/>
            <w:right w:val="none" w:sz="0" w:space="0" w:color="auto"/>
          </w:divBdr>
        </w:div>
        <w:div w:id="1554728482">
          <w:marLeft w:val="446"/>
          <w:marRight w:val="0"/>
          <w:marTop w:val="0"/>
          <w:marBottom w:val="0"/>
          <w:divBdr>
            <w:top w:val="none" w:sz="0" w:space="0" w:color="auto"/>
            <w:left w:val="none" w:sz="0" w:space="0" w:color="auto"/>
            <w:bottom w:val="none" w:sz="0" w:space="0" w:color="auto"/>
            <w:right w:val="none" w:sz="0" w:space="0" w:color="auto"/>
          </w:divBdr>
        </w:div>
        <w:div w:id="1835486983">
          <w:marLeft w:val="446"/>
          <w:marRight w:val="0"/>
          <w:marTop w:val="0"/>
          <w:marBottom w:val="0"/>
          <w:divBdr>
            <w:top w:val="none" w:sz="0" w:space="0" w:color="auto"/>
            <w:left w:val="none" w:sz="0" w:space="0" w:color="auto"/>
            <w:bottom w:val="none" w:sz="0" w:space="0" w:color="auto"/>
            <w:right w:val="none" w:sz="0" w:space="0" w:color="auto"/>
          </w:divBdr>
        </w:div>
      </w:divsChild>
    </w:div>
    <w:div w:id="602373023">
      <w:bodyDiv w:val="1"/>
      <w:marLeft w:val="0"/>
      <w:marRight w:val="0"/>
      <w:marTop w:val="0"/>
      <w:marBottom w:val="0"/>
      <w:divBdr>
        <w:top w:val="none" w:sz="0" w:space="0" w:color="auto"/>
        <w:left w:val="none" w:sz="0" w:space="0" w:color="auto"/>
        <w:bottom w:val="none" w:sz="0" w:space="0" w:color="auto"/>
        <w:right w:val="none" w:sz="0" w:space="0" w:color="auto"/>
      </w:divBdr>
      <w:divsChild>
        <w:div w:id="25064772">
          <w:marLeft w:val="0"/>
          <w:marRight w:val="0"/>
          <w:marTop w:val="0"/>
          <w:marBottom w:val="0"/>
          <w:divBdr>
            <w:top w:val="none" w:sz="0" w:space="0" w:color="auto"/>
            <w:left w:val="none" w:sz="0" w:space="0" w:color="auto"/>
            <w:bottom w:val="none" w:sz="0" w:space="0" w:color="auto"/>
            <w:right w:val="none" w:sz="0" w:space="0" w:color="auto"/>
          </w:divBdr>
        </w:div>
        <w:div w:id="138574300">
          <w:marLeft w:val="0"/>
          <w:marRight w:val="0"/>
          <w:marTop w:val="0"/>
          <w:marBottom w:val="0"/>
          <w:divBdr>
            <w:top w:val="none" w:sz="0" w:space="0" w:color="auto"/>
            <w:left w:val="none" w:sz="0" w:space="0" w:color="auto"/>
            <w:bottom w:val="none" w:sz="0" w:space="0" w:color="auto"/>
            <w:right w:val="none" w:sz="0" w:space="0" w:color="auto"/>
          </w:divBdr>
        </w:div>
        <w:div w:id="194082896">
          <w:marLeft w:val="0"/>
          <w:marRight w:val="0"/>
          <w:marTop w:val="0"/>
          <w:marBottom w:val="0"/>
          <w:divBdr>
            <w:top w:val="none" w:sz="0" w:space="0" w:color="auto"/>
            <w:left w:val="none" w:sz="0" w:space="0" w:color="auto"/>
            <w:bottom w:val="none" w:sz="0" w:space="0" w:color="auto"/>
            <w:right w:val="none" w:sz="0" w:space="0" w:color="auto"/>
          </w:divBdr>
        </w:div>
        <w:div w:id="283922888">
          <w:marLeft w:val="0"/>
          <w:marRight w:val="0"/>
          <w:marTop w:val="0"/>
          <w:marBottom w:val="0"/>
          <w:divBdr>
            <w:top w:val="none" w:sz="0" w:space="0" w:color="auto"/>
            <w:left w:val="none" w:sz="0" w:space="0" w:color="auto"/>
            <w:bottom w:val="none" w:sz="0" w:space="0" w:color="auto"/>
            <w:right w:val="none" w:sz="0" w:space="0" w:color="auto"/>
          </w:divBdr>
        </w:div>
        <w:div w:id="529803985">
          <w:marLeft w:val="0"/>
          <w:marRight w:val="0"/>
          <w:marTop w:val="0"/>
          <w:marBottom w:val="0"/>
          <w:divBdr>
            <w:top w:val="none" w:sz="0" w:space="0" w:color="auto"/>
            <w:left w:val="none" w:sz="0" w:space="0" w:color="auto"/>
            <w:bottom w:val="none" w:sz="0" w:space="0" w:color="auto"/>
            <w:right w:val="none" w:sz="0" w:space="0" w:color="auto"/>
          </w:divBdr>
        </w:div>
        <w:div w:id="548225160">
          <w:marLeft w:val="0"/>
          <w:marRight w:val="0"/>
          <w:marTop w:val="0"/>
          <w:marBottom w:val="0"/>
          <w:divBdr>
            <w:top w:val="none" w:sz="0" w:space="0" w:color="auto"/>
            <w:left w:val="none" w:sz="0" w:space="0" w:color="auto"/>
            <w:bottom w:val="none" w:sz="0" w:space="0" w:color="auto"/>
            <w:right w:val="none" w:sz="0" w:space="0" w:color="auto"/>
          </w:divBdr>
        </w:div>
        <w:div w:id="591166388">
          <w:marLeft w:val="0"/>
          <w:marRight w:val="0"/>
          <w:marTop w:val="0"/>
          <w:marBottom w:val="0"/>
          <w:divBdr>
            <w:top w:val="none" w:sz="0" w:space="0" w:color="auto"/>
            <w:left w:val="none" w:sz="0" w:space="0" w:color="auto"/>
            <w:bottom w:val="none" w:sz="0" w:space="0" w:color="auto"/>
            <w:right w:val="none" w:sz="0" w:space="0" w:color="auto"/>
          </w:divBdr>
        </w:div>
        <w:div w:id="682628534">
          <w:marLeft w:val="0"/>
          <w:marRight w:val="0"/>
          <w:marTop w:val="0"/>
          <w:marBottom w:val="0"/>
          <w:divBdr>
            <w:top w:val="none" w:sz="0" w:space="0" w:color="auto"/>
            <w:left w:val="none" w:sz="0" w:space="0" w:color="auto"/>
            <w:bottom w:val="none" w:sz="0" w:space="0" w:color="auto"/>
            <w:right w:val="none" w:sz="0" w:space="0" w:color="auto"/>
          </w:divBdr>
        </w:div>
        <w:div w:id="690570482">
          <w:marLeft w:val="0"/>
          <w:marRight w:val="0"/>
          <w:marTop w:val="0"/>
          <w:marBottom w:val="0"/>
          <w:divBdr>
            <w:top w:val="none" w:sz="0" w:space="0" w:color="auto"/>
            <w:left w:val="none" w:sz="0" w:space="0" w:color="auto"/>
            <w:bottom w:val="none" w:sz="0" w:space="0" w:color="auto"/>
            <w:right w:val="none" w:sz="0" w:space="0" w:color="auto"/>
          </w:divBdr>
        </w:div>
        <w:div w:id="743182035">
          <w:marLeft w:val="0"/>
          <w:marRight w:val="0"/>
          <w:marTop w:val="0"/>
          <w:marBottom w:val="0"/>
          <w:divBdr>
            <w:top w:val="none" w:sz="0" w:space="0" w:color="auto"/>
            <w:left w:val="none" w:sz="0" w:space="0" w:color="auto"/>
            <w:bottom w:val="none" w:sz="0" w:space="0" w:color="auto"/>
            <w:right w:val="none" w:sz="0" w:space="0" w:color="auto"/>
          </w:divBdr>
        </w:div>
        <w:div w:id="787235703">
          <w:marLeft w:val="0"/>
          <w:marRight w:val="0"/>
          <w:marTop w:val="0"/>
          <w:marBottom w:val="0"/>
          <w:divBdr>
            <w:top w:val="none" w:sz="0" w:space="0" w:color="auto"/>
            <w:left w:val="none" w:sz="0" w:space="0" w:color="auto"/>
            <w:bottom w:val="none" w:sz="0" w:space="0" w:color="auto"/>
            <w:right w:val="none" w:sz="0" w:space="0" w:color="auto"/>
          </w:divBdr>
        </w:div>
        <w:div w:id="800226842">
          <w:marLeft w:val="0"/>
          <w:marRight w:val="0"/>
          <w:marTop w:val="0"/>
          <w:marBottom w:val="0"/>
          <w:divBdr>
            <w:top w:val="none" w:sz="0" w:space="0" w:color="auto"/>
            <w:left w:val="none" w:sz="0" w:space="0" w:color="auto"/>
            <w:bottom w:val="none" w:sz="0" w:space="0" w:color="auto"/>
            <w:right w:val="none" w:sz="0" w:space="0" w:color="auto"/>
          </w:divBdr>
        </w:div>
        <w:div w:id="894777522">
          <w:marLeft w:val="0"/>
          <w:marRight w:val="0"/>
          <w:marTop w:val="0"/>
          <w:marBottom w:val="0"/>
          <w:divBdr>
            <w:top w:val="none" w:sz="0" w:space="0" w:color="auto"/>
            <w:left w:val="none" w:sz="0" w:space="0" w:color="auto"/>
            <w:bottom w:val="none" w:sz="0" w:space="0" w:color="auto"/>
            <w:right w:val="none" w:sz="0" w:space="0" w:color="auto"/>
          </w:divBdr>
        </w:div>
        <w:div w:id="898832218">
          <w:marLeft w:val="0"/>
          <w:marRight w:val="0"/>
          <w:marTop w:val="0"/>
          <w:marBottom w:val="0"/>
          <w:divBdr>
            <w:top w:val="none" w:sz="0" w:space="0" w:color="auto"/>
            <w:left w:val="none" w:sz="0" w:space="0" w:color="auto"/>
            <w:bottom w:val="none" w:sz="0" w:space="0" w:color="auto"/>
            <w:right w:val="none" w:sz="0" w:space="0" w:color="auto"/>
          </w:divBdr>
        </w:div>
        <w:div w:id="941379964">
          <w:marLeft w:val="0"/>
          <w:marRight w:val="0"/>
          <w:marTop w:val="0"/>
          <w:marBottom w:val="0"/>
          <w:divBdr>
            <w:top w:val="none" w:sz="0" w:space="0" w:color="auto"/>
            <w:left w:val="none" w:sz="0" w:space="0" w:color="auto"/>
            <w:bottom w:val="none" w:sz="0" w:space="0" w:color="auto"/>
            <w:right w:val="none" w:sz="0" w:space="0" w:color="auto"/>
          </w:divBdr>
        </w:div>
        <w:div w:id="944115785">
          <w:marLeft w:val="0"/>
          <w:marRight w:val="0"/>
          <w:marTop w:val="0"/>
          <w:marBottom w:val="0"/>
          <w:divBdr>
            <w:top w:val="none" w:sz="0" w:space="0" w:color="auto"/>
            <w:left w:val="none" w:sz="0" w:space="0" w:color="auto"/>
            <w:bottom w:val="none" w:sz="0" w:space="0" w:color="auto"/>
            <w:right w:val="none" w:sz="0" w:space="0" w:color="auto"/>
          </w:divBdr>
        </w:div>
        <w:div w:id="949825610">
          <w:marLeft w:val="0"/>
          <w:marRight w:val="0"/>
          <w:marTop w:val="0"/>
          <w:marBottom w:val="0"/>
          <w:divBdr>
            <w:top w:val="none" w:sz="0" w:space="0" w:color="auto"/>
            <w:left w:val="none" w:sz="0" w:space="0" w:color="auto"/>
            <w:bottom w:val="none" w:sz="0" w:space="0" w:color="auto"/>
            <w:right w:val="none" w:sz="0" w:space="0" w:color="auto"/>
          </w:divBdr>
        </w:div>
        <w:div w:id="984821182">
          <w:marLeft w:val="0"/>
          <w:marRight w:val="0"/>
          <w:marTop w:val="0"/>
          <w:marBottom w:val="0"/>
          <w:divBdr>
            <w:top w:val="none" w:sz="0" w:space="0" w:color="auto"/>
            <w:left w:val="none" w:sz="0" w:space="0" w:color="auto"/>
            <w:bottom w:val="none" w:sz="0" w:space="0" w:color="auto"/>
            <w:right w:val="none" w:sz="0" w:space="0" w:color="auto"/>
          </w:divBdr>
        </w:div>
        <w:div w:id="1049190152">
          <w:marLeft w:val="0"/>
          <w:marRight w:val="0"/>
          <w:marTop w:val="0"/>
          <w:marBottom w:val="0"/>
          <w:divBdr>
            <w:top w:val="none" w:sz="0" w:space="0" w:color="auto"/>
            <w:left w:val="none" w:sz="0" w:space="0" w:color="auto"/>
            <w:bottom w:val="none" w:sz="0" w:space="0" w:color="auto"/>
            <w:right w:val="none" w:sz="0" w:space="0" w:color="auto"/>
          </w:divBdr>
        </w:div>
        <w:div w:id="1099064382">
          <w:marLeft w:val="0"/>
          <w:marRight w:val="0"/>
          <w:marTop w:val="0"/>
          <w:marBottom w:val="0"/>
          <w:divBdr>
            <w:top w:val="none" w:sz="0" w:space="0" w:color="auto"/>
            <w:left w:val="none" w:sz="0" w:space="0" w:color="auto"/>
            <w:bottom w:val="none" w:sz="0" w:space="0" w:color="auto"/>
            <w:right w:val="none" w:sz="0" w:space="0" w:color="auto"/>
          </w:divBdr>
        </w:div>
        <w:div w:id="1117717855">
          <w:marLeft w:val="0"/>
          <w:marRight w:val="0"/>
          <w:marTop w:val="0"/>
          <w:marBottom w:val="0"/>
          <w:divBdr>
            <w:top w:val="none" w:sz="0" w:space="0" w:color="auto"/>
            <w:left w:val="none" w:sz="0" w:space="0" w:color="auto"/>
            <w:bottom w:val="none" w:sz="0" w:space="0" w:color="auto"/>
            <w:right w:val="none" w:sz="0" w:space="0" w:color="auto"/>
          </w:divBdr>
        </w:div>
        <w:div w:id="1136799409">
          <w:marLeft w:val="0"/>
          <w:marRight w:val="0"/>
          <w:marTop w:val="0"/>
          <w:marBottom w:val="0"/>
          <w:divBdr>
            <w:top w:val="none" w:sz="0" w:space="0" w:color="auto"/>
            <w:left w:val="none" w:sz="0" w:space="0" w:color="auto"/>
            <w:bottom w:val="none" w:sz="0" w:space="0" w:color="auto"/>
            <w:right w:val="none" w:sz="0" w:space="0" w:color="auto"/>
          </w:divBdr>
        </w:div>
        <w:div w:id="1218667532">
          <w:marLeft w:val="0"/>
          <w:marRight w:val="0"/>
          <w:marTop w:val="0"/>
          <w:marBottom w:val="0"/>
          <w:divBdr>
            <w:top w:val="none" w:sz="0" w:space="0" w:color="auto"/>
            <w:left w:val="none" w:sz="0" w:space="0" w:color="auto"/>
            <w:bottom w:val="none" w:sz="0" w:space="0" w:color="auto"/>
            <w:right w:val="none" w:sz="0" w:space="0" w:color="auto"/>
          </w:divBdr>
        </w:div>
        <w:div w:id="1327250744">
          <w:marLeft w:val="0"/>
          <w:marRight w:val="0"/>
          <w:marTop w:val="0"/>
          <w:marBottom w:val="0"/>
          <w:divBdr>
            <w:top w:val="none" w:sz="0" w:space="0" w:color="auto"/>
            <w:left w:val="none" w:sz="0" w:space="0" w:color="auto"/>
            <w:bottom w:val="none" w:sz="0" w:space="0" w:color="auto"/>
            <w:right w:val="none" w:sz="0" w:space="0" w:color="auto"/>
          </w:divBdr>
        </w:div>
        <w:div w:id="1495292173">
          <w:marLeft w:val="0"/>
          <w:marRight w:val="0"/>
          <w:marTop w:val="0"/>
          <w:marBottom w:val="0"/>
          <w:divBdr>
            <w:top w:val="none" w:sz="0" w:space="0" w:color="auto"/>
            <w:left w:val="none" w:sz="0" w:space="0" w:color="auto"/>
            <w:bottom w:val="none" w:sz="0" w:space="0" w:color="auto"/>
            <w:right w:val="none" w:sz="0" w:space="0" w:color="auto"/>
          </w:divBdr>
        </w:div>
        <w:div w:id="1537085222">
          <w:marLeft w:val="0"/>
          <w:marRight w:val="0"/>
          <w:marTop w:val="0"/>
          <w:marBottom w:val="0"/>
          <w:divBdr>
            <w:top w:val="none" w:sz="0" w:space="0" w:color="auto"/>
            <w:left w:val="none" w:sz="0" w:space="0" w:color="auto"/>
            <w:bottom w:val="none" w:sz="0" w:space="0" w:color="auto"/>
            <w:right w:val="none" w:sz="0" w:space="0" w:color="auto"/>
          </w:divBdr>
        </w:div>
        <w:div w:id="1585720459">
          <w:marLeft w:val="0"/>
          <w:marRight w:val="0"/>
          <w:marTop w:val="0"/>
          <w:marBottom w:val="0"/>
          <w:divBdr>
            <w:top w:val="none" w:sz="0" w:space="0" w:color="auto"/>
            <w:left w:val="none" w:sz="0" w:space="0" w:color="auto"/>
            <w:bottom w:val="none" w:sz="0" w:space="0" w:color="auto"/>
            <w:right w:val="none" w:sz="0" w:space="0" w:color="auto"/>
          </w:divBdr>
        </w:div>
        <w:div w:id="1635985412">
          <w:marLeft w:val="0"/>
          <w:marRight w:val="0"/>
          <w:marTop w:val="0"/>
          <w:marBottom w:val="0"/>
          <w:divBdr>
            <w:top w:val="none" w:sz="0" w:space="0" w:color="auto"/>
            <w:left w:val="none" w:sz="0" w:space="0" w:color="auto"/>
            <w:bottom w:val="none" w:sz="0" w:space="0" w:color="auto"/>
            <w:right w:val="none" w:sz="0" w:space="0" w:color="auto"/>
          </w:divBdr>
        </w:div>
        <w:div w:id="1778216265">
          <w:marLeft w:val="0"/>
          <w:marRight w:val="0"/>
          <w:marTop w:val="0"/>
          <w:marBottom w:val="0"/>
          <w:divBdr>
            <w:top w:val="none" w:sz="0" w:space="0" w:color="auto"/>
            <w:left w:val="none" w:sz="0" w:space="0" w:color="auto"/>
            <w:bottom w:val="none" w:sz="0" w:space="0" w:color="auto"/>
            <w:right w:val="none" w:sz="0" w:space="0" w:color="auto"/>
          </w:divBdr>
        </w:div>
        <w:div w:id="1782798033">
          <w:marLeft w:val="0"/>
          <w:marRight w:val="0"/>
          <w:marTop w:val="0"/>
          <w:marBottom w:val="0"/>
          <w:divBdr>
            <w:top w:val="none" w:sz="0" w:space="0" w:color="auto"/>
            <w:left w:val="none" w:sz="0" w:space="0" w:color="auto"/>
            <w:bottom w:val="none" w:sz="0" w:space="0" w:color="auto"/>
            <w:right w:val="none" w:sz="0" w:space="0" w:color="auto"/>
          </w:divBdr>
        </w:div>
        <w:div w:id="1833982719">
          <w:marLeft w:val="0"/>
          <w:marRight w:val="0"/>
          <w:marTop w:val="0"/>
          <w:marBottom w:val="0"/>
          <w:divBdr>
            <w:top w:val="none" w:sz="0" w:space="0" w:color="auto"/>
            <w:left w:val="none" w:sz="0" w:space="0" w:color="auto"/>
            <w:bottom w:val="none" w:sz="0" w:space="0" w:color="auto"/>
            <w:right w:val="none" w:sz="0" w:space="0" w:color="auto"/>
          </w:divBdr>
        </w:div>
        <w:div w:id="1943222707">
          <w:marLeft w:val="0"/>
          <w:marRight w:val="0"/>
          <w:marTop w:val="0"/>
          <w:marBottom w:val="0"/>
          <w:divBdr>
            <w:top w:val="none" w:sz="0" w:space="0" w:color="auto"/>
            <w:left w:val="none" w:sz="0" w:space="0" w:color="auto"/>
            <w:bottom w:val="none" w:sz="0" w:space="0" w:color="auto"/>
            <w:right w:val="none" w:sz="0" w:space="0" w:color="auto"/>
          </w:divBdr>
        </w:div>
        <w:div w:id="2018189763">
          <w:marLeft w:val="0"/>
          <w:marRight w:val="0"/>
          <w:marTop w:val="0"/>
          <w:marBottom w:val="0"/>
          <w:divBdr>
            <w:top w:val="none" w:sz="0" w:space="0" w:color="auto"/>
            <w:left w:val="none" w:sz="0" w:space="0" w:color="auto"/>
            <w:bottom w:val="none" w:sz="0" w:space="0" w:color="auto"/>
            <w:right w:val="none" w:sz="0" w:space="0" w:color="auto"/>
          </w:divBdr>
        </w:div>
        <w:div w:id="2112580654">
          <w:marLeft w:val="0"/>
          <w:marRight w:val="0"/>
          <w:marTop w:val="0"/>
          <w:marBottom w:val="0"/>
          <w:divBdr>
            <w:top w:val="none" w:sz="0" w:space="0" w:color="auto"/>
            <w:left w:val="none" w:sz="0" w:space="0" w:color="auto"/>
            <w:bottom w:val="none" w:sz="0" w:space="0" w:color="auto"/>
            <w:right w:val="none" w:sz="0" w:space="0" w:color="auto"/>
          </w:divBdr>
        </w:div>
      </w:divsChild>
    </w:div>
    <w:div w:id="616831903">
      <w:bodyDiv w:val="1"/>
      <w:marLeft w:val="0"/>
      <w:marRight w:val="0"/>
      <w:marTop w:val="0"/>
      <w:marBottom w:val="0"/>
      <w:divBdr>
        <w:top w:val="none" w:sz="0" w:space="0" w:color="auto"/>
        <w:left w:val="none" w:sz="0" w:space="0" w:color="auto"/>
        <w:bottom w:val="none" w:sz="0" w:space="0" w:color="auto"/>
        <w:right w:val="none" w:sz="0" w:space="0" w:color="auto"/>
      </w:divBdr>
    </w:div>
    <w:div w:id="628783999">
      <w:bodyDiv w:val="1"/>
      <w:marLeft w:val="0"/>
      <w:marRight w:val="0"/>
      <w:marTop w:val="0"/>
      <w:marBottom w:val="0"/>
      <w:divBdr>
        <w:top w:val="none" w:sz="0" w:space="0" w:color="auto"/>
        <w:left w:val="none" w:sz="0" w:space="0" w:color="auto"/>
        <w:bottom w:val="none" w:sz="0" w:space="0" w:color="auto"/>
        <w:right w:val="none" w:sz="0" w:space="0" w:color="auto"/>
      </w:divBdr>
    </w:div>
    <w:div w:id="634455663">
      <w:bodyDiv w:val="1"/>
      <w:marLeft w:val="0"/>
      <w:marRight w:val="0"/>
      <w:marTop w:val="0"/>
      <w:marBottom w:val="0"/>
      <w:divBdr>
        <w:top w:val="none" w:sz="0" w:space="0" w:color="auto"/>
        <w:left w:val="none" w:sz="0" w:space="0" w:color="auto"/>
        <w:bottom w:val="none" w:sz="0" w:space="0" w:color="auto"/>
        <w:right w:val="none" w:sz="0" w:space="0" w:color="auto"/>
      </w:divBdr>
      <w:divsChild>
        <w:div w:id="5060140">
          <w:marLeft w:val="0"/>
          <w:marRight w:val="0"/>
          <w:marTop w:val="0"/>
          <w:marBottom w:val="0"/>
          <w:divBdr>
            <w:top w:val="none" w:sz="0" w:space="0" w:color="auto"/>
            <w:left w:val="none" w:sz="0" w:space="0" w:color="auto"/>
            <w:bottom w:val="none" w:sz="0" w:space="0" w:color="auto"/>
            <w:right w:val="none" w:sz="0" w:space="0" w:color="auto"/>
          </w:divBdr>
        </w:div>
        <w:div w:id="34744879">
          <w:marLeft w:val="0"/>
          <w:marRight w:val="0"/>
          <w:marTop w:val="0"/>
          <w:marBottom w:val="0"/>
          <w:divBdr>
            <w:top w:val="none" w:sz="0" w:space="0" w:color="auto"/>
            <w:left w:val="none" w:sz="0" w:space="0" w:color="auto"/>
            <w:bottom w:val="none" w:sz="0" w:space="0" w:color="auto"/>
            <w:right w:val="none" w:sz="0" w:space="0" w:color="auto"/>
          </w:divBdr>
        </w:div>
        <w:div w:id="75709310">
          <w:marLeft w:val="0"/>
          <w:marRight w:val="0"/>
          <w:marTop w:val="0"/>
          <w:marBottom w:val="0"/>
          <w:divBdr>
            <w:top w:val="none" w:sz="0" w:space="0" w:color="auto"/>
            <w:left w:val="none" w:sz="0" w:space="0" w:color="auto"/>
            <w:bottom w:val="none" w:sz="0" w:space="0" w:color="auto"/>
            <w:right w:val="none" w:sz="0" w:space="0" w:color="auto"/>
          </w:divBdr>
        </w:div>
        <w:div w:id="107480861">
          <w:marLeft w:val="0"/>
          <w:marRight w:val="0"/>
          <w:marTop w:val="0"/>
          <w:marBottom w:val="0"/>
          <w:divBdr>
            <w:top w:val="none" w:sz="0" w:space="0" w:color="auto"/>
            <w:left w:val="none" w:sz="0" w:space="0" w:color="auto"/>
            <w:bottom w:val="none" w:sz="0" w:space="0" w:color="auto"/>
            <w:right w:val="none" w:sz="0" w:space="0" w:color="auto"/>
          </w:divBdr>
        </w:div>
        <w:div w:id="138349972">
          <w:marLeft w:val="0"/>
          <w:marRight w:val="0"/>
          <w:marTop w:val="0"/>
          <w:marBottom w:val="0"/>
          <w:divBdr>
            <w:top w:val="none" w:sz="0" w:space="0" w:color="auto"/>
            <w:left w:val="none" w:sz="0" w:space="0" w:color="auto"/>
            <w:bottom w:val="none" w:sz="0" w:space="0" w:color="auto"/>
            <w:right w:val="none" w:sz="0" w:space="0" w:color="auto"/>
          </w:divBdr>
        </w:div>
        <w:div w:id="384066003">
          <w:marLeft w:val="0"/>
          <w:marRight w:val="0"/>
          <w:marTop w:val="0"/>
          <w:marBottom w:val="0"/>
          <w:divBdr>
            <w:top w:val="none" w:sz="0" w:space="0" w:color="auto"/>
            <w:left w:val="none" w:sz="0" w:space="0" w:color="auto"/>
            <w:bottom w:val="none" w:sz="0" w:space="0" w:color="auto"/>
            <w:right w:val="none" w:sz="0" w:space="0" w:color="auto"/>
          </w:divBdr>
        </w:div>
        <w:div w:id="438449309">
          <w:marLeft w:val="0"/>
          <w:marRight w:val="0"/>
          <w:marTop w:val="0"/>
          <w:marBottom w:val="0"/>
          <w:divBdr>
            <w:top w:val="none" w:sz="0" w:space="0" w:color="auto"/>
            <w:left w:val="none" w:sz="0" w:space="0" w:color="auto"/>
            <w:bottom w:val="none" w:sz="0" w:space="0" w:color="auto"/>
            <w:right w:val="none" w:sz="0" w:space="0" w:color="auto"/>
          </w:divBdr>
        </w:div>
        <w:div w:id="459302556">
          <w:marLeft w:val="0"/>
          <w:marRight w:val="0"/>
          <w:marTop w:val="0"/>
          <w:marBottom w:val="0"/>
          <w:divBdr>
            <w:top w:val="none" w:sz="0" w:space="0" w:color="auto"/>
            <w:left w:val="none" w:sz="0" w:space="0" w:color="auto"/>
            <w:bottom w:val="none" w:sz="0" w:space="0" w:color="auto"/>
            <w:right w:val="none" w:sz="0" w:space="0" w:color="auto"/>
          </w:divBdr>
        </w:div>
        <w:div w:id="460804753">
          <w:marLeft w:val="0"/>
          <w:marRight w:val="0"/>
          <w:marTop w:val="0"/>
          <w:marBottom w:val="0"/>
          <w:divBdr>
            <w:top w:val="none" w:sz="0" w:space="0" w:color="auto"/>
            <w:left w:val="none" w:sz="0" w:space="0" w:color="auto"/>
            <w:bottom w:val="none" w:sz="0" w:space="0" w:color="auto"/>
            <w:right w:val="none" w:sz="0" w:space="0" w:color="auto"/>
          </w:divBdr>
        </w:div>
        <w:div w:id="597106741">
          <w:marLeft w:val="0"/>
          <w:marRight w:val="0"/>
          <w:marTop w:val="0"/>
          <w:marBottom w:val="0"/>
          <w:divBdr>
            <w:top w:val="none" w:sz="0" w:space="0" w:color="auto"/>
            <w:left w:val="none" w:sz="0" w:space="0" w:color="auto"/>
            <w:bottom w:val="none" w:sz="0" w:space="0" w:color="auto"/>
            <w:right w:val="none" w:sz="0" w:space="0" w:color="auto"/>
          </w:divBdr>
        </w:div>
        <w:div w:id="693846356">
          <w:marLeft w:val="0"/>
          <w:marRight w:val="0"/>
          <w:marTop w:val="0"/>
          <w:marBottom w:val="0"/>
          <w:divBdr>
            <w:top w:val="none" w:sz="0" w:space="0" w:color="auto"/>
            <w:left w:val="none" w:sz="0" w:space="0" w:color="auto"/>
            <w:bottom w:val="none" w:sz="0" w:space="0" w:color="auto"/>
            <w:right w:val="none" w:sz="0" w:space="0" w:color="auto"/>
          </w:divBdr>
        </w:div>
        <w:div w:id="915289021">
          <w:marLeft w:val="0"/>
          <w:marRight w:val="0"/>
          <w:marTop w:val="0"/>
          <w:marBottom w:val="0"/>
          <w:divBdr>
            <w:top w:val="none" w:sz="0" w:space="0" w:color="auto"/>
            <w:left w:val="none" w:sz="0" w:space="0" w:color="auto"/>
            <w:bottom w:val="none" w:sz="0" w:space="0" w:color="auto"/>
            <w:right w:val="none" w:sz="0" w:space="0" w:color="auto"/>
          </w:divBdr>
        </w:div>
        <w:div w:id="941567106">
          <w:marLeft w:val="0"/>
          <w:marRight w:val="0"/>
          <w:marTop w:val="0"/>
          <w:marBottom w:val="0"/>
          <w:divBdr>
            <w:top w:val="none" w:sz="0" w:space="0" w:color="auto"/>
            <w:left w:val="none" w:sz="0" w:space="0" w:color="auto"/>
            <w:bottom w:val="none" w:sz="0" w:space="0" w:color="auto"/>
            <w:right w:val="none" w:sz="0" w:space="0" w:color="auto"/>
          </w:divBdr>
        </w:div>
        <w:div w:id="1085298345">
          <w:marLeft w:val="0"/>
          <w:marRight w:val="0"/>
          <w:marTop w:val="0"/>
          <w:marBottom w:val="0"/>
          <w:divBdr>
            <w:top w:val="none" w:sz="0" w:space="0" w:color="auto"/>
            <w:left w:val="none" w:sz="0" w:space="0" w:color="auto"/>
            <w:bottom w:val="none" w:sz="0" w:space="0" w:color="auto"/>
            <w:right w:val="none" w:sz="0" w:space="0" w:color="auto"/>
          </w:divBdr>
        </w:div>
        <w:div w:id="1120999229">
          <w:marLeft w:val="0"/>
          <w:marRight w:val="0"/>
          <w:marTop w:val="0"/>
          <w:marBottom w:val="0"/>
          <w:divBdr>
            <w:top w:val="none" w:sz="0" w:space="0" w:color="auto"/>
            <w:left w:val="none" w:sz="0" w:space="0" w:color="auto"/>
            <w:bottom w:val="none" w:sz="0" w:space="0" w:color="auto"/>
            <w:right w:val="none" w:sz="0" w:space="0" w:color="auto"/>
          </w:divBdr>
        </w:div>
        <w:div w:id="1309089765">
          <w:marLeft w:val="0"/>
          <w:marRight w:val="0"/>
          <w:marTop w:val="0"/>
          <w:marBottom w:val="0"/>
          <w:divBdr>
            <w:top w:val="none" w:sz="0" w:space="0" w:color="auto"/>
            <w:left w:val="none" w:sz="0" w:space="0" w:color="auto"/>
            <w:bottom w:val="none" w:sz="0" w:space="0" w:color="auto"/>
            <w:right w:val="none" w:sz="0" w:space="0" w:color="auto"/>
          </w:divBdr>
        </w:div>
        <w:div w:id="1319993089">
          <w:marLeft w:val="0"/>
          <w:marRight w:val="0"/>
          <w:marTop w:val="0"/>
          <w:marBottom w:val="0"/>
          <w:divBdr>
            <w:top w:val="none" w:sz="0" w:space="0" w:color="auto"/>
            <w:left w:val="none" w:sz="0" w:space="0" w:color="auto"/>
            <w:bottom w:val="none" w:sz="0" w:space="0" w:color="auto"/>
            <w:right w:val="none" w:sz="0" w:space="0" w:color="auto"/>
          </w:divBdr>
        </w:div>
        <w:div w:id="1357190880">
          <w:marLeft w:val="0"/>
          <w:marRight w:val="0"/>
          <w:marTop w:val="0"/>
          <w:marBottom w:val="0"/>
          <w:divBdr>
            <w:top w:val="none" w:sz="0" w:space="0" w:color="auto"/>
            <w:left w:val="none" w:sz="0" w:space="0" w:color="auto"/>
            <w:bottom w:val="none" w:sz="0" w:space="0" w:color="auto"/>
            <w:right w:val="none" w:sz="0" w:space="0" w:color="auto"/>
          </w:divBdr>
        </w:div>
        <w:div w:id="1400133127">
          <w:marLeft w:val="0"/>
          <w:marRight w:val="0"/>
          <w:marTop w:val="0"/>
          <w:marBottom w:val="0"/>
          <w:divBdr>
            <w:top w:val="none" w:sz="0" w:space="0" w:color="auto"/>
            <w:left w:val="none" w:sz="0" w:space="0" w:color="auto"/>
            <w:bottom w:val="none" w:sz="0" w:space="0" w:color="auto"/>
            <w:right w:val="none" w:sz="0" w:space="0" w:color="auto"/>
          </w:divBdr>
        </w:div>
        <w:div w:id="1529296599">
          <w:marLeft w:val="0"/>
          <w:marRight w:val="0"/>
          <w:marTop w:val="0"/>
          <w:marBottom w:val="0"/>
          <w:divBdr>
            <w:top w:val="none" w:sz="0" w:space="0" w:color="auto"/>
            <w:left w:val="none" w:sz="0" w:space="0" w:color="auto"/>
            <w:bottom w:val="none" w:sz="0" w:space="0" w:color="auto"/>
            <w:right w:val="none" w:sz="0" w:space="0" w:color="auto"/>
          </w:divBdr>
        </w:div>
        <w:div w:id="1558665195">
          <w:marLeft w:val="0"/>
          <w:marRight w:val="0"/>
          <w:marTop w:val="0"/>
          <w:marBottom w:val="0"/>
          <w:divBdr>
            <w:top w:val="none" w:sz="0" w:space="0" w:color="auto"/>
            <w:left w:val="none" w:sz="0" w:space="0" w:color="auto"/>
            <w:bottom w:val="none" w:sz="0" w:space="0" w:color="auto"/>
            <w:right w:val="none" w:sz="0" w:space="0" w:color="auto"/>
          </w:divBdr>
        </w:div>
        <w:div w:id="1757170440">
          <w:marLeft w:val="0"/>
          <w:marRight w:val="0"/>
          <w:marTop w:val="0"/>
          <w:marBottom w:val="0"/>
          <w:divBdr>
            <w:top w:val="none" w:sz="0" w:space="0" w:color="auto"/>
            <w:left w:val="none" w:sz="0" w:space="0" w:color="auto"/>
            <w:bottom w:val="none" w:sz="0" w:space="0" w:color="auto"/>
            <w:right w:val="none" w:sz="0" w:space="0" w:color="auto"/>
          </w:divBdr>
        </w:div>
        <w:div w:id="1794443555">
          <w:marLeft w:val="0"/>
          <w:marRight w:val="0"/>
          <w:marTop w:val="0"/>
          <w:marBottom w:val="0"/>
          <w:divBdr>
            <w:top w:val="none" w:sz="0" w:space="0" w:color="auto"/>
            <w:left w:val="none" w:sz="0" w:space="0" w:color="auto"/>
            <w:bottom w:val="none" w:sz="0" w:space="0" w:color="auto"/>
            <w:right w:val="none" w:sz="0" w:space="0" w:color="auto"/>
          </w:divBdr>
        </w:div>
        <w:div w:id="1800342591">
          <w:marLeft w:val="0"/>
          <w:marRight w:val="0"/>
          <w:marTop w:val="0"/>
          <w:marBottom w:val="0"/>
          <w:divBdr>
            <w:top w:val="none" w:sz="0" w:space="0" w:color="auto"/>
            <w:left w:val="none" w:sz="0" w:space="0" w:color="auto"/>
            <w:bottom w:val="none" w:sz="0" w:space="0" w:color="auto"/>
            <w:right w:val="none" w:sz="0" w:space="0" w:color="auto"/>
          </w:divBdr>
        </w:div>
        <w:div w:id="1813061521">
          <w:marLeft w:val="0"/>
          <w:marRight w:val="0"/>
          <w:marTop w:val="0"/>
          <w:marBottom w:val="0"/>
          <w:divBdr>
            <w:top w:val="none" w:sz="0" w:space="0" w:color="auto"/>
            <w:left w:val="none" w:sz="0" w:space="0" w:color="auto"/>
            <w:bottom w:val="none" w:sz="0" w:space="0" w:color="auto"/>
            <w:right w:val="none" w:sz="0" w:space="0" w:color="auto"/>
          </w:divBdr>
        </w:div>
        <w:div w:id="1817717088">
          <w:marLeft w:val="0"/>
          <w:marRight w:val="0"/>
          <w:marTop w:val="0"/>
          <w:marBottom w:val="0"/>
          <w:divBdr>
            <w:top w:val="none" w:sz="0" w:space="0" w:color="auto"/>
            <w:left w:val="none" w:sz="0" w:space="0" w:color="auto"/>
            <w:bottom w:val="none" w:sz="0" w:space="0" w:color="auto"/>
            <w:right w:val="none" w:sz="0" w:space="0" w:color="auto"/>
          </w:divBdr>
        </w:div>
        <w:div w:id="1889492293">
          <w:marLeft w:val="0"/>
          <w:marRight w:val="0"/>
          <w:marTop w:val="0"/>
          <w:marBottom w:val="0"/>
          <w:divBdr>
            <w:top w:val="none" w:sz="0" w:space="0" w:color="auto"/>
            <w:left w:val="none" w:sz="0" w:space="0" w:color="auto"/>
            <w:bottom w:val="none" w:sz="0" w:space="0" w:color="auto"/>
            <w:right w:val="none" w:sz="0" w:space="0" w:color="auto"/>
          </w:divBdr>
        </w:div>
        <w:div w:id="1899436416">
          <w:marLeft w:val="0"/>
          <w:marRight w:val="0"/>
          <w:marTop w:val="0"/>
          <w:marBottom w:val="0"/>
          <w:divBdr>
            <w:top w:val="none" w:sz="0" w:space="0" w:color="auto"/>
            <w:left w:val="none" w:sz="0" w:space="0" w:color="auto"/>
            <w:bottom w:val="none" w:sz="0" w:space="0" w:color="auto"/>
            <w:right w:val="none" w:sz="0" w:space="0" w:color="auto"/>
          </w:divBdr>
        </w:div>
        <w:div w:id="1926332045">
          <w:marLeft w:val="0"/>
          <w:marRight w:val="0"/>
          <w:marTop w:val="0"/>
          <w:marBottom w:val="0"/>
          <w:divBdr>
            <w:top w:val="none" w:sz="0" w:space="0" w:color="auto"/>
            <w:left w:val="none" w:sz="0" w:space="0" w:color="auto"/>
            <w:bottom w:val="none" w:sz="0" w:space="0" w:color="auto"/>
            <w:right w:val="none" w:sz="0" w:space="0" w:color="auto"/>
          </w:divBdr>
        </w:div>
        <w:div w:id="2099014589">
          <w:marLeft w:val="0"/>
          <w:marRight w:val="0"/>
          <w:marTop w:val="0"/>
          <w:marBottom w:val="0"/>
          <w:divBdr>
            <w:top w:val="none" w:sz="0" w:space="0" w:color="auto"/>
            <w:left w:val="none" w:sz="0" w:space="0" w:color="auto"/>
            <w:bottom w:val="none" w:sz="0" w:space="0" w:color="auto"/>
            <w:right w:val="none" w:sz="0" w:space="0" w:color="auto"/>
          </w:divBdr>
        </w:div>
        <w:div w:id="2131822799">
          <w:marLeft w:val="0"/>
          <w:marRight w:val="0"/>
          <w:marTop w:val="0"/>
          <w:marBottom w:val="0"/>
          <w:divBdr>
            <w:top w:val="none" w:sz="0" w:space="0" w:color="auto"/>
            <w:left w:val="none" w:sz="0" w:space="0" w:color="auto"/>
            <w:bottom w:val="none" w:sz="0" w:space="0" w:color="auto"/>
            <w:right w:val="none" w:sz="0" w:space="0" w:color="auto"/>
          </w:divBdr>
        </w:div>
      </w:divsChild>
    </w:div>
    <w:div w:id="652299257">
      <w:bodyDiv w:val="1"/>
      <w:marLeft w:val="0"/>
      <w:marRight w:val="0"/>
      <w:marTop w:val="0"/>
      <w:marBottom w:val="0"/>
      <w:divBdr>
        <w:top w:val="none" w:sz="0" w:space="0" w:color="auto"/>
        <w:left w:val="none" w:sz="0" w:space="0" w:color="auto"/>
        <w:bottom w:val="none" w:sz="0" w:space="0" w:color="auto"/>
        <w:right w:val="none" w:sz="0" w:space="0" w:color="auto"/>
      </w:divBdr>
      <w:divsChild>
        <w:div w:id="1237934986">
          <w:marLeft w:val="0"/>
          <w:marRight w:val="0"/>
          <w:marTop w:val="0"/>
          <w:marBottom w:val="0"/>
          <w:divBdr>
            <w:top w:val="none" w:sz="0" w:space="0" w:color="auto"/>
            <w:left w:val="none" w:sz="0" w:space="0" w:color="auto"/>
            <w:bottom w:val="none" w:sz="0" w:space="0" w:color="auto"/>
            <w:right w:val="none" w:sz="0" w:space="0" w:color="auto"/>
          </w:divBdr>
        </w:div>
        <w:div w:id="1294485448">
          <w:marLeft w:val="0"/>
          <w:marRight w:val="0"/>
          <w:marTop w:val="0"/>
          <w:marBottom w:val="0"/>
          <w:divBdr>
            <w:top w:val="none" w:sz="0" w:space="0" w:color="auto"/>
            <w:left w:val="none" w:sz="0" w:space="0" w:color="auto"/>
            <w:bottom w:val="none" w:sz="0" w:space="0" w:color="auto"/>
            <w:right w:val="none" w:sz="0" w:space="0" w:color="auto"/>
          </w:divBdr>
        </w:div>
        <w:div w:id="1400440239">
          <w:marLeft w:val="0"/>
          <w:marRight w:val="0"/>
          <w:marTop w:val="0"/>
          <w:marBottom w:val="0"/>
          <w:divBdr>
            <w:top w:val="none" w:sz="0" w:space="0" w:color="auto"/>
            <w:left w:val="none" w:sz="0" w:space="0" w:color="auto"/>
            <w:bottom w:val="none" w:sz="0" w:space="0" w:color="auto"/>
            <w:right w:val="none" w:sz="0" w:space="0" w:color="auto"/>
          </w:divBdr>
        </w:div>
        <w:div w:id="1630012302">
          <w:marLeft w:val="0"/>
          <w:marRight w:val="0"/>
          <w:marTop w:val="0"/>
          <w:marBottom w:val="0"/>
          <w:divBdr>
            <w:top w:val="none" w:sz="0" w:space="0" w:color="auto"/>
            <w:left w:val="none" w:sz="0" w:space="0" w:color="auto"/>
            <w:bottom w:val="none" w:sz="0" w:space="0" w:color="auto"/>
            <w:right w:val="none" w:sz="0" w:space="0" w:color="auto"/>
          </w:divBdr>
        </w:div>
        <w:div w:id="1788088440">
          <w:marLeft w:val="0"/>
          <w:marRight w:val="0"/>
          <w:marTop w:val="0"/>
          <w:marBottom w:val="0"/>
          <w:divBdr>
            <w:top w:val="none" w:sz="0" w:space="0" w:color="auto"/>
            <w:left w:val="none" w:sz="0" w:space="0" w:color="auto"/>
            <w:bottom w:val="none" w:sz="0" w:space="0" w:color="auto"/>
            <w:right w:val="none" w:sz="0" w:space="0" w:color="auto"/>
          </w:divBdr>
        </w:div>
        <w:div w:id="2050572966">
          <w:marLeft w:val="0"/>
          <w:marRight w:val="0"/>
          <w:marTop w:val="0"/>
          <w:marBottom w:val="0"/>
          <w:divBdr>
            <w:top w:val="none" w:sz="0" w:space="0" w:color="auto"/>
            <w:left w:val="none" w:sz="0" w:space="0" w:color="auto"/>
            <w:bottom w:val="none" w:sz="0" w:space="0" w:color="auto"/>
            <w:right w:val="none" w:sz="0" w:space="0" w:color="auto"/>
          </w:divBdr>
        </w:div>
      </w:divsChild>
    </w:div>
    <w:div w:id="660235416">
      <w:bodyDiv w:val="1"/>
      <w:marLeft w:val="0"/>
      <w:marRight w:val="0"/>
      <w:marTop w:val="0"/>
      <w:marBottom w:val="0"/>
      <w:divBdr>
        <w:top w:val="none" w:sz="0" w:space="0" w:color="auto"/>
        <w:left w:val="none" w:sz="0" w:space="0" w:color="auto"/>
        <w:bottom w:val="none" w:sz="0" w:space="0" w:color="auto"/>
        <w:right w:val="none" w:sz="0" w:space="0" w:color="auto"/>
      </w:divBdr>
    </w:div>
    <w:div w:id="663825960">
      <w:bodyDiv w:val="1"/>
      <w:marLeft w:val="0"/>
      <w:marRight w:val="0"/>
      <w:marTop w:val="0"/>
      <w:marBottom w:val="0"/>
      <w:divBdr>
        <w:top w:val="none" w:sz="0" w:space="0" w:color="auto"/>
        <w:left w:val="none" w:sz="0" w:space="0" w:color="auto"/>
        <w:bottom w:val="none" w:sz="0" w:space="0" w:color="auto"/>
        <w:right w:val="none" w:sz="0" w:space="0" w:color="auto"/>
      </w:divBdr>
      <w:divsChild>
        <w:div w:id="372657605">
          <w:marLeft w:val="446"/>
          <w:marRight w:val="0"/>
          <w:marTop w:val="0"/>
          <w:marBottom w:val="0"/>
          <w:divBdr>
            <w:top w:val="none" w:sz="0" w:space="0" w:color="auto"/>
            <w:left w:val="none" w:sz="0" w:space="0" w:color="auto"/>
            <w:bottom w:val="none" w:sz="0" w:space="0" w:color="auto"/>
            <w:right w:val="none" w:sz="0" w:space="0" w:color="auto"/>
          </w:divBdr>
        </w:div>
        <w:div w:id="722559653">
          <w:marLeft w:val="446"/>
          <w:marRight w:val="0"/>
          <w:marTop w:val="0"/>
          <w:marBottom w:val="0"/>
          <w:divBdr>
            <w:top w:val="none" w:sz="0" w:space="0" w:color="auto"/>
            <w:left w:val="none" w:sz="0" w:space="0" w:color="auto"/>
            <w:bottom w:val="none" w:sz="0" w:space="0" w:color="auto"/>
            <w:right w:val="none" w:sz="0" w:space="0" w:color="auto"/>
          </w:divBdr>
        </w:div>
        <w:div w:id="768040071">
          <w:marLeft w:val="446"/>
          <w:marRight w:val="0"/>
          <w:marTop w:val="0"/>
          <w:marBottom w:val="0"/>
          <w:divBdr>
            <w:top w:val="none" w:sz="0" w:space="0" w:color="auto"/>
            <w:left w:val="none" w:sz="0" w:space="0" w:color="auto"/>
            <w:bottom w:val="none" w:sz="0" w:space="0" w:color="auto"/>
            <w:right w:val="none" w:sz="0" w:space="0" w:color="auto"/>
          </w:divBdr>
        </w:div>
        <w:div w:id="1153332962">
          <w:marLeft w:val="446"/>
          <w:marRight w:val="0"/>
          <w:marTop w:val="0"/>
          <w:marBottom w:val="0"/>
          <w:divBdr>
            <w:top w:val="none" w:sz="0" w:space="0" w:color="auto"/>
            <w:left w:val="none" w:sz="0" w:space="0" w:color="auto"/>
            <w:bottom w:val="none" w:sz="0" w:space="0" w:color="auto"/>
            <w:right w:val="none" w:sz="0" w:space="0" w:color="auto"/>
          </w:divBdr>
        </w:div>
        <w:div w:id="1438599691">
          <w:marLeft w:val="446"/>
          <w:marRight w:val="0"/>
          <w:marTop w:val="0"/>
          <w:marBottom w:val="0"/>
          <w:divBdr>
            <w:top w:val="none" w:sz="0" w:space="0" w:color="auto"/>
            <w:left w:val="none" w:sz="0" w:space="0" w:color="auto"/>
            <w:bottom w:val="none" w:sz="0" w:space="0" w:color="auto"/>
            <w:right w:val="none" w:sz="0" w:space="0" w:color="auto"/>
          </w:divBdr>
        </w:div>
        <w:div w:id="1611816191">
          <w:marLeft w:val="446"/>
          <w:marRight w:val="0"/>
          <w:marTop w:val="0"/>
          <w:marBottom w:val="0"/>
          <w:divBdr>
            <w:top w:val="none" w:sz="0" w:space="0" w:color="auto"/>
            <w:left w:val="none" w:sz="0" w:space="0" w:color="auto"/>
            <w:bottom w:val="none" w:sz="0" w:space="0" w:color="auto"/>
            <w:right w:val="none" w:sz="0" w:space="0" w:color="auto"/>
          </w:divBdr>
        </w:div>
      </w:divsChild>
    </w:div>
    <w:div w:id="680746215">
      <w:bodyDiv w:val="1"/>
      <w:marLeft w:val="0"/>
      <w:marRight w:val="0"/>
      <w:marTop w:val="0"/>
      <w:marBottom w:val="0"/>
      <w:divBdr>
        <w:top w:val="none" w:sz="0" w:space="0" w:color="auto"/>
        <w:left w:val="none" w:sz="0" w:space="0" w:color="auto"/>
        <w:bottom w:val="none" w:sz="0" w:space="0" w:color="auto"/>
        <w:right w:val="none" w:sz="0" w:space="0" w:color="auto"/>
      </w:divBdr>
    </w:div>
    <w:div w:id="690499663">
      <w:bodyDiv w:val="1"/>
      <w:marLeft w:val="0"/>
      <w:marRight w:val="0"/>
      <w:marTop w:val="0"/>
      <w:marBottom w:val="0"/>
      <w:divBdr>
        <w:top w:val="none" w:sz="0" w:space="0" w:color="auto"/>
        <w:left w:val="none" w:sz="0" w:space="0" w:color="auto"/>
        <w:bottom w:val="none" w:sz="0" w:space="0" w:color="auto"/>
        <w:right w:val="none" w:sz="0" w:space="0" w:color="auto"/>
      </w:divBdr>
    </w:div>
    <w:div w:id="691420524">
      <w:bodyDiv w:val="1"/>
      <w:marLeft w:val="0"/>
      <w:marRight w:val="0"/>
      <w:marTop w:val="0"/>
      <w:marBottom w:val="0"/>
      <w:divBdr>
        <w:top w:val="none" w:sz="0" w:space="0" w:color="auto"/>
        <w:left w:val="none" w:sz="0" w:space="0" w:color="auto"/>
        <w:bottom w:val="none" w:sz="0" w:space="0" w:color="auto"/>
        <w:right w:val="none" w:sz="0" w:space="0" w:color="auto"/>
      </w:divBdr>
    </w:div>
    <w:div w:id="769815487">
      <w:bodyDiv w:val="1"/>
      <w:marLeft w:val="0"/>
      <w:marRight w:val="0"/>
      <w:marTop w:val="0"/>
      <w:marBottom w:val="0"/>
      <w:divBdr>
        <w:top w:val="none" w:sz="0" w:space="0" w:color="auto"/>
        <w:left w:val="none" w:sz="0" w:space="0" w:color="auto"/>
        <w:bottom w:val="none" w:sz="0" w:space="0" w:color="auto"/>
        <w:right w:val="none" w:sz="0" w:space="0" w:color="auto"/>
      </w:divBdr>
      <w:divsChild>
        <w:div w:id="32728212">
          <w:marLeft w:val="0"/>
          <w:marRight w:val="0"/>
          <w:marTop w:val="0"/>
          <w:marBottom w:val="0"/>
          <w:divBdr>
            <w:top w:val="none" w:sz="0" w:space="0" w:color="auto"/>
            <w:left w:val="none" w:sz="0" w:space="0" w:color="auto"/>
            <w:bottom w:val="none" w:sz="0" w:space="0" w:color="auto"/>
            <w:right w:val="none" w:sz="0" w:space="0" w:color="auto"/>
          </w:divBdr>
        </w:div>
        <w:div w:id="55397076">
          <w:marLeft w:val="0"/>
          <w:marRight w:val="0"/>
          <w:marTop w:val="0"/>
          <w:marBottom w:val="0"/>
          <w:divBdr>
            <w:top w:val="none" w:sz="0" w:space="0" w:color="auto"/>
            <w:left w:val="none" w:sz="0" w:space="0" w:color="auto"/>
            <w:bottom w:val="none" w:sz="0" w:space="0" w:color="auto"/>
            <w:right w:val="none" w:sz="0" w:space="0" w:color="auto"/>
          </w:divBdr>
          <w:divsChild>
            <w:div w:id="2073111725">
              <w:marLeft w:val="-75"/>
              <w:marRight w:val="0"/>
              <w:marTop w:val="30"/>
              <w:marBottom w:val="30"/>
              <w:divBdr>
                <w:top w:val="none" w:sz="0" w:space="0" w:color="auto"/>
                <w:left w:val="none" w:sz="0" w:space="0" w:color="auto"/>
                <w:bottom w:val="none" w:sz="0" w:space="0" w:color="auto"/>
                <w:right w:val="none" w:sz="0" w:space="0" w:color="auto"/>
              </w:divBdr>
              <w:divsChild>
                <w:div w:id="45107110">
                  <w:marLeft w:val="0"/>
                  <w:marRight w:val="0"/>
                  <w:marTop w:val="0"/>
                  <w:marBottom w:val="0"/>
                  <w:divBdr>
                    <w:top w:val="none" w:sz="0" w:space="0" w:color="auto"/>
                    <w:left w:val="none" w:sz="0" w:space="0" w:color="auto"/>
                    <w:bottom w:val="none" w:sz="0" w:space="0" w:color="auto"/>
                    <w:right w:val="none" w:sz="0" w:space="0" w:color="auto"/>
                  </w:divBdr>
                  <w:divsChild>
                    <w:div w:id="1306735505">
                      <w:marLeft w:val="0"/>
                      <w:marRight w:val="0"/>
                      <w:marTop w:val="0"/>
                      <w:marBottom w:val="0"/>
                      <w:divBdr>
                        <w:top w:val="none" w:sz="0" w:space="0" w:color="auto"/>
                        <w:left w:val="none" w:sz="0" w:space="0" w:color="auto"/>
                        <w:bottom w:val="none" w:sz="0" w:space="0" w:color="auto"/>
                        <w:right w:val="none" w:sz="0" w:space="0" w:color="auto"/>
                      </w:divBdr>
                    </w:div>
                    <w:div w:id="1417752809">
                      <w:marLeft w:val="0"/>
                      <w:marRight w:val="0"/>
                      <w:marTop w:val="0"/>
                      <w:marBottom w:val="0"/>
                      <w:divBdr>
                        <w:top w:val="none" w:sz="0" w:space="0" w:color="auto"/>
                        <w:left w:val="none" w:sz="0" w:space="0" w:color="auto"/>
                        <w:bottom w:val="none" w:sz="0" w:space="0" w:color="auto"/>
                        <w:right w:val="none" w:sz="0" w:space="0" w:color="auto"/>
                      </w:divBdr>
                    </w:div>
                    <w:div w:id="1812481221">
                      <w:marLeft w:val="0"/>
                      <w:marRight w:val="0"/>
                      <w:marTop w:val="0"/>
                      <w:marBottom w:val="0"/>
                      <w:divBdr>
                        <w:top w:val="none" w:sz="0" w:space="0" w:color="auto"/>
                        <w:left w:val="none" w:sz="0" w:space="0" w:color="auto"/>
                        <w:bottom w:val="none" w:sz="0" w:space="0" w:color="auto"/>
                        <w:right w:val="none" w:sz="0" w:space="0" w:color="auto"/>
                      </w:divBdr>
                    </w:div>
                  </w:divsChild>
                </w:div>
                <w:div w:id="218632853">
                  <w:marLeft w:val="0"/>
                  <w:marRight w:val="0"/>
                  <w:marTop w:val="0"/>
                  <w:marBottom w:val="0"/>
                  <w:divBdr>
                    <w:top w:val="none" w:sz="0" w:space="0" w:color="auto"/>
                    <w:left w:val="none" w:sz="0" w:space="0" w:color="auto"/>
                    <w:bottom w:val="none" w:sz="0" w:space="0" w:color="auto"/>
                    <w:right w:val="none" w:sz="0" w:space="0" w:color="auto"/>
                  </w:divBdr>
                  <w:divsChild>
                    <w:div w:id="1253006229">
                      <w:marLeft w:val="0"/>
                      <w:marRight w:val="0"/>
                      <w:marTop w:val="0"/>
                      <w:marBottom w:val="0"/>
                      <w:divBdr>
                        <w:top w:val="none" w:sz="0" w:space="0" w:color="auto"/>
                        <w:left w:val="none" w:sz="0" w:space="0" w:color="auto"/>
                        <w:bottom w:val="none" w:sz="0" w:space="0" w:color="auto"/>
                        <w:right w:val="none" w:sz="0" w:space="0" w:color="auto"/>
                      </w:divBdr>
                    </w:div>
                  </w:divsChild>
                </w:div>
                <w:div w:id="455292145">
                  <w:marLeft w:val="0"/>
                  <w:marRight w:val="0"/>
                  <w:marTop w:val="0"/>
                  <w:marBottom w:val="0"/>
                  <w:divBdr>
                    <w:top w:val="none" w:sz="0" w:space="0" w:color="auto"/>
                    <w:left w:val="none" w:sz="0" w:space="0" w:color="auto"/>
                    <w:bottom w:val="none" w:sz="0" w:space="0" w:color="auto"/>
                    <w:right w:val="none" w:sz="0" w:space="0" w:color="auto"/>
                  </w:divBdr>
                  <w:divsChild>
                    <w:div w:id="2092579454">
                      <w:marLeft w:val="0"/>
                      <w:marRight w:val="0"/>
                      <w:marTop w:val="0"/>
                      <w:marBottom w:val="0"/>
                      <w:divBdr>
                        <w:top w:val="none" w:sz="0" w:space="0" w:color="auto"/>
                        <w:left w:val="none" w:sz="0" w:space="0" w:color="auto"/>
                        <w:bottom w:val="none" w:sz="0" w:space="0" w:color="auto"/>
                        <w:right w:val="none" w:sz="0" w:space="0" w:color="auto"/>
                      </w:divBdr>
                    </w:div>
                  </w:divsChild>
                </w:div>
                <w:div w:id="1231842994">
                  <w:marLeft w:val="0"/>
                  <w:marRight w:val="0"/>
                  <w:marTop w:val="0"/>
                  <w:marBottom w:val="0"/>
                  <w:divBdr>
                    <w:top w:val="none" w:sz="0" w:space="0" w:color="auto"/>
                    <w:left w:val="none" w:sz="0" w:space="0" w:color="auto"/>
                    <w:bottom w:val="none" w:sz="0" w:space="0" w:color="auto"/>
                    <w:right w:val="none" w:sz="0" w:space="0" w:color="auto"/>
                  </w:divBdr>
                  <w:divsChild>
                    <w:div w:id="387653645">
                      <w:marLeft w:val="0"/>
                      <w:marRight w:val="0"/>
                      <w:marTop w:val="0"/>
                      <w:marBottom w:val="0"/>
                      <w:divBdr>
                        <w:top w:val="none" w:sz="0" w:space="0" w:color="auto"/>
                        <w:left w:val="none" w:sz="0" w:space="0" w:color="auto"/>
                        <w:bottom w:val="none" w:sz="0" w:space="0" w:color="auto"/>
                        <w:right w:val="none" w:sz="0" w:space="0" w:color="auto"/>
                      </w:divBdr>
                    </w:div>
                    <w:div w:id="598761686">
                      <w:marLeft w:val="0"/>
                      <w:marRight w:val="0"/>
                      <w:marTop w:val="0"/>
                      <w:marBottom w:val="0"/>
                      <w:divBdr>
                        <w:top w:val="none" w:sz="0" w:space="0" w:color="auto"/>
                        <w:left w:val="none" w:sz="0" w:space="0" w:color="auto"/>
                        <w:bottom w:val="none" w:sz="0" w:space="0" w:color="auto"/>
                        <w:right w:val="none" w:sz="0" w:space="0" w:color="auto"/>
                      </w:divBdr>
                    </w:div>
                    <w:div w:id="608245206">
                      <w:marLeft w:val="0"/>
                      <w:marRight w:val="0"/>
                      <w:marTop w:val="0"/>
                      <w:marBottom w:val="0"/>
                      <w:divBdr>
                        <w:top w:val="none" w:sz="0" w:space="0" w:color="auto"/>
                        <w:left w:val="none" w:sz="0" w:space="0" w:color="auto"/>
                        <w:bottom w:val="none" w:sz="0" w:space="0" w:color="auto"/>
                        <w:right w:val="none" w:sz="0" w:space="0" w:color="auto"/>
                      </w:divBdr>
                    </w:div>
                  </w:divsChild>
                </w:div>
                <w:div w:id="1245912820">
                  <w:marLeft w:val="0"/>
                  <w:marRight w:val="0"/>
                  <w:marTop w:val="0"/>
                  <w:marBottom w:val="0"/>
                  <w:divBdr>
                    <w:top w:val="none" w:sz="0" w:space="0" w:color="auto"/>
                    <w:left w:val="none" w:sz="0" w:space="0" w:color="auto"/>
                    <w:bottom w:val="none" w:sz="0" w:space="0" w:color="auto"/>
                    <w:right w:val="none" w:sz="0" w:space="0" w:color="auto"/>
                  </w:divBdr>
                  <w:divsChild>
                    <w:div w:id="1698777796">
                      <w:marLeft w:val="0"/>
                      <w:marRight w:val="0"/>
                      <w:marTop w:val="0"/>
                      <w:marBottom w:val="0"/>
                      <w:divBdr>
                        <w:top w:val="none" w:sz="0" w:space="0" w:color="auto"/>
                        <w:left w:val="none" w:sz="0" w:space="0" w:color="auto"/>
                        <w:bottom w:val="none" w:sz="0" w:space="0" w:color="auto"/>
                        <w:right w:val="none" w:sz="0" w:space="0" w:color="auto"/>
                      </w:divBdr>
                    </w:div>
                    <w:div w:id="1780024445">
                      <w:marLeft w:val="0"/>
                      <w:marRight w:val="0"/>
                      <w:marTop w:val="0"/>
                      <w:marBottom w:val="0"/>
                      <w:divBdr>
                        <w:top w:val="none" w:sz="0" w:space="0" w:color="auto"/>
                        <w:left w:val="none" w:sz="0" w:space="0" w:color="auto"/>
                        <w:bottom w:val="none" w:sz="0" w:space="0" w:color="auto"/>
                        <w:right w:val="none" w:sz="0" w:space="0" w:color="auto"/>
                      </w:divBdr>
                    </w:div>
                  </w:divsChild>
                </w:div>
                <w:div w:id="2109039222">
                  <w:marLeft w:val="0"/>
                  <w:marRight w:val="0"/>
                  <w:marTop w:val="0"/>
                  <w:marBottom w:val="0"/>
                  <w:divBdr>
                    <w:top w:val="none" w:sz="0" w:space="0" w:color="auto"/>
                    <w:left w:val="none" w:sz="0" w:space="0" w:color="auto"/>
                    <w:bottom w:val="none" w:sz="0" w:space="0" w:color="auto"/>
                    <w:right w:val="none" w:sz="0" w:space="0" w:color="auto"/>
                  </w:divBdr>
                  <w:divsChild>
                    <w:div w:id="1172722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09948">
          <w:marLeft w:val="0"/>
          <w:marRight w:val="0"/>
          <w:marTop w:val="0"/>
          <w:marBottom w:val="0"/>
          <w:divBdr>
            <w:top w:val="none" w:sz="0" w:space="0" w:color="auto"/>
            <w:left w:val="none" w:sz="0" w:space="0" w:color="auto"/>
            <w:bottom w:val="none" w:sz="0" w:space="0" w:color="auto"/>
            <w:right w:val="none" w:sz="0" w:space="0" w:color="auto"/>
          </w:divBdr>
        </w:div>
        <w:div w:id="90783959">
          <w:marLeft w:val="0"/>
          <w:marRight w:val="0"/>
          <w:marTop w:val="0"/>
          <w:marBottom w:val="0"/>
          <w:divBdr>
            <w:top w:val="none" w:sz="0" w:space="0" w:color="auto"/>
            <w:left w:val="none" w:sz="0" w:space="0" w:color="auto"/>
            <w:bottom w:val="none" w:sz="0" w:space="0" w:color="auto"/>
            <w:right w:val="none" w:sz="0" w:space="0" w:color="auto"/>
          </w:divBdr>
        </w:div>
        <w:div w:id="182479004">
          <w:marLeft w:val="0"/>
          <w:marRight w:val="0"/>
          <w:marTop w:val="0"/>
          <w:marBottom w:val="0"/>
          <w:divBdr>
            <w:top w:val="none" w:sz="0" w:space="0" w:color="auto"/>
            <w:left w:val="none" w:sz="0" w:space="0" w:color="auto"/>
            <w:bottom w:val="none" w:sz="0" w:space="0" w:color="auto"/>
            <w:right w:val="none" w:sz="0" w:space="0" w:color="auto"/>
          </w:divBdr>
        </w:div>
        <w:div w:id="305821055">
          <w:marLeft w:val="0"/>
          <w:marRight w:val="0"/>
          <w:marTop w:val="0"/>
          <w:marBottom w:val="0"/>
          <w:divBdr>
            <w:top w:val="none" w:sz="0" w:space="0" w:color="auto"/>
            <w:left w:val="none" w:sz="0" w:space="0" w:color="auto"/>
            <w:bottom w:val="none" w:sz="0" w:space="0" w:color="auto"/>
            <w:right w:val="none" w:sz="0" w:space="0" w:color="auto"/>
          </w:divBdr>
        </w:div>
        <w:div w:id="319118417">
          <w:marLeft w:val="0"/>
          <w:marRight w:val="0"/>
          <w:marTop w:val="0"/>
          <w:marBottom w:val="0"/>
          <w:divBdr>
            <w:top w:val="none" w:sz="0" w:space="0" w:color="auto"/>
            <w:left w:val="none" w:sz="0" w:space="0" w:color="auto"/>
            <w:bottom w:val="none" w:sz="0" w:space="0" w:color="auto"/>
            <w:right w:val="none" w:sz="0" w:space="0" w:color="auto"/>
          </w:divBdr>
        </w:div>
        <w:div w:id="331416611">
          <w:marLeft w:val="0"/>
          <w:marRight w:val="0"/>
          <w:marTop w:val="0"/>
          <w:marBottom w:val="0"/>
          <w:divBdr>
            <w:top w:val="none" w:sz="0" w:space="0" w:color="auto"/>
            <w:left w:val="none" w:sz="0" w:space="0" w:color="auto"/>
            <w:bottom w:val="none" w:sz="0" w:space="0" w:color="auto"/>
            <w:right w:val="none" w:sz="0" w:space="0" w:color="auto"/>
          </w:divBdr>
        </w:div>
        <w:div w:id="499151957">
          <w:marLeft w:val="0"/>
          <w:marRight w:val="0"/>
          <w:marTop w:val="0"/>
          <w:marBottom w:val="0"/>
          <w:divBdr>
            <w:top w:val="none" w:sz="0" w:space="0" w:color="auto"/>
            <w:left w:val="none" w:sz="0" w:space="0" w:color="auto"/>
            <w:bottom w:val="none" w:sz="0" w:space="0" w:color="auto"/>
            <w:right w:val="none" w:sz="0" w:space="0" w:color="auto"/>
          </w:divBdr>
        </w:div>
        <w:div w:id="533857581">
          <w:marLeft w:val="0"/>
          <w:marRight w:val="0"/>
          <w:marTop w:val="0"/>
          <w:marBottom w:val="0"/>
          <w:divBdr>
            <w:top w:val="none" w:sz="0" w:space="0" w:color="auto"/>
            <w:left w:val="none" w:sz="0" w:space="0" w:color="auto"/>
            <w:bottom w:val="none" w:sz="0" w:space="0" w:color="auto"/>
            <w:right w:val="none" w:sz="0" w:space="0" w:color="auto"/>
          </w:divBdr>
        </w:div>
        <w:div w:id="560213357">
          <w:marLeft w:val="0"/>
          <w:marRight w:val="0"/>
          <w:marTop w:val="0"/>
          <w:marBottom w:val="0"/>
          <w:divBdr>
            <w:top w:val="none" w:sz="0" w:space="0" w:color="auto"/>
            <w:left w:val="none" w:sz="0" w:space="0" w:color="auto"/>
            <w:bottom w:val="none" w:sz="0" w:space="0" w:color="auto"/>
            <w:right w:val="none" w:sz="0" w:space="0" w:color="auto"/>
          </w:divBdr>
          <w:divsChild>
            <w:div w:id="1009794073">
              <w:marLeft w:val="-75"/>
              <w:marRight w:val="0"/>
              <w:marTop w:val="30"/>
              <w:marBottom w:val="30"/>
              <w:divBdr>
                <w:top w:val="none" w:sz="0" w:space="0" w:color="auto"/>
                <w:left w:val="none" w:sz="0" w:space="0" w:color="auto"/>
                <w:bottom w:val="none" w:sz="0" w:space="0" w:color="auto"/>
                <w:right w:val="none" w:sz="0" w:space="0" w:color="auto"/>
              </w:divBdr>
              <w:divsChild>
                <w:div w:id="43457019">
                  <w:marLeft w:val="0"/>
                  <w:marRight w:val="0"/>
                  <w:marTop w:val="0"/>
                  <w:marBottom w:val="0"/>
                  <w:divBdr>
                    <w:top w:val="none" w:sz="0" w:space="0" w:color="auto"/>
                    <w:left w:val="none" w:sz="0" w:space="0" w:color="auto"/>
                    <w:bottom w:val="none" w:sz="0" w:space="0" w:color="auto"/>
                    <w:right w:val="none" w:sz="0" w:space="0" w:color="auto"/>
                  </w:divBdr>
                  <w:divsChild>
                    <w:div w:id="291713334">
                      <w:marLeft w:val="0"/>
                      <w:marRight w:val="0"/>
                      <w:marTop w:val="0"/>
                      <w:marBottom w:val="0"/>
                      <w:divBdr>
                        <w:top w:val="none" w:sz="0" w:space="0" w:color="auto"/>
                        <w:left w:val="none" w:sz="0" w:space="0" w:color="auto"/>
                        <w:bottom w:val="none" w:sz="0" w:space="0" w:color="auto"/>
                        <w:right w:val="none" w:sz="0" w:space="0" w:color="auto"/>
                      </w:divBdr>
                    </w:div>
                  </w:divsChild>
                </w:div>
                <w:div w:id="274603587">
                  <w:marLeft w:val="0"/>
                  <w:marRight w:val="0"/>
                  <w:marTop w:val="0"/>
                  <w:marBottom w:val="0"/>
                  <w:divBdr>
                    <w:top w:val="none" w:sz="0" w:space="0" w:color="auto"/>
                    <w:left w:val="none" w:sz="0" w:space="0" w:color="auto"/>
                    <w:bottom w:val="none" w:sz="0" w:space="0" w:color="auto"/>
                    <w:right w:val="none" w:sz="0" w:space="0" w:color="auto"/>
                  </w:divBdr>
                  <w:divsChild>
                    <w:div w:id="839779035">
                      <w:marLeft w:val="0"/>
                      <w:marRight w:val="0"/>
                      <w:marTop w:val="0"/>
                      <w:marBottom w:val="0"/>
                      <w:divBdr>
                        <w:top w:val="none" w:sz="0" w:space="0" w:color="auto"/>
                        <w:left w:val="none" w:sz="0" w:space="0" w:color="auto"/>
                        <w:bottom w:val="none" w:sz="0" w:space="0" w:color="auto"/>
                        <w:right w:val="none" w:sz="0" w:space="0" w:color="auto"/>
                      </w:divBdr>
                    </w:div>
                  </w:divsChild>
                </w:div>
                <w:div w:id="292905601">
                  <w:marLeft w:val="0"/>
                  <w:marRight w:val="0"/>
                  <w:marTop w:val="0"/>
                  <w:marBottom w:val="0"/>
                  <w:divBdr>
                    <w:top w:val="none" w:sz="0" w:space="0" w:color="auto"/>
                    <w:left w:val="none" w:sz="0" w:space="0" w:color="auto"/>
                    <w:bottom w:val="none" w:sz="0" w:space="0" w:color="auto"/>
                    <w:right w:val="none" w:sz="0" w:space="0" w:color="auto"/>
                  </w:divBdr>
                  <w:divsChild>
                    <w:div w:id="1733507210">
                      <w:marLeft w:val="0"/>
                      <w:marRight w:val="0"/>
                      <w:marTop w:val="0"/>
                      <w:marBottom w:val="0"/>
                      <w:divBdr>
                        <w:top w:val="none" w:sz="0" w:space="0" w:color="auto"/>
                        <w:left w:val="none" w:sz="0" w:space="0" w:color="auto"/>
                        <w:bottom w:val="none" w:sz="0" w:space="0" w:color="auto"/>
                        <w:right w:val="none" w:sz="0" w:space="0" w:color="auto"/>
                      </w:divBdr>
                    </w:div>
                  </w:divsChild>
                </w:div>
                <w:div w:id="701829523">
                  <w:marLeft w:val="0"/>
                  <w:marRight w:val="0"/>
                  <w:marTop w:val="0"/>
                  <w:marBottom w:val="0"/>
                  <w:divBdr>
                    <w:top w:val="none" w:sz="0" w:space="0" w:color="auto"/>
                    <w:left w:val="none" w:sz="0" w:space="0" w:color="auto"/>
                    <w:bottom w:val="none" w:sz="0" w:space="0" w:color="auto"/>
                    <w:right w:val="none" w:sz="0" w:space="0" w:color="auto"/>
                  </w:divBdr>
                  <w:divsChild>
                    <w:div w:id="1019307977">
                      <w:marLeft w:val="0"/>
                      <w:marRight w:val="0"/>
                      <w:marTop w:val="0"/>
                      <w:marBottom w:val="0"/>
                      <w:divBdr>
                        <w:top w:val="none" w:sz="0" w:space="0" w:color="auto"/>
                        <w:left w:val="none" w:sz="0" w:space="0" w:color="auto"/>
                        <w:bottom w:val="none" w:sz="0" w:space="0" w:color="auto"/>
                        <w:right w:val="none" w:sz="0" w:space="0" w:color="auto"/>
                      </w:divBdr>
                    </w:div>
                  </w:divsChild>
                </w:div>
                <w:div w:id="913201633">
                  <w:marLeft w:val="0"/>
                  <w:marRight w:val="0"/>
                  <w:marTop w:val="0"/>
                  <w:marBottom w:val="0"/>
                  <w:divBdr>
                    <w:top w:val="none" w:sz="0" w:space="0" w:color="auto"/>
                    <w:left w:val="none" w:sz="0" w:space="0" w:color="auto"/>
                    <w:bottom w:val="none" w:sz="0" w:space="0" w:color="auto"/>
                    <w:right w:val="none" w:sz="0" w:space="0" w:color="auto"/>
                  </w:divBdr>
                  <w:divsChild>
                    <w:div w:id="337079045">
                      <w:marLeft w:val="0"/>
                      <w:marRight w:val="0"/>
                      <w:marTop w:val="0"/>
                      <w:marBottom w:val="0"/>
                      <w:divBdr>
                        <w:top w:val="none" w:sz="0" w:space="0" w:color="auto"/>
                        <w:left w:val="none" w:sz="0" w:space="0" w:color="auto"/>
                        <w:bottom w:val="none" w:sz="0" w:space="0" w:color="auto"/>
                        <w:right w:val="none" w:sz="0" w:space="0" w:color="auto"/>
                      </w:divBdr>
                    </w:div>
                  </w:divsChild>
                </w:div>
                <w:div w:id="944843569">
                  <w:marLeft w:val="0"/>
                  <w:marRight w:val="0"/>
                  <w:marTop w:val="0"/>
                  <w:marBottom w:val="0"/>
                  <w:divBdr>
                    <w:top w:val="none" w:sz="0" w:space="0" w:color="auto"/>
                    <w:left w:val="none" w:sz="0" w:space="0" w:color="auto"/>
                    <w:bottom w:val="none" w:sz="0" w:space="0" w:color="auto"/>
                    <w:right w:val="none" w:sz="0" w:space="0" w:color="auto"/>
                  </w:divBdr>
                  <w:divsChild>
                    <w:div w:id="979505018">
                      <w:marLeft w:val="0"/>
                      <w:marRight w:val="0"/>
                      <w:marTop w:val="0"/>
                      <w:marBottom w:val="0"/>
                      <w:divBdr>
                        <w:top w:val="none" w:sz="0" w:space="0" w:color="auto"/>
                        <w:left w:val="none" w:sz="0" w:space="0" w:color="auto"/>
                        <w:bottom w:val="none" w:sz="0" w:space="0" w:color="auto"/>
                        <w:right w:val="none" w:sz="0" w:space="0" w:color="auto"/>
                      </w:divBdr>
                    </w:div>
                  </w:divsChild>
                </w:div>
                <w:div w:id="988629209">
                  <w:marLeft w:val="0"/>
                  <w:marRight w:val="0"/>
                  <w:marTop w:val="0"/>
                  <w:marBottom w:val="0"/>
                  <w:divBdr>
                    <w:top w:val="none" w:sz="0" w:space="0" w:color="auto"/>
                    <w:left w:val="none" w:sz="0" w:space="0" w:color="auto"/>
                    <w:bottom w:val="none" w:sz="0" w:space="0" w:color="auto"/>
                    <w:right w:val="none" w:sz="0" w:space="0" w:color="auto"/>
                  </w:divBdr>
                  <w:divsChild>
                    <w:div w:id="1339890998">
                      <w:marLeft w:val="0"/>
                      <w:marRight w:val="0"/>
                      <w:marTop w:val="0"/>
                      <w:marBottom w:val="0"/>
                      <w:divBdr>
                        <w:top w:val="none" w:sz="0" w:space="0" w:color="auto"/>
                        <w:left w:val="none" w:sz="0" w:space="0" w:color="auto"/>
                        <w:bottom w:val="none" w:sz="0" w:space="0" w:color="auto"/>
                        <w:right w:val="none" w:sz="0" w:space="0" w:color="auto"/>
                      </w:divBdr>
                    </w:div>
                  </w:divsChild>
                </w:div>
                <w:div w:id="1299650778">
                  <w:marLeft w:val="0"/>
                  <w:marRight w:val="0"/>
                  <w:marTop w:val="0"/>
                  <w:marBottom w:val="0"/>
                  <w:divBdr>
                    <w:top w:val="none" w:sz="0" w:space="0" w:color="auto"/>
                    <w:left w:val="none" w:sz="0" w:space="0" w:color="auto"/>
                    <w:bottom w:val="none" w:sz="0" w:space="0" w:color="auto"/>
                    <w:right w:val="none" w:sz="0" w:space="0" w:color="auto"/>
                  </w:divBdr>
                  <w:divsChild>
                    <w:div w:id="965281784">
                      <w:marLeft w:val="0"/>
                      <w:marRight w:val="0"/>
                      <w:marTop w:val="0"/>
                      <w:marBottom w:val="0"/>
                      <w:divBdr>
                        <w:top w:val="none" w:sz="0" w:space="0" w:color="auto"/>
                        <w:left w:val="none" w:sz="0" w:space="0" w:color="auto"/>
                        <w:bottom w:val="none" w:sz="0" w:space="0" w:color="auto"/>
                        <w:right w:val="none" w:sz="0" w:space="0" w:color="auto"/>
                      </w:divBdr>
                    </w:div>
                  </w:divsChild>
                </w:div>
                <w:div w:id="1349871771">
                  <w:marLeft w:val="0"/>
                  <w:marRight w:val="0"/>
                  <w:marTop w:val="0"/>
                  <w:marBottom w:val="0"/>
                  <w:divBdr>
                    <w:top w:val="none" w:sz="0" w:space="0" w:color="auto"/>
                    <w:left w:val="none" w:sz="0" w:space="0" w:color="auto"/>
                    <w:bottom w:val="none" w:sz="0" w:space="0" w:color="auto"/>
                    <w:right w:val="none" w:sz="0" w:space="0" w:color="auto"/>
                  </w:divBdr>
                  <w:divsChild>
                    <w:div w:id="1960606127">
                      <w:marLeft w:val="0"/>
                      <w:marRight w:val="0"/>
                      <w:marTop w:val="0"/>
                      <w:marBottom w:val="0"/>
                      <w:divBdr>
                        <w:top w:val="none" w:sz="0" w:space="0" w:color="auto"/>
                        <w:left w:val="none" w:sz="0" w:space="0" w:color="auto"/>
                        <w:bottom w:val="none" w:sz="0" w:space="0" w:color="auto"/>
                        <w:right w:val="none" w:sz="0" w:space="0" w:color="auto"/>
                      </w:divBdr>
                    </w:div>
                  </w:divsChild>
                </w:div>
                <w:div w:id="1455128536">
                  <w:marLeft w:val="0"/>
                  <w:marRight w:val="0"/>
                  <w:marTop w:val="0"/>
                  <w:marBottom w:val="0"/>
                  <w:divBdr>
                    <w:top w:val="none" w:sz="0" w:space="0" w:color="auto"/>
                    <w:left w:val="none" w:sz="0" w:space="0" w:color="auto"/>
                    <w:bottom w:val="none" w:sz="0" w:space="0" w:color="auto"/>
                    <w:right w:val="none" w:sz="0" w:space="0" w:color="auto"/>
                  </w:divBdr>
                  <w:divsChild>
                    <w:div w:id="57900203">
                      <w:marLeft w:val="0"/>
                      <w:marRight w:val="0"/>
                      <w:marTop w:val="0"/>
                      <w:marBottom w:val="0"/>
                      <w:divBdr>
                        <w:top w:val="none" w:sz="0" w:space="0" w:color="auto"/>
                        <w:left w:val="none" w:sz="0" w:space="0" w:color="auto"/>
                        <w:bottom w:val="none" w:sz="0" w:space="0" w:color="auto"/>
                        <w:right w:val="none" w:sz="0" w:space="0" w:color="auto"/>
                      </w:divBdr>
                    </w:div>
                  </w:divsChild>
                </w:div>
                <w:div w:id="1481967471">
                  <w:marLeft w:val="0"/>
                  <w:marRight w:val="0"/>
                  <w:marTop w:val="0"/>
                  <w:marBottom w:val="0"/>
                  <w:divBdr>
                    <w:top w:val="none" w:sz="0" w:space="0" w:color="auto"/>
                    <w:left w:val="none" w:sz="0" w:space="0" w:color="auto"/>
                    <w:bottom w:val="none" w:sz="0" w:space="0" w:color="auto"/>
                    <w:right w:val="none" w:sz="0" w:space="0" w:color="auto"/>
                  </w:divBdr>
                  <w:divsChild>
                    <w:div w:id="1564293513">
                      <w:marLeft w:val="0"/>
                      <w:marRight w:val="0"/>
                      <w:marTop w:val="0"/>
                      <w:marBottom w:val="0"/>
                      <w:divBdr>
                        <w:top w:val="none" w:sz="0" w:space="0" w:color="auto"/>
                        <w:left w:val="none" w:sz="0" w:space="0" w:color="auto"/>
                        <w:bottom w:val="none" w:sz="0" w:space="0" w:color="auto"/>
                        <w:right w:val="none" w:sz="0" w:space="0" w:color="auto"/>
                      </w:divBdr>
                    </w:div>
                  </w:divsChild>
                </w:div>
                <w:div w:id="1507404166">
                  <w:marLeft w:val="0"/>
                  <w:marRight w:val="0"/>
                  <w:marTop w:val="0"/>
                  <w:marBottom w:val="0"/>
                  <w:divBdr>
                    <w:top w:val="none" w:sz="0" w:space="0" w:color="auto"/>
                    <w:left w:val="none" w:sz="0" w:space="0" w:color="auto"/>
                    <w:bottom w:val="none" w:sz="0" w:space="0" w:color="auto"/>
                    <w:right w:val="none" w:sz="0" w:space="0" w:color="auto"/>
                  </w:divBdr>
                  <w:divsChild>
                    <w:div w:id="957377506">
                      <w:marLeft w:val="0"/>
                      <w:marRight w:val="0"/>
                      <w:marTop w:val="0"/>
                      <w:marBottom w:val="0"/>
                      <w:divBdr>
                        <w:top w:val="none" w:sz="0" w:space="0" w:color="auto"/>
                        <w:left w:val="none" w:sz="0" w:space="0" w:color="auto"/>
                        <w:bottom w:val="none" w:sz="0" w:space="0" w:color="auto"/>
                        <w:right w:val="none" w:sz="0" w:space="0" w:color="auto"/>
                      </w:divBdr>
                    </w:div>
                  </w:divsChild>
                </w:div>
                <w:div w:id="1508442399">
                  <w:marLeft w:val="0"/>
                  <w:marRight w:val="0"/>
                  <w:marTop w:val="0"/>
                  <w:marBottom w:val="0"/>
                  <w:divBdr>
                    <w:top w:val="none" w:sz="0" w:space="0" w:color="auto"/>
                    <w:left w:val="none" w:sz="0" w:space="0" w:color="auto"/>
                    <w:bottom w:val="none" w:sz="0" w:space="0" w:color="auto"/>
                    <w:right w:val="none" w:sz="0" w:space="0" w:color="auto"/>
                  </w:divBdr>
                  <w:divsChild>
                    <w:div w:id="2752764">
                      <w:marLeft w:val="0"/>
                      <w:marRight w:val="0"/>
                      <w:marTop w:val="0"/>
                      <w:marBottom w:val="0"/>
                      <w:divBdr>
                        <w:top w:val="none" w:sz="0" w:space="0" w:color="auto"/>
                        <w:left w:val="none" w:sz="0" w:space="0" w:color="auto"/>
                        <w:bottom w:val="none" w:sz="0" w:space="0" w:color="auto"/>
                        <w:right w:val="none" w:sz="0" w:space="0" w:color="auto"/>
                      </w:divBdr>
                    </w:div>
                  </w:divsChild>
                </w:div>
                <w:div w:id="1547449755">
                  <w:marLeft w:val="0"/>
                  <w:marRight w:val="0"/>
                  <w:marTop w:val="0"/>
                  <w:marBottom w:val="0"/>
                  <w:divBdr>
                    <w:top w:val="none" w:sz="0" w:space="0" w:color="auto"/>
                    <w:left w:val="none" w:sz="0" w:space="0" w:color="auto"/>
                    <w:bottom w:val="none" w:sz="0" w:space="0" w:color="auto"/>
                    <w:right w:val="none" w:sz="0" w:space="0" w:color="auto"/>
                  </w:divBdr>
                  <w:divsChild>
                    <w:div w:id="1643148595">
                      <w:marLeft w:val="0"/>
                      <w:marRight w:val="0"/>
                      <w:marTop w:val="0"/>
                      <w:marBottom w:val="0"/>
                      <w:divBdr>
                        <w:top w:val="none" w:sz="0" w:space="0" w:color="auto"/>
                        <w:left w:val="none" w:sz="0" w:space="0" w:color="auto"/>
                        <w:bottom w:val="none" w:sz="0" w:space="0" w:color="auto"/>
                        <w:right w:val="none" w:sz="0" w:space="0" w:color="auto"/>
                      </w:divBdr>
                    </w:div>
                  </w:divsChild>
                </w:div>
                <w:div w:id="1615362316">
                  <w:marLeft w:val="0"/>
                  <w:marRight w:val="0"/>
                  <w:marTop w:val="0"/>
                  <w:marBottom w:val="0"/>
                  <w:divBdr>
                    <w:top w:val="none" w:sz="0" w:space="0" w:color="auto"/>
                    <w:left w:val="none" w:sz="0" w:space="0" w:color="auto"/>
                    <w:bottom w:val="none" w:sz="0" w:space="0" w:color="auto"/>
                    <w:right w:val="none" w:sz="0" w:space="0" w:color="auto"/>
                  </w:divBdr>
                  <w:divsChild>
                    <w:div w:id="791436517">
                      <w:marLeft w:val="0"/>
                      <w:marRight w:val="0"/>
                      <w:marTop w:val="0"/>
                      <w:marBottom w:val="0"/>
                      <w:divBdr>
                        <w:top w:val="none" w:sz="0" w:space="0" w:color="auto"/>
                        <w:left w:val="none" w:sz="0" w:space="0" w:color="auto"/>
                        <w:bottom w:val="none" w:sz="0" w:space="0" w:color="auto"/>
                        <w:right w:val="none" w:sz="0" w:space="0" w:color="auto"/>
                      </w:divBdr>
                    </w:div>
                  </w:divsChild>
                </w:div>
                <w:div w:id="1633706334">
                  <w:marLeft w:val="0"/>
                  <w:marRight w:val="0"/>
                  <w:marTop w:val="0"/>
                  <w:marBottom w:val="0"/>
                  <w:divBdr>
                    <w:top w:val="none" w:sz="0" w:space="0" w:color="auto"/>
                    <w:left w:val="none" w:sz="0" w:space="0" w:color="auto"/>
                    <w:bottom w:val="none" w:sz="0" w:space="0" w:color="auto"/>
                    <w:right w:val="none" w:sz="0" w:space="0" w:color="auto"/>
                  </w:divBdr>
                  <w:divsChild>
                    <w:div w:id="132329448">
                      <w:marLeft w:val="0"/>
                      <w:marRight w:val="0"/>
                      <w:marTop w:val="0"/>
                      <w:marBottom w:val="0"/>
                      <w:divBdr>
                        <w:top w:val="none" w:sz="0" w:space="0" w:color="auto"/>
                        <w:left w:val="none" w:sz="0" w:space="0" w:color="auto"/>
                        <w:bottom w:val="none" w:sz="0" w:space="0" w:color="auto"/>
                        <w:right w:val="none" w:sz="0" w:space="0" w:color="auto"/>
                      </w:divBdr>
                    </w:div>
                  </w:divsChild>
                </w:div>
                <w:div w:id="1668092141">
                  <w:marLeft w:val="0"/>
                  <w:marRight w:val="0"/>
                  <w:marTop w:val="0"/>
                  <w:marBottom w:val="0"/>
                  <w:divBdr>
                    <w:top w:val="none" w:sz="0" w:space="0" w:color="auto"/>
                    <w:left w:val="none" w:sz="0" w:space="0" w:color="auto"/>
                    <w:bottom w:val="none" w:sz="0" w:space="0" w:color="auto"/>
                    <w:right w:val="none" w:sz="0" w:space="0" w:color="auto"/>
                  </w:divBdr>
                  <w:divsChild>
                    <w:div w:id="1778452596">
                      <w:marLeft w:val="0"/>
                      <w:marRight w:val="0"/>
                      <w:marTop w:val="0"/>
                      <w:marBottom w:val="0"/>
                      <w:divBdr>
                        <w:top w:val="none" w:sz="0" w:space="0" w:color="auto"/>
                        <w:left w:val="none" w:sz="0" w:space="0" w:color="auto"/>
                        <w:bottom w:val="none" w:sz="0" w:space="0" w:color="auto"/>
                        <w:right w:val="none" w:sz="0" w:space="0" w:color="auto"/>
                      </w:divBdr>
                    </w:div>
                  </w:divsChild>
                </w:div>
                <w:div w:id="1889956434">
                  <w:marLeft w:val="0"/>
                  <w:marRight w:val="0"/>
                  <w:marTop w:val="0"/>
                  <w:marBottom w:val="0"/>
                  <w:divBdr>
                    <w:top w:val="none" w:sz="0" w:space="0" w:color="auto"/>
                    <w:left w:val="none" w:sz="0" w:space="0" w:color="auto"/>
                    <w:bottom w:val="none" w:sz="0" w:space="0" w:color="auto"/>
                    <w:right w:val="none" w:sz="0" w:space="0" w:color="auto"/>
                  </w:divBdr>
                  <w:divsChild>
                    <w:div w:id="51005384">
                      <w:marLeft w:val="0"/>
                      <w:marRight w:val="0"/>
                      <w:marTop w:val="0"/>
                      <w:marBottom w:val="0"/>
                      <w:divBdr>
                        <w:top w:val="none" w:sz="0" w:space="0" w:color="auto"/>
                        <w:left w:val="none" w:sz="0" w:space="0" w:color="auto"/>
                        <w:bottom w:val="none" w:sz="0" w:space="0" w:color="auto"/>
                        <w:right w:val="none" w:sz="0" w:space="0" w:color="auto"/>
                      </w:divBdr>
                    </w:div>
                  </w:divsChild>
                </w:div>
                <w:div w:id="1948924500">
                  <w:marLeft w:val="0"/>
                  <w:marRight w:val="0"/>
                  <w:marTop w:val="0"/>
                  <w:marBottom w:val="0"/>
                  <w:divBdr>
                    <w:top w:val="none" w:sz="0" w:space="0" w:color="auto"/>
                    <w:left w:val="none" w:sz="0" w:space="0" w:color="auto"/>
                    <w:bottom w:val="none" w:sz="0" w:space="0" w:color="auto"/>
                    <w:right w:val="none" w:sz="0" w:space="0" w:color="auto"/>
                  </w:divBdr>
                  <w:divsChild>
                    <w:div w:id="275992561">
                      <w:marLeft w:val="0"/>
                      <w:marRight w:val="0"/>
                      <w:marTop w:val="0"/>
                      <w:marBottom w:val="0"/>
                      <w:divBdr>
                        <w:top w:val="none" w:sz="0" w:space="0" w:color="auto"/>
                        <w:left w:val="none" w:sz="0" w:space="0" w:color="auto"/>
                        <w:bottom w:val="none" w:sz="0" w:space="0" w:color="auto"/>
                        <w:right w:val="none" w:sz="0" w:space="0" w:color="auto"/>
                      </w:divBdr>
                    </w:div>
                  </w:divsChild>
                </w:div>
                <w:div w:id="1964265407">
                  <w:marLeft w:val="0"/>
                  <w:marRight w:val="0"/>
                  <w:marTop w:val="0"/>
                  <w:marBottom w:val="0"/>
                  <w:divBdr>
                    <w:top w:val="none" w:sz="0" w:space="0" w:color="auto"/>
                    <w:left w:val="none" w:sz="0" w:space="0" w:color="auto"/>
                    <w:bottom w:val="none" w:sz="0" w:space="0" w:color="auto"/>
                    <w:right w:val="none" w:sz="0" w:space="0" w:color="auto"/>
                  </w:divBdr>
                  <w:divsChild>
                    <w:div w:id="1854345961">
                      <w:marLeft w:val="0"/>
                      <w:marRight w:val="0"/>
                      <w:marTop w:val="0"/>
                      <w:marBottom w:val="0"/>
                      <w:divBdr>
                        <w:top w:val="none" w:sz="0" w:space="0" w:color="auto"/>
                        <w:left w:val="none" w:sz="0" w:space="0" w:color="auto"/>
                        <w:bottom w:val="none" w:sz="0" w:space="0" w:color="auto"/>
                        <w:right w:val="none" w:sz="0" w:space="0" w:color="auto"/>
                      </w:divBdr>
                    </w:div>
                  </w:divsChild>
                </w:div>
                <w:div w:id="1986422299">
                  <w:marLeft w:val="0"/>
                  <w:marRight w:val="0"/>
                  <w:marTop w:val="0"/>
                  <w:marBottom w:val="0"/>
                  <w:divBdr>
                    <w:top w:val="none" w:sz="0" w:space="0" w:color="auto"/>
                    <w:left w:val="none" w:sz="0" w:space="0" w:color="auto"/>
                    <w:bottom w:val="none" w:sz="0" w:space="0" w:color="auto"/>
                    <w:right w:val="none" w:sz="0" w:space="0" w:color="auto"/>
                  </w:divBdr>
                  <w:divsChild>
                    <w:div w:id="1955749320">
                      <w:marLeft w:val="0"/>
                      <w:marRight w:val="0"/>
                      <w:marTop w:val="0"/>
                      <w:marBottom w:val="0"/>
                      <w:divBdr>
                        <w:top w:val="none" w:sz="0" w:space="0" w:color="auto"/>
                        <w:left w:val="none" w:sz="0" w:space="0" w:color="auto"/>
                        <w:bottom w:val="none" w:sz="0" w:space="0" w:color="auto"/>
                        <w:right w:val="none" w:sz="0" w:space="0" w:color="auto"/>
                      </w:divBdr>
                    </w:div>
                  </w:divsChild>
                </w:div>
                <w:div w:id="2003119133">
                  <w:marLeft w:val="0"/>
                  <w:marRight w:val="0"/>
                  <w:marTop w:val="0"/>
                  <w:marBottom w:val="0"/>
                  <w:divBdr>
                    <w:top w:val="none" w:sz="0" w:space="0" w:color="auto"/>
                    <w:left w:val="none" w:sz="0" w:space="0" w:color="auto"/>
                    <w:bottom w:val="none" w:sz="0" w:space="0" w:color="auto"/>
                    <w:right w:val="none" w:sz="0" w:space="0" w:color="auto"/>
                  </w:divBdr>
                  <w:divsChild>
                    <w:div w:id="467168390">
                      <w:marLeft w:val="0"/>
                      <w:marRight w:val="0"/>
                      <w:marTop w:val="0"/>
                      <w:marBottom w:val="0"/>
                      <w:divBdr>
                        <w:top w:val="none" w:sz="0" w:space="0" w:color="auto"/>
                        <w:left w:val="none" w:sz="0" w:space="0" w:color="auto"/>
                        <w:bottom w:val="none" w:sz="0" w:space="0" w:color="auto"/>
                        <w:right w:val="none" w:sz="0" w:space="0" w:color="auto"/>
                      </w:divBdr>
                    </w:div>
                  </w:divsChild>
                </w:div>
                <w:div w:id="2113672033">
                  <w:marLeft w:val="0"/>
                  <w:marRight w:val="0"/>
                  <w:marTop w:val="0"/>
                  <w:marBottom w:val="0"/>
                  <w:divBdr>
                    <w:top w:val="none" w:sz="0" w:space="0" w:color="auto"/>
                    <w:left w:val="none" w:sz="0" w:space="0" w:color="auto"/>
                    <w:bottom w:val="none" w:sz="0" w:space="0" w:color="auto"/>
                    <w:right w:val="none" w:sz="0" w:space="0" w:color="auto"/>
                  </w:divBdr>
                  <w:divsChild>
                    <w:div w:id="351304055">
                      <w:marLeft w:val="0"/>
                      <w:marRight w:val="0"/>
                      <w:marTop w:val="0"/>
                      <w:marBottom w:val="0"/>
                      <w:divBdr>
                        <w:top w:val="none" w:sz="0" w:space="0" w:color="auto"/>
                        <w:left w:val="none" w:sz="0" w:space="0" w:color="auto"/>
                        <w:bottom w:val="none" w:sz="0" w:space="0" w:color="auto"/>
                        <w:right w:val="none" w:sz="0" w:space="0" w:color="auto"/>
                      </w:divBdr>
                    </w:div>
                  </w:divsChild>
                </w:div>
                <w:div w:id="2120561202">
                  <w:marLeft w:val="0"/>
                  <w:marRight w:val="0"/>
                  <w:marTop w:val="0"/>
                  <w:marBottom w:val="0"/>
                  <w:divBdr>
                    <w:top w:val="none" w:sz="0" w:space="0" w:color="auto"/>
                    <w:left w:val="none" w:sz="0" w:space="0" w:color="auto"/>
                    <w:bottom w:val="none" w:sz="0" w:space="0" w:color="auto"/>
                    <w:right w:val="none" w:sz="0" w:space="0" w:color="auto"/>
                  </w:divBdr>
                  <w:divsChild>
                    <w:div w:id="1357655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212292">
          <w:marLeft w:val="0"/>
          <w:marRight w:val="0"/>
          <w:marTop w:val="0"/>
          <w:marBottom w:val="0"/>
          <w:divBdr>
            <w:top w:val="none" w:sz="0" w:space="0" w:color="auto"/>
            <w:left w:val="none" w:sz="0" w:space="0" w:color="auto"/>
            <w:bottom w:val="none" w:sz="0" w:space="0" w:color="auto"/>
            <w:right w:val="none" w:sz="0" w:space="0" w:color="auto"/>
          </w:divBdr>
        </w:div>
        <w:div w:id="726925804">
          <w:marLeft w:val="0"/>
          <w:marRight w:val="0"/>
          <w:marTop w:val="0"/>
          <w:marBottom w:val="0"/>
          <w:divBdr>
            <w:top w:val="none" w:sz="0" w:space="0" w:color="auto"/>
            <w:left w:val="none" w:sz="0" w:space="0" w:color="auto"/>
            <w:bottom w:val="none" w:sz="0" w:space="0" w:color="auto"/>
            <w:right w:val="none" w:sz="0" w:space="0" w:color="auto"/>
          </w:divBdr>
        </w:div>
        <w:div w:id="832255425">
          <w:marLeft w:val="0"/>
          <w:marRight w:val="0"/>
          <w:marTop w:val="0"/>
          <w:marBottom w:val="0"/>
          <w:divBdr>
            <w:top w:val="none" w:sz="0" w:space="0" w:color="auto"/>
            <w:left w:val="none" w:sz="0" w:space="0" w:color="auto"/>
            <w:bottom w:val="none" w:sz="0" w:space="0" w:color="auto"/>
            <w:right w:val="none" w:sz="0" w:space="0" w:color="auto"/>
          </w:divBdr>
        </w:div>
        <w:div w:id="894050520">
          <w:marLeft w:val="0"/>
          <w:marRight w:val="0"/>
          <w:marTop w:val="0"/>
          <w:marBottom w:val="0"/>
          <w:divBdr>
            <w:top w:val="none" w:sz="0" w:space="0" w:color="auto"/>
            <w:left w:val="none" w:sz="0" w:space="0" w:color="auto"/>
            <w:bottom w:val="none" w:sz="0" w:space="0" w:color="auto"/>
            <w:right w:val="none" w:sz="0" w:space="0" w:color="auto"/>
          </w:divBdr>
        </w:div>
        <w:div w:id="909266535">
          <w:marLeft w:val="0"/>
          <w:marRight w:val="0"/>
          <w:marTop w:val="0"/>
          <w:marBottom w:val="0"/>
          <w:divBdr>
            <w:top w:val="none" w:sz="0" w:space="0" w:color="auto"/>
            <w:left w:val="none" w:sz="0" w:space="0" w:color="auto"/>
            <w:bottom w:val="none" w:sz="0" w:space="0" w:color="auto"/>
            <w:right w:val="none" w:sz="0" w:space="0" w:color="auto"/>
          </w:divBdr>
        </w:div>
        <w:div w:id="926763891">
          <w:marLeft w:val="0"/>
          <w:marRight w:val="0"/>
          <w:marTop w:val="0"/>
          <w:marBottom w:val="0"/>
          <w:divBdr>
            <w:top w:val="none" w:sz="0" w:space="0" w:color="auto"/>
            <w:left w:val="none" w:sz="0" w:space="0" w:color="auto"/>
            <w:bottom w:val="none" w:sz="0" w:space="0" w:color="auto"/>
            <w:right w:val="none" w:sz="0" w:space="0" w:color="auto"/>
          </w:divBdr>
        </w:div>
        <w:div w:id="1095831441">
          <w:marLeft w:val="0"/>
          <w:marRight w:val="0"/>
          <w:marTop w:val="0"/>
          <w:marBottom w:val="0"/>
          <w:divBdr>
            <w:top w:val="none" w:sz="0" w:space="0" w:color="auto"/>
            <w:left w:val="none" w:sz="0" w:space="0" w:color="auto"/>
            <w:bottom w:val="none" w:sz="0" w:space="0" w:color="auto"/>
            <w:right w:val="none" w:sz="0" w:space="0" w:color="auto"/>
          </w:divBdr>
        </w:div>
        <w:div w:id="1123883218">
          <w:marLeft w:val="0"/>
          <w:marRight w:val="0"/>
          <w:marTop w:val="0"/>
          <w:marBottom w:val="0"/>
          <w:divBdr>
            <w:top w:val="none" w:sz="0" w:space="0" w:color="auto"/>
            <w:left w:val="none" w:sz="0" w:space="0" w:color="auto"/>
            <w:bottom w:val="none" w:sz="0" w:space="0" w:color="auto"/>
            <w:right w:val="none" w:sz="0" w:space="0" w:color="auto"/>
          </w:divBdr>
        </w:div>
        <w:div w:id="1139691501">
          <w:marLeft w:val="0"/>
          <w:marRight w:val="0"/>
          <w:marTop w:val="0"/>
          <w:marBottom w:val="0"/>
          <w:divBdr>
            <w:top w:val="none" w:sz="0" w:space="0" w:color="auto"/>
            <w:left w:val="none" w:sz="0" w:space="0" w:color="auto"/>
            <w:bottom w:val="none" w:sz="0" w:space="0" w:color="auto"/>
            <w:right w:val="none" w:sz="0" w:space="0" w:color="auto"/>
          </w:divBdr>
        </w:div>
        <w:div w:id="1234655237">
          <w:marLeft w:val="0"/>
          <w:marRight w:val="0"/>
          <w:marTop w:val="0"/>
          <w:marBottom w:val="0"/>
          <w:divBdr>
            <w:top w:val="none" w:sz="0" w:space="0" w:color="auto"/>
            <w:left w:val="none" w:sz="0" w:space="0" w:color="auto"/>
            <w:bottom w:val="none" w:sz="0" w:space="0" w:color="auto"/>
            <w:right w:val="none" w:sz="0" w:space="0" w:color="auto"/>
          </w:divBdr>
        </w:div>
        <w:div w:id="1265113417">
          <w:marLeft w:val="0"/>
          <w:marRight w:val="0"/>
          <w:marTop w:val="0"/>
          <w:marBottom w:val="0"/>
          <w:divBdr>
            <w:top w:val="none" w:sz="0" w:space="0" w:color="auto"/>
            <w:left w:val="none" w:sz="0" w:space="0" w:color="auto"/>
            <w:bottom w:val="none" w:sz="0" w:space="0" w:color="auto"/>
            <w:right w:val="none" w:sz="0" w:space="0" w:color="auto"/>
          </w:divBdr>
        </w:div>
        <w:div w:id="1284773724">
          <w:marLeft w:val="0"/>
          <w:marRight w:val="0"/>
          <w:marTop w:val="0"/>
          <w:marBottom w:val="0"/>
          <w:divBdr>
            <w:top w:val="none" w:sz="0" w:space="0" w:color="auto"/>
            <w:left w:val="none" w:sz="0" w:space="0" w:color="auto"/>
            <w:bottom w:val="none" w:sz="0" w:space="0" w:color="auto"/>
            <w:right w:val="none" w:sz="0" w:space="0" w:color="auto"/>
          </w:divBdr>
        </w:div>
        <w:div w:id="1384331275">
          <w:marLeft w:val="0"/>
          <w:marRight w:val="0"/>
          <w:marTop w:val="0"/>
          <w:marBottom w:val="0"/>
          <w:divBdr>
            <w:top w:val="none" w:sz="0" w:space="0" w:color="auto"/>
            <w:left w:val="none" w:sz="0" w:space="0" w:color="auto"/>
            <w:bottom w:val="none" w:sz="0" w:space="0" w:color="auto"/>
            <w:right w:val="none" w:sz="0" w:space="0" w:color="auto"/>
          </w:divBdr>
        </w:div>
        <w:div w:id="1491364565">
          <w:marLeft w:val="0"/>
          <w:marRight w:val="0"/>
          <w:marTop w:val="0"/>
          <w:marBottom w:val="0"/>
          <w:divBdr>
            <w:top w:val="none" w:sz="0" w:space="0" w:color="auto"/>
            <w:left w:val="none" w:sz="0" w:space="0" w:color="auto"/>
            <w:bottom w:val="none" w:sz="0" w:space="0" w:color="auto"/>
            <w:right w:val="none" w:sz="0" w:space="0" w:color="auto"/>
          </w:divBdr>
        </w:div>
        <w:div w:id="1495297451">
          <w:marLeft w:val="0"/>
          <w:marRight w:val="0"/>
          <w:marTop w:val="0"/>
          <w:marBottom w:val="0"/>
          <w:divBdr>
            <w:top w:val="none" w:sz="0" w:space="0" w:color="auto"/>
            <w:left w:val="none" w:sz="0" w:space="0" w:color="auto"/>
            <w:bottom w:val="none" w:sz="0" w:space="0" w:color="auto"/>
            <w:right w:val="none" w:sz="0" w:space="0" w:color="auto"/>
          </w:divBdr>
        </w:div>
        <w:div w:id="1579636628">
          <w:marLeft w:val="0"/>
          <w:marRight w:val="0"/>
          <w:marTop w:val="0"/>
          <w:marBottom w:val="0"/>
          <w:divBdr>
            <w:top w:val="none" w:sz="0" w:space="0" w:color="auto"/>
            <w:left w:val="none" w:sz="0" w:space="0" w:color="auto"/>
            <w:bottom w:val="none" w:sz="0" w:space="0" w:color="auto"/>
            <w:right w:val="none" w:sz="0" w:space="0" w:color="auto"/>
          </w:divBdr>
        </w:div>
        <w:div w:id="1675910844">
          <w:marLeft w:val="0"/>
          <w:marRight w:val="0"/>
          <w:marTop w:val="0"/>
          <w:marBottom w:val="0"/>
          <w:divBdr>
            <w:top w:val="none" w:sz="0" w:space="0" w:color="auto"/>
            <w:left w:val="none" w:sz="0" w:space="0" w:color="auto"/>
            <w:bottom w:val="none" w:sz="0" w:space="0" w:color="auto"/>
            <w:right w:val="none" w:sz="0" w:space="0" w:color="auto"/>
          </w:divBdr>
        </w:div>
        <w:div w:id="1844658077">
          <w:marLeft w:val="0"/>
          <w:marRight w:val="0"/>
          <w:marTop w:val="0"/>
          <w:marBottom w:val="0"/>
          <w:divBdr>
            <w:top w:val="none" w:sz="0" w:space="0" w:color="auto"/>
            <w:left w:val="none" w:sz="0" w:space="0" w:color="auto"/>
            <w:bottom w:val="none" w:sz="0" w:space="0" w:color="auto"/>
            <w:right w:val="none" w:sz="0" w:space="0" w:color="auto"/>
          </w:divBdr>
        </w:div>
        <w:div w:id="1955019619">
          <w:marLeft w:val="0"/>
          <w:marRight w:val="0"/>
          <w:marTop w:val="0"/>
          <w:marBottom w:val="0"/>
          <w:divBdr>
            <w:top w:val="none" w:sz="0" w:space="0" w:color="auto"/>
            <w:left w:val="none" w:sz="0" w:space="0" w:color="auto"/>
            <w:bottom w:val="none" w:sz="0" w:space="0" w:color="auto"/>
            <w:right w:val="none" w:sz="0" w:space="0" w:color="auto"/>
          </w:divBdr>
        </w:div>
      </w:divsChild>
    </w:div>
    <w:div w:id="815217755">
      <w:bodyDiv w:val="1"/>
      <w:marLeft w:val="0"/>
      <w:marRight w:val="0"/>
      <w:marTop w:val="0"/>
      <w:marBottom w:val="0"/>
      <w:divBdr>
        <w:top w:val="none" w:sz="0" w:space="0" w:color="auto"/>
        <w:left w:val="none" w:sz="0" w:space="0" w:color="auto"/>
        <w:bottom w:val="none" w:sz="0" w:space="0" w:color="auto"/>
        <w:right w:val="none" w:sz="0" w:space="0" w:color="auto"/>
      </w:divBdr>
    </w:div>
    <w:div w:id="823546978">
      <w:bodyDiv w:val="1"/>
      <w:marLeft w:val="0"/>
      <w:marRight w:val="0"/>
      <w:marTop w:val="0"/>
      <w:marBottom w:val="0"/>
      <w:divBdr>
        <w:top w:val="none" w:sz="0" w:space="0" w:color="auto"/>
        <w:left w:val="none" w:sz="0" w:space="0" w:color="auto"/>
        <w:bottom w:val="none" w:sz="0" w:space="0" w:color="auto"/>
        <w:right w:val="none" w:sz="0" w:space="0" w:color="auto"/>
      </w:divBdr>
    </w:div>
    <w:div w:id="837353492">
      <w:bodyDiv w:val="1"/>
      <w:marLeft w:val="0"/>
      <w:marRight w:val="0"/>
      <w:marTop w:val="0"/>
      <w:marBottom w:val="0"/>
      <w:divBdr>
        <w:top w:val="none" w:sz="0" w:space="0" w:color="auto"/>
        <w:left w:val="none" w:sz="0" w:space="0" w:color="auto"/>
        <w:bottom w:val="none" w:sz="0" w:space="0" w:color="auto"/>
        <w:right w:val="none" w:sz="0" w:space="0" w:color="auto"/>
      </w:divBdr>
    </w:div>
    <w:div w:id="868494007">
      <w:bodyDiv w:val="1"/>
      <w:marLeft w:val="0"/>
      <w:marRight w:val="0"/>
      <w:marTop w:val="0"/>
      <w:marBottom w:val="0"/>
      <w:divBdr>
        <w:top w:val="none" w:sz="0" w:space="0" w:color="auto"/>
        <w:left w:val="none" w:sz="0" w:space="0" w:color="auto"/>
        <w:bottom w:val="none" w:sz="0" w:space="0" w:color="auto"/>
        <w:right w:val="none" w:sz="0" w:space="0" w:color="auto"/>
      </w:divBdr>
      <w:divsChild>
        <w:div w:id="1306664243">
          <w:marLeft w:val="0"/>
          <w:marRight w:val="0"/>
          <w:marTop w:val="0"/>
          <w:marBottom w:val="0"/>
          <w:divBdr>
            <w:top w:val="none" w:sz="0" w:space="0" w:color="auto"/>
            <w:left w:val="none" w:sz="0" w:space="0" w:color="auto"/>
            <w:bottom w:val="none" w:sz="0" w:space="0" w:color="auto"/>
            <w:right w:val="none" w:sz="0" w:space="0" w:color="auto"/>
          </w:divBdr>
          <w:divsChild>
            <w:div w:id="1764836482">
              <w:marLeft w:val="0"/>
              <w:marRight w:val="0"/>
              <w:marTop w:val="30"/>
              <w:marBottom w:val="30"/>
              <w:divBdr>
                <w:top w:val="none" w:sz="0" w:space="0" w:color="auto"/>
                <w:left w:val="none" w:sz="0" w:space="0" w:color="auto"/>
                <w:bottom w:val="none" w:sz="0" w:space="0" w:color="auto"/>
                <w:right w:val="none" w:sz="0" w:space="0" w:color="auto"/>
              </w:divBdr>
              <w:divsChild>
                <w:div w:id="233509211">
                  <w:marLeft w:val="0"/>
                  <w:marRight w:val="0"/>
                  <w:marTop w:val="0"/>
                  <w:marBottom w:val="0"/>
                  <w:divBdr>
                    <w:top w:val="none" w:sz="0" w:space="0" w:color="auto"/>
                    <w:left w:val="none" w:sz="0" w:space="0" w:color="auto"/>
                    <w:bottom w:val="none" w:sz="0" w:space="0" w:color="auto"/>
                    <w:right w:val="none" w:sz="0" w:space="0" w:color="auto"/>
                  </w:divBdr>
                  <w:divsChild>
                    <w:div w:id="1730035590">
                      <w:marLeft w:val="0"/>
                      <w:marRight w:val="0"/>
                      <w:marTop w:val="0"/>
                      <w:marBottom w:val="0"/>
                      <w:divBdr>
                        <w:top w:val="none" w:sz="0" w:space="0" w:color="auto"/>
                        <w:left w:val="none" w:sz="0" w:space="0" w:color="auto"/>
                        <w:bottom w:val="none" w:sz="0" w:space="0" w:color="auto"/>
                        <w:right w:val="none" w:sz="0" w:space="0" w:color="auto"/>
                      </w:divBdr>
                    </w:div>
                  </w:divsChild>
                </w:div>
                <w:div w:id="288322511">
                  <w:marLeft w:val="0"/>
                  <w:marRight w:val="0"/>
                  <w:marTop w:val="0"/>
                  <w:marBottom w:val="0"/>
                  <w:divBdr>
                    <w:top w:val="none" w:sz="0" w:space="0" w:color="auto"/>
                    <w:left w:val="none" w:sz="0" w:space="0" w:color="auto"/>
                    <w:bottom w:val="none" w:sz="0" w:space="0" w:color="auto"/>
                    <w:right w:val="none" w:sz="0" w:space="0" w:color="auto"/>
                  </w:divBdr>
                  <w:divsChild>
                    <w:div w:id="1983070580">
                      <w:marLeft w:val="0"/>
                      <w:marRight w:val="0"/>
                      <w:marTop w:val="0"/>
                      <w:marBottom w:val="0"/>
                      <w:divBdr>
                        <w:top w:val="none" w:sz="0" w:space="0" w:color="auto"/>
                        <w:left w:val="none" w:sz="0" w:space="0" w:color="auto"/>
                        <w:bottom w:val="none" w:sz="0" w:space="0" w:color="auto"/>
                        <w:right w:val="none" w:sz="0" w:space="0" w:color="auto"/>
                      </w:divBdr>
                    </w:div>
                  </w:divsChild>
                </w:div>
                <w:div w:id="344090325">
                  <w:marLeft w:val="0"/>
                  <w:marRight w:val="0"/>
                  <w:marTop w:val="0"/>
                  <w:marBottom w:val="0"/>
                  <w:divBdr>
                    <w:top w:val="none" w:sz="0" w:space="0" w:color="auto"/>
                    <w:left w:val="none" w:sz="0" w:space="0" w:color="auto"/>
                    <w:bottom w:val="none" w:sz="0" w:space="0" w:color="auto"/>
                    <w:right w:val="none" w:sz="0" w:space="0" w:color="auto"/>
                  </w:divBdr>
                  <w:divsChild>
                    <w:div w:id="2093500221">
                      <w:marLeft w:val="0"/>
                      <w:marRight w:val="0"/>
                      <w:marTop w:val="0"/>
                      <w:marBottom w:val="0"/>
                      <w:divBdr>
                        <w:top w:val="none" w:sz="0" w:space="0" w:color="auto"/>
                        <w:left w:val="none" w:sz="0" w:space="0" w:color="auto"/>
                        <w:bottom w:val="none" w:sz="0" w:space="0" w:color="auto"/>
                        <w:right w:val="none" w:sz="0" w:space="0" w:color="auto"/>
                      </w:divBdr>
                    </w:div>
                  </w:divsChild>
                </w:div>
                <w:div w:id="348802218">
                  <w:marLeft w:val="0"/>
                  <w:marRight w:val="0"/>
                  <w:marTop w:val="0"/>
                  <w:marBottom w:val="0"/>
                  <w:divBdr>
                    <w:top w:val="none" w:sz="0" w:space="0" w:color="auto"/>
                    <w:left w:val="none" w:sz="0" w:space="0" w:color="auto"/>
                    <w:bottom w:val="none" w:sz="0" w:space="0" w:color="auto"/>
                    <w:right w:val="none" w:sz="0" w:space="0" w:color="auto"/>
                  </w:divBdr>
                  <w:divsChild>
                    <w:div w:id="994576118">
                      <w:marLeft w:val="0"/>
                      <w:marRight w:val="0"/>
                      <w:marTop w:val="0"/>
                      <w:marBottom w:val="0"/>
                      <w:divBdr>
                        <w:top w:val="none" w:sz="0" w:space="0" w:color="auto"/>
                        <w:left w:val="none" w:sz="0" w:space="0" w:color="auto"/>
                        <w:bottom w:val="none" w:sz="0" w:space="0" w:color="auto"/>
                        <w:right w:val="none" w:sz="0" w:space="0" w:color="auto"/>
                      </w:divBdr>
                    </w:div>
                  </w:divsChild>
                </w:div>
                <w:div w:id="388463416">
                  <w:marLeft w:val="0"/>
                  <w:marRight w:val="0"/>
                  <w:marTop w:val="0"/>
                  <w:marBottom w:val="0"/>
                  <w:divBdr>
                    <w:top w:val="none" w:sz="0" w:space="0" w:color="auto"/>
                    <w:left w:val="none" w:sz="0" w:space="0" w:color="auto"/>
                    <w:bottom w:val="none" w:sz="0" w:space="0" w:color="auto"/>
                    <w:right w:val="none" w:sz="0" w:space="0" w:color="auto"/>
                  </w:divBdr>
                  <w:divsChild>
                    <w:div w:id="1206479580">
                      <w:marLeft w:val="0"/>
                      <w:marRight w:val="0"/>
                      <w:marTop w:val="0"/>
                      <w:marBottom w:val="0"/>
                      <w:divBdr>
                        <w:top w:val="none" w:sz="0" w:space="0" w:color="auto"/>
                        <w:left w:val="none" w:sz="0" w:space="0" w:color="auto"/>
                        <w:bottom w:val="none" w:sz="0" w:space="0" w:color="auto"/>
                        <w:right w:val="none" w:sz="0" w:space="0" w:color="auto"/>
                      </w:divBdr>
                    </w:div>
                  </w:divsChild>
                </w:div>
                <w:div w:id="475804593">
                  <w:marLeft w:val="0"/>
                  <w:marRight w:val="0"/>
                  <w:marTop w:val="0"/>
                  <w:marBottom w:val="0"/>
                  <w:divBdr>
                    <w:top w:val="none" w:sz="0" w:space="0" w:color="auto"/>
                    <w:left w:val="none" w:sz="0" w:space="0" w:color="auto"/>
                    <w:bottom w:val="none" w:sz="0" w:space="0" w:color="auto"/>
                    <w:right w:val="none" w:sz="0" w:space="0" w:color="auto"/>
                  </w:divBdr>
                  <w:divsChild>
                    <w:div w:id="1730029952">
                      <w:marLeft w:val="0"/>
                      <w:marRight w:val="0"/>
                      <w:marTop w:val="0"/>
                      <w:marBottom w:val="0"/>
                      <w:divBdr>
                        <w:top w:val="none" w:sz="0" w:space="0" w:color="auto"/>
                        <w:left w:val="none" w:sz="0" w:space="0" w:color="auto"/>
                        <w:bottom w:val="none" w:sz="0" w:space="0" w:color="auto"/>
                        <w:right w:val="none" w:sz="0" w:space="0" w:color="auto"/>
                      </w:divBdr>
                    </w:div>
                  </w:divsChild>
                </w:div>
                <w:div w:id="543761480">
                  <w:marLeft w:val="0"/>
                  <w:marRight w:val="0"/>
                  <w:marTop w:val="0"/>
                  <w:marBottom w:val="0"/>
                  <w:divBdr>
                    <w:top w:val="none" w:sz="0" w:space="0" w:color="auto"/>
                    <w:left w:val="none" w:sz="0" w:space="0" w:color="auto"/>
                    <w:bottom w:val="none" w:sz="0" w:space="0" w:color="auto"/>
                    <w:right w:val="none" w:sz="0" w:space="0" w:color="auto"/>
                  </w:divBdr>
                  <w:divsChild>
                    <w:div w:id="1780370948">
                      <w:marLeft w:val="0"/>
                      <w:marRight w:val="0"/>
                      <w:marTop w:val="0"/>
                      <w:marBottom w:val="0"/>
                      <w:divBdr>
                        <w:top w:val="none" w:sz="0" w:space="0" w:color="auto"/>
                        <w:left w:val="none" w:sz="0" w:space="0" w:color="auto"/>
                        <w:bottom w:val="none" w:sz="0" w:space="0" w:color="auto"/>
                        <w:right w:val="none" w:sz="0" w:space="0" w:color="auto"/>
                      </w:divBdr>
                    </w:div>
                    <w:div w:id="1999847988">
                      <w:marLeft w:val="0"/>
                      <w:marRight w:val="0"/>
                      <w:marTop w:val="0"/>
                      <w:marBottom w:val="0"/>
                      <w:divBdr>
                        <w:top w:val="none" w:sz="0" w:space="0" w:color="auto"/>
                        <w:left w:val="none" w:sz="0" w:space="0" w:color="auto"/>
                        <w:bottom w:val="none" w:sz="0" w:space="0" w:color="auto"/>
                        <w:right w:val="none" w:sz="0" w:space="0" w:color="auto"/>
                      </w:divBdr>
                    </w:div>
                    <w:div w:id="2093620547">
                      <w:marLeft w:val="0"/>
                      <w:marRight w:val="0"/>
                      <w:marTop w:val="0"/>
                      <w:marBottom w:val="0"/>
                      <w:divBdr>
                        <w:top w:val="none" w:sz="0" w:space="0" w:color="auto"/>
                        <w:left w:val="none" w:sz="0" w:space="0" w:color="auto"/>
                        <w:bottom w:val="none" w:sz="0" w:space="0" w:color="auto"/>
                        <w:right w:val="none" w:sz="0" w:space="0" w:color="auto"/>
                      </w:divBdr>
                    </w:div>
                  </w:divsChild>
                </w:div>
                <w:div w:id="622813079">
                  <w:marLeft w:val="0"/>
                  <w:marRight w:val="0"/>
                  <w:marTop w:val="0"/>
                  <w:marBottom w:val="0"/>
                  <w:divBdr>
                    <w:top w:val="none" w:sz="0" w:space="0" w:color="auto"/>
                    <w:left w:val="none" w:sz="0" w:space="0" w:color="auto"/>
                    <w:bottom w:val="none" w:sz="0" w:space="0" w:color="auto"/>
                    <w:right w:val="none" w:sz="0" w:space="0" w:color="auto"/>
                  </w:divBdr>
                  <w:divsChild>
                    <w:div w:id="118301804">
                      <w:marLeft w:val="0"/>
                      <w:marRight w:val="0"/>
                      <w:marTop w:val="0"/>
                      <w:marBottom w:val="0"/>
                      <w:divBdr>
                        <w:top w:val="none" w:sz="0" w:space="0" w:color="auto"/>
                        <w:left w:val="none" w:sz="0" w:space="0" w:color="auto"/>
                        <w:bottom w:val="none" w:sz="0" w:space="0" w:color="auto"/>
                        <w:right w:val="none" w:sz="0" w:space="0" w:color="auto"/>
                      </w:divBdr>
                    </w:div>
                    <w:div w:id="427384029">
                      <w:marLeft w:val="0"/>
                      <w:marRight w:val="0"/>
                      <w:marTop w:val="0"/>
                      <w:marBottom w:val="0"/>
                      <w:divBdr>
                        <w:top w:val="none" w:sz="0" w:space="0" w:color="auto"/>
                        <w:left w:val="none" w:sz="0" w:space="0" w:color="auto"/>
                        <w:bottom w:val="none" w:sz="0" w:space="0" w:color="auto"/>
                        <w:right w:val="none" w:sz="0" w:space="0" w:color="auto"/>
                      </w:divBdr>
                    </w:div>
                    <w:div w:id="1290819697">
                      <w:marLeft w:val="0"/>
                      <w:marRight w:val="0"/>
                      <w:marTop w:val="0"/>
                      <w:marBottom w:val="0"/>
                      <w:divBdr>
                        <w:top w:val="none" w:sz="0" w:space="0" w:color="auto"/>
                        <w:left w:val="none" w:sz="0" w:space="0" w:color="auto"/>
                        <w:bottom w:val="none" w:sz="0" w:space="0" w:color="auto"/>
                        <w:right w:val="none" w:sz="0" w:space="0" w:color="auto"/>
                      </w:divBdr>
                    </w:div>
                    <w:div w:id="1670013912">
                      <w:marLeft w:val="0"/>
                      <w:marRight w:val="0"/>
                      <w:marTop w:val="0"/>
                      <w:marBottom w:val="0"/>
                      <w:divBdr>
                        <w:top w:val="none" w:sz="0" w:space="0" w:color="auto"/>
                        <w:left w:val="none" w:sz="0" w:space="0" w:color="auto"/>
                        <w:bottom w:val="none" w:sz="0" w:space="0" w:color="auto"/>
                        <w:right w:val="none" w:sz="0" w:space="0" w:color="auto"/>
                      </w:divBdr>
                    </w:div>
                    <w:div w:id="1746223732">
                      <w:marLeft w:val="0"/>
                      <w:marRight w:val="0"/>
                      <w:marTop w:val="0"/>
                      <w:marBottom w:val="0"/>
                      <w:divBdr>
                        <w:top w:val="none" w:sz="0" w:space="0" w:color="auto"/>
                        <w:left w:val="none" w:sz="0" w:space="0" w:color="auto"/>
                        <w:bottom w:val="none" w:sz="0" w:space="0" w:color="auto"/>
                        <w:right w:val="none" w:sz="0" w:space="0" w:color="auto"/>
                      </w:divBdr>
                    </w:div>
                    <w:div w:id="1880778655">
                      <w:marLeft w:val="0"/>
                      <w:marRight w:val="0"/>
                      <w:marTop w:val="0"/>
                      <w:marBottom w:val="0"/>
                      <w:divBdr>
                        <w:top w:val="none" w:sz="0" w:space="0" w:color="auto"/>
                        <w:left w:val="none" w:sz="0" w:space="0" w:color="auto"/>
                        <w:bottom w:val="none" w:sz="0" w:space="0" w:color="auto"/>
                        <w:right w:val="none" w:sz="0" w:space="0" w:color="auto"/>
                      </w:divBdr>
                    </w:div>
                  </w:divsChild>
                </w:div>
                <w:div w:id="798063765">
                  <w:marLeft w:val="0"/>
                  <w:marRight w:val="0"/>
                  <w:marTop w:val="0"/>
                  <w:marBottom w:val="0"/>
                  <w:divBdr>
                    <w:top w:val="none" w:sz="0" w:space="0" w:color="auto"/>
                    <w:left w:val="none" w:sz="0" w:space="0" w:color="auto"/>
                    <w:bottom w:val="none" w:sz="0" w:space="0" w:color="auto"/>
                    <w:right w:val="none" w:sz="0" w:space="0" w:color="auto"/>
                  </w:divBdr>
                  <w:divsChild>
                    <w:div w:id="1053695746">
                      <w:marLeft w:val="0"/>
                      <w:marRight w:val="0"/>
                      <w:marTop w:val="0"/>
                      <w:marBottom w:val="0"/>
                      <w:divBdr>
                        <w:top w:val="none" w:sz="0" w:space="0" w:color="auto"/>
                        <w:left w:val="none" w:sz="0" w:space="0" w:color="auto"/>
                        <w:bottom w:val="none" w:sz="0" w:space="0" w:color="auto"/>
                        <w:right w:val="none" w:sz="0" w:space="0" w:color="auto"/>
                      </w:divBdr>
                    </w:div>
                  </w:divsChild>
                </w:div>
                <w:div w:id="813375071">
                  <w:marLeft w:val="0"/>
                  <w:marRight w:val="0"/>
                  <w:marTop w:val="0"/>
                  <w:marBottom w:val="0"/>
                  <w:divBdr>
                    <w:top w:val="none" w:sz="0" w:space="0" w:color="auto"/>
                    <w:left w:val="none" w:sz="0" w:space="0" w:color="auto"/>
                    <w:bottom w:val="none" w:sz="0" w:space="0" w:color="auto"/>
                    <w:right w:val="none" w:sz="0" w:space="0" w:color="auto"/>
                  </w:divBdr>
                  <w:divsChild>
                    <w:div w:id="20252321">
                      <w:marLeft w:val="0"/>
                      <w:marRight w:val="0"/>
                      <w:marTop w:val="0"/>
                      <w:marBottom w:val="0"/>
                      <w:divBdr>
                        <w:top w:val="none" w:sz="0" w:space="0" w:color="auto"/>
                        <w:left w:val="none" w:sz="0" w:space="0" w:color="auto"/>
                        <w:bottom w:val="none" w:sz="0" w:space="0" w:color="auto"/>
                        <w:right w:val="none" w:sz="0" w:space="0" w:color="auto"/>
                      </w:divBdr>
                    </w:div>
                    <w:div w:id="1187330553">
                      <w:marLeft w:val="0"/>
                      <w:marRight w:val="0"/>
                      <w:marTop w:val="0"/>
                      <w:marBottom w:val="0"/>
                      <w:divBdr>
                        <w:top w:val="none" w:sz="0" w:space="0" w:color="auto"/>
                        <w:left w:val="none" w:sz="0" w:space="0" w:color="auto"/>
                        <w:bottom w:val="none" w:sz="0" w:space="0" w:color="auto"/>
                        <w:right w:val="none" w:sz="0" w:space="0" w:color="auto"/>
                      </w:divBdr>
                    </w:div>
                  </w:divsChild>
                </w:div>
                <w:div w:id="873692122">
                  <w:marLeft w:val="0"/>
                  <w:marRight w:val="0"/>
                  <w:marTop w:val="0"/>
                  <w:marBottom w:val="0"/>
                  <w:divBdr>
                    <w:top w:val="none" w:sz="0" w:space="0" w:color="auto"/>
                    <w:left w:val="none" w:sz="0" w:space="0" w:color="auto"/>
                    <w:bottom w:val="none" w:sz="0" w:space="0" w:color="auto"/>
                    <w:right w:val="none" w:sz="0" w:space="0" w:color="auto"/>
                  </w:divBdr>
                  <w:divsChild>
                    <w:div w:id="395665816">
                      <w:marLeft w:val="0"/>
                      <w:marRight w:val="0"/>
                      <w:marTop w:val="0"/>
                      <w:marBottom w:val="0"/>
                      <w:divBdr>
                        <w:top w:val="none" w:sz="0" w:space="0" w:color="auto"/>
                        <w:left w:val="none" w:sz="0" w:space="0" w:color="auto"/>
                        <w:bottom w:val="none" w:sz="0" w:space="0" w:color="auto"/>
                        <w:right w:val="none" w:sz="0" w:space="0" w:color="auto"/>
                      </w:divBdr>
                    </w:div>
                    <w:div w:id="1895652319">
                      <w:marLeft w:val="0"/>
                      <w:marRight w:val="0"/>
                      <w:marTop w:val="0"/>
                      <w:marBottom w:val="0"/>
                      <w:divBdr>
                        <w:top w:val="none" w:sz="0" w:space="0" w:color="auto"/>
                        <w:left w:val="none" w:sz="0" w:space="0" w:color="auto"/>
                        <w:bottom w:val="none" w:sz="0" w:space="0" w:color="auto"/>
                        <w:right w:val="none" w:sz="0" w:space="0" w:color="auto"/>
                      </w:divBdr>
                    </w:div>
                  </w:divsChild>
                </w:div>
                <w:div w:id="930088690">
                  <w:marLeft w:val="0"/>
                  <w:marRight w:val="0"/>
                  <w:marTop w:val="0"/>
                  <w:marBottom w:val="0"/>
                  <w:divBdr>
                    <w:top w:val="none" w:sz="0" w:space="0" w:color="auto"/>
                    <w:left w:val="none" w:sz="0" w:space="0" w:color="auto"/>
                    <w:bottom w:val="none" w:sz="0" w:space="0" w:color="auto"/>
                    <w:right w:val="none" w:sz="0" w:space="0" w:color="auto"/>
                  </w:divBdr>
                  <w:divsChild>
                    <w:div w:id="24717079">
                      <w:marLeft w:val="0"/>
                      <w:marRight w:val="0"/>
                      <w:marTop w:val="0"/>
                      <w:marBottom w:val="0"/>
                      <w:divBdr>
                        <w:top w:val="none" w:sz="0" w:space="0" w:color="auto"/>
                        <w:left w:val="none" w:sz="0" w:space="0" w:color="auto"/>
                        <w:bottom w:val="none" w:sz="0" w:space="0" w:color="auto"/>
                        <w:right w:val="none" w:sz="0" w:space="0" w:color="auto"/>
                      </w:divBdr>
                    </w:div>
                    <w:div w:id="1446735122">
                      <w:marLeft w:val="0"/>
                      <w:marRight w:val="0"/>
                      <w:marTop w:val="0"/>
                      <w:marBottom w:val="0"/>
                      <w:divBdr>
                        <w:top w:val="none" w:sz="0" w:space="0" w:color="auto"/>
                        <w:left w:val="none" w:sz="0" w:space="0" w:color="auto"/>
                        <w:bottom w:val="none" w:sz="0" w:space="0" w:color="auto"/>
                        <w:right w:val="none" w:sz="0" w:space="0" w:color="auto"/>
                      </w:divBdr>
                    </w:div>
                  </w:divsChild>
                </w:div>
                <w:div w:id="932474933">
                  <w:marLeft w:val="0"/>
                  <w:marRight w:val="0"/>
                  <w:marTop w:val="0"/>
                  <w:marBottom w:val="0"/>
                  <w:divBdr>
                    <w:top w:val="none" w:sz="0" w:space="0" w:color="auto"/>
                    <w:left w:val="none" w:sz="0" w:space="0" w:color="auto"/>
                    <w:bottom w:val="none" w:sz="0" w:space="0" w:color="auto"/>
                    <w:right w:val="none" w:sz="0" w:space="0" w:color="auto"/>
                  </w:divBdr>
                  <w:divsChild>
                    <w:div w:id="390616011">
                      <w:marLeft w:val="0"/>
                      <w:marRight w:val="0"/>
                      <w:marTop w:val="0"/>
                      <w:marBottom w:val="0"/>
                      <w:divBdr>
                        <w:top w:val="none" w:sz="0" w:space="0" w:color="auto"/>
                        <w:left w:val="none" w:sz="0" w:space="0" w:color="auto"/>
                        <w:bottom w:val="none" w:sz="0" w:space="0" w:color="auto"/>
                        <w:right w:val="none" w:sz="0" w:space="0" w:color="auto"/>
                      </w:divBdr>
                    </w:div>
                  </w:divsChild>
                </w:div>
                <w:div w:id="937981735">
                  <w:marLeft w:val="0"/>
                  <w:marRight w:val="0"/>
                  <w:marTop w:val="0"/>
                  <w:marBottom w:val="0"/>
                  <w:divBdr>
                    <w:top w:val="none" w:sz="0" w:space="0" w:color="auto"/>
                    <w:left w:val="none" w:sz="0" w:space="0" w:color="auto"/>
                    <w:bottom w:val="none" w:sz="0" w:space="0" w:color="auto"/>
                    <w:right w:val="none" w:sz="0" w:space="0" w:color="auto"/>
                  </w:divBdr>
                  <w:divsChild>
                    <w:div w:id="1984770280">
                      <w:marLeft w:val="0"/>
                      <w:marRight w:val="0"/>
                      <w:marTop w:val="0"/>
                      <w:marBottom w:val="0"/>
                      <w:divBdr>
                        <w:top w:val="none" w:sz="0" w:space="0" w:color="auto"/>
                        <w:left w:val="none" w:sz="0" w:space="0" w:color="auto"/>
                        <w:bottom w:val="none" w:sz="0" w:space="0" w:color="auto"/>
                        <w:right w:val="none" w:sz="0" w:space="0" w:color="auto"/>
                      </w:divBdr>
                    </w:div>
                  </w:divsChild>
                </w:div>
                <w:div w:id="942761189">
                  <w:marLeft w:val="0"/>
                  <w:marRight w:val="0"/>
                  <w:marTop w:val="0"/>
                  <w:marBottom w:val="0"/>
                  <w:divBdr>
                    <w:top w:val="none" w:sz="0" w:space="0" w:color="auto"/>
                    <w:left w:val="none" w:sz="0" w:space="0" w:color="auto"/>
                    <w:bottom w:val="none" w:sz="0" w:space="0" w:color="auto"/>
                    <w:right w:val="none" w:sz="0" w:space="0" w:color="auto"/>
                  </w:divBdr>
                  <w:divsChild>
                    <w:div w:id="1416778646">
                      <w:marLeft w:val="0"/>
                      <w:marRight w:val="0"/>
                      <w:marTop w:val="0"/>
                      <w:marBottom w:val="0"/>
                      <w:divBdr>
                        <w:top w:val="none" w:sz="0" w:space="0" w:color="auto"/>
                        <w:left w:val="none" w:sz="0" w:space="0" w:color="auto"/>
                        <w:bottom w:val="none" w:sz="0" w:space="0" w:color="auto"/>
                        <w:right w:val="none" w:sz="0" w:space="0" w:color="auto"/>
                      </w:divBdr>
                    </w:div>
                  </w:divsChild>
                </w:div>
                <w:div w:id="1115833119">
                  <w:marLeft w:val="0"/>
                  <w:marRight w:val="0"/>
                  <w:marTop w:val="0"/>
                  <w:marBottom w:val="0"/>
                  <w:divBdr>
                    <w:top w:val="none" w:sz="0" w:space="0" w:color="auto"/>
                    <w:left w:val="none" w:sz="0" w:space="0" w:color="auto"/>
                    <w:bottom w:val="none" w:sz="0" w:space="0" w:color="auto"/>
                    <w:right w:val="none" w:sz="0" w:space="0" w:color="auto"/>
                  </w:divBdr>
                  <w:divsChild>
                    <w:div w:id="91560446">
                      <w:marLeft w:val="0"/>
                      <w:marRight w:val="0"/>
                      <w:marTop w:val="0"/>
                      <w:marBottom w:val="0"/>
                      <w:divBdr>
                        <w:top w:val="none" w:sz="0" w:space="0" w:color="auto"/>
                        <w:left w:val="none" w:sz="0" w:space="0" w:color="auto"/>
                        <w:bottom w:val="none" w:sz="0" w:space="0" w:color="auto"/>
                        <w:right w:val="none" w:sz="0" w:space="0" w:color="auto"/>
                      </w:divBdr>
                    </w:div>
                  </w:divsChild>
                </w:div>
                <w:div w:id="1150945190">
                  <w:marLeft w:val="0"/>
                  <w:marRight w:val="0"/>
                  <w:marTop w:val="0"/>
                  <w:marBottom w:val="0"/>
                  <w:divBdr>
                    <w:top w:val="none" w:sz="0" w:space="0" w:color="auto"/>
                    <w:left w:val="none" w:sz="0" w:space="0" w:color="auto"/>
                    <w:bottom w:val="none" w:sz="0" w:space="0" w:color="auto"/>
                    <w:right w:val="none" w:sz="0" w:space="0" w:color="auto"/>
                  </w:divBdr>
                  <w:divsChild>
                    <w:div w:id="1512571163">
                      <w:marLeft w:val="0"/>
                      <w:marRight w:val="0"/>
                      <w:marTop w:val="0"/>
                      <w:marBottom w:val="0"/>
                      <w:divBdr>
                        <w:top w:val="none" w:sz="0" w:space="0" w:color="auto"/>
                        <w:left w:val="none" w:sz="0" w:space="0" w:color="auto"/>
                        <w:bottom w:val="none" w:sz="0" w:space="0" w:color="auto"/>
                        <w:right w:val="none" w:sz="0" w:space="0" w:color="auto"/>
                      </w:divBdr>
                    </w:div>
                    <w:div w:id="1994330986">
                      <w:marLeft w:val="0"/>
                      <w:marRight w:val="0"/>
                      <w:marTop w:val="0"/>
                      <w:marBottom w:val="0"/>
                      <w:divBdr>
                        <w:top w:val="none" w:sz="0" w:space="0" w:color="auto"/>
                        <w:left w:val="none" w:sz="0" w:space="0" w:color="auto"/>
                        <w:bottom w:val="none" w:sz="0" w:space="0" w:color="auto"/>
                        <w:right w:val="none" w:sz="0" w:space="0" w:color="auto"/>
                      </w:divBdr>
                    </w:div>
                  </w:divsChild>
                </w:div>
                <w:div w:id="1218855195">
                  <w:marLeft w:val="0"/>
                  <w:marRight w:val="0"/>
                  <w:marTop w:val="0"/>
                  <w:marBottom w:val="0"/>
                  <w:divBdr>
                    <w:top w:val="none" w:sz="0" w:space="0" w:color="auto"/>
                    <w:left w:val="none" w:sz="0" w:space="0" w:color="auto"/>
                    <w:bottom w:val="none" w:sz="0" w:space="0" w:color="auto"/>
                    <w:right w:val="none" w:sz="0" w:space="0" w:color="auto"/>
                  </w:divBdr>
                  <w:divsChild>
                    <w:div w:id="441925104">
                      <w:marLeft w:val="0"/>
                      <w:marRight w:val="0"/>
                      <w:marTop w:val="0"/>
                      <w:marBottom w:val="0"/>
                      <w:divBdr>
                        <w:top w:val="none" w:sz="0" w:space="0" w:color="auto"/>
                        <w:left w:val="none" w:sz="0" w:space="0" w:color="auto"/>
                        <w:bottom w:val="none" w:sz="0" w:space="0" w:color="auto"/>
                        <w:right w:val="none" w:sz="0" w:space="0" w:color="auto"/>
                      </w:divBdr>
                    </w:div>
                  </w:divsChild>
                </w:div>
                <w:div w:id="1263800080">
                  <w:marLeft w:val="0"/>
                  <w:marRight w:val="0"/>
                  <w:marTop w:val="0"/>
                  <w:marBottom w:val="0"/>
                  <w:divBdr>
                    <w:top w:val="none" w:sz="0" w:space="0" w:color="auto"/>
                    <w:left w:val="none" w:sz="0" w:space="0" w:color="auto"/>
                    <w:bottom w:val="none" w:sz="0" w:space="0" w:color="auto"/>
                    <w:right w:val="none" w:sz="0" w:space="0" w:color="auto"/>
                  </w:divBdr>
                  <w:divsChild>
                    <w:div w:id="767508620">
                      <w:marLeft w:val="0"/>
                      <w:marRight w:val="0"/>
                      <w:marTop w:val="0"/>
                      <w:marBottom w:val="0"/>
                      <w:divBdr>
                        <w:top w:val="none" w:sz="0" w:space="0" w:color="auto"/>
                        <w:left w:val="none" w:sz="0" w:space="0" w:color="auto"/>
                        <w:bottom w:val="none" w:sz="0" w:space="0" w:color="auto"/>
                        <w:right w:val="none" w:sz="0" w:space="0" w:color="auto"/>
                      </w:divBdr>
                    </w:div>
                  </w:divsChild>
                </w:div>
                <w:div w:id="1289164371">
                  <w:marLeft w:val="0"/>
                  <w:marRight w:val="0"/>
                  <w:marTop w:val="0"/>
                  <w:marBottom w:val="0"/>
                  <w:divBdr>
                    <w:top w:val="none" w:sz="0" w:space="0" w:color="auto"/>
                    <w:left w:val="none" w:sz="0" w:space="0" w:color="auto"/>
                    <w:bottom w:val="none" w:sz="0" w:space="0" w:color="auto"/>
                    <w:right w:val="none" w:sz="0" w:space="0" w:color="auto"/>
                  </w:divBdr>
                  <w:divsChild>
                    <w:div w:id="371078195">
                      <w:marLeft w:val="0"/>
                      <w:marRight w:val="0"/>
                      <w:marTop w:val="0"/>
                      <w:marBottom w:val="0"/>
                      <w:divBdr>
                        <w:top w:val="none" w:sz="0" w:space="0" w:color="auto"/>
                        <w:left w:val="none" w:sz="0" w:space="0" w:color="auto"/>
                        <w:bottom w:val="none" w:sz="0" w:space="0" w:color="auto"/>
                        <w:right w:val="none" w:sz="0" w:space="0" w:color="auto"/>
                      </w:divBdr>
                    </w:div>
                    <w:div w:id="414322981">
                      <w:marLeft w:val="0"/>
                      <w:marRight w:val="0"/>
                      <w:marTop w:val="0"/>
                      <w:marBottom w:val="0"/>
                      <w:divBdr>
                        <w:top w:val="none" w:sz="0" w:space="0" w:color="auto"/>
                        <w:left w:val="none" w:sz="0" w:space="0" w:color="auto"/>
                        <w:bottom w:val="none" w:sz="0" w:space="0" w:color="auto"/>
                        <w:right w:val="none" w:sz="0" w:space="0" w:color="auto"/>
                      </w:divBdr>
                    </w:div>
                    <w:div w:id="865487301">
                      <w:marLeft w:val="0"/>
                      <w:marRight w:val="0"/>
                      <w:marTop w:val="0"/>
                      <w:marBottom w:val="0"/>
                      <w:divBdr>
                        <w:top w:val="none" w:sz="0" w:space="0" w:color="auto"/>
                        <w:left w:val="none" w:sz="0" w:space="0" w:color="auto"/>
                        <w:bottom w:val="none" w:sz="0" w:space="0" w:color="auto"/>
                        <w:right w:val="none" w:sz="0" w:space="0" w:color="auto"/>
                      </w:divBdr>
                    </w:div>
                  </w:divsChild>
                </w:div>
                <w:div w:id="1376539359">
                  <w:marLeft w:val="0"/>
                  <w:marRight w:val="0"/>
                  <w:marTop w:val="0"/>
                  <w:marBottom w:val="0"/>
                  <w:divBdr>
                    <w:top w:val="none" w:sz="0" w:space="0" w:color="auto"/>
                    <w:left w:val="none" w:sz="0" w:space="0" w:color="auto"/>
                    <w:bottom w:val="none" w:sz="0" w:space="0" w:color="auto"/>
                    <w:right w:val="none" w:sz="0" w:space="0" w:color="auto"/>
                  </w:divBdr>
                  <w:divsChild>
                    <w:div w:id="306787237">
                      <w:marLeft w:val="0"/>
                      <w:marRight w:val="0"/>
                      <w:marTop w:val="0"/>
                      <w:marBottom w:val="0"/>
                      <w:divBdr>
                        <w:top w:val="none" w:sz="0" w:space="0" w:color="auto"/>
                        <w:left w:val="none" w:sz="0" w:space="0" w:color="auto"/>
                        <w:bottom w:val="none" w:sz="0" w:space="0" w:color="auto"/>
                        <w:right w:val="none" w:sz="0" w:space="0" w:color="auto"/>
                      </w:divBdr>
                    </w:div>
                  </w:divsChild>
                </w:div>
                <w:div w:id="1423334255">
                  <w:marLeft w:val="0"/>
                  <w:marRight w:val="0"/>
                  <w:marTop w:val="0"/>
                  <w:marBottom w:val="0"/>
                  <w:divBdr>
                    <w:top w:val="none" w:sz="0" w:space="0" w:color="auto"/>
                    <w:left w:val="none" w:sz="0" w:space="0" w:color="auto"/>
                    <w:bottom w:val="none" w:sz="0" w:space="0" w:color="auto"/>
                    <w:right w:val="none" w:sz="0" w:space="0" w:color="auto"/>
                  </w:divBdr>
                  <w:divsChild>
                    <w:div w:id="1045762168">
                      <w:marLeft w:val="0"/>
                      <w:marRight w:val="0"/>
                      <w:marTop w:val="0"/>
                      <w:marBottom w:val="0"/>
                      <w:divBdr>
                        <w:top w:val="none" w:sz="0" w:space="0" w:color="auto"/>
                        <w:left w:val="none" w:sz="0" w:space="0" w:color="auto"/>
                        <w:bottom w:val="none" w:sz="0" w:space="0" w:color="auto"/>
                        <w:right w:val="none" w:sz="0" w:space="0" w:color="auto"/>
                      </w:divBdr>
                    </w:div>
                  </w:divsChild>
                </w:div>
                <w:div w:id="1486435190">
                  <w:marLeft w:val="0"/>
                  <w:marRight w:val="0"/>
                  <w:marTop w:val="0"/>
                  <w:marBottom w:val="0"/>
                  <w:divBdr>
                    <w:top w:val="none" w:sz="0" w:space="0" w:color="auto"/>
                    <w:left w:val="none" w:sz="0" w:space="0" w:color="auto"/>
                    <w:bottom w:val="none" w:sz="0" w:space="0" w:color="auto"/>
                    <w:right w:val="none" w:sz="0" w:space="0" w:color="auto"/>
                  </w:divBdr>
                  <w:divsChild>
                    <w:div w:id="1298342817">
                      <w:marLeft w:val="0"/>
                      <w:marRight w:val="0"/>
                      <w:marTop w:val="0"/>
                      <w:marBottom w:val="0"/>
                      <w:divBdr>
                        <w:top w:val="none" w:sz="0" w:space="0" w:color="auto"/>
                        <w:left w:val="none" w:sz="0" w:space="0" w:color="auto"/>
                        <w:bottom w:val="none" w:sz="0" w:space="0" w:color="auto"/>
                        <w:right w:val="none" w:sz="0" w:space="0" w:color="auto"/>
                      </w:divBdr>
                    </w:div>
                  </w:divsChild>
                </w:div>
                <w:div w:id="1506699952">
                  <w:marLeft w:val="0"/>
                  <w:marRight w:val="0"/>
                  <w:marTop w:val="0"/>
                  <w:marBottom w:val="0"/>
                  <w:divBdr>
                    <w:top w:val="none" w:sz="0" w:space="0" w:color="auto"/>
                    <w:left w:val="none" w:sz="0" w:space="0" w:color="auto"/>
                    <w:bottom w:val="none" w:sz="0" w:space="0" w:color="auto"/>
                    <w:right w:val="none" w:sz="0" w:space="0" w:color="auto"/>
                  </w:divBdr>
                  <w:divsChild>
                    <w:div w:id="57558593">
                      <w:marLeft w:val="0"/>
                      <w:marRight w:val="0"/>
                      <w:marTop w:val="0"/>
                      <w:marBottom w:val="0"/>
                      <w:divBdr>
                        <w:top w:val="none" w:sz="0" w:space="0" w:color="auto"/>
                        <w:left w:val="none" w:sz="0" w:space="0" w:color="auto"/>
                        <w:bottom w:val="none" w:sz="0" w:space="0" w:color="auto"/>
                        <w:right w:val="none" w:sz="0" w:space="0" w:color="auto"/>
                      </w:divBdr>
                    </w:div>
                    <w:div w:id="508718089">
                      <w:marLeft w:val="0"/>
                      <w:marRight w:val="0"/>
                      <w:marTop w:val="0"/>
                      <w:marBottom w:val="0"/>
                      <w:divBdr>
                        <w:top w:val="none" w:sz="0" w:space="0" w:color="auto"/>
                        <w:left w:val="none" w:sz="0" w:space="0" w:color="auto"/>
                        <w:bottom w:val="none" w:sz="0" w:space="0" w:color="auto"/>
                        <w:right w:val="none" w:sz="0" w:space="0" w:color="auto"/>
                      </w:divBdr>
                    </w:div>
                    <w:div w:id="794762078">
                      <w:marLeft w:val="0"/>
                      <w:marRight w:val="0"/>
                      <w:marTop w:val="0"/>
                      <w:marBottom w:val="0"/>
                      <w:divBdr>
                        <w:top w:val="none" w:sz="0" w:space="0" w:color="auto"/>
                        <w:left w:val="none" w:sz="0" w:space="0" w:color="auto"/>
                        <w:bottom w:val="none" w:sz="0" w:space="0" w:color="auto"/>
                        <w:right w:val="none" w:sz="0" w:space="0" w:color="auto"/>
                      </w:divBdr>
                    </w:div>
                  </w:divsChild>
                </w:div>
                <w:div w:id="1516504138">
                  <w:marLeft w:val="0"/>
                  <w:marRight w:val="0"/>
                  <w:marTop w:val="0"/>
                  <w:marBottom w:val="0"/>
                  <w:divBdr>
                    <w:top w:val="none" w:sz="0" w:space="0" w:color="auto"/>
                    <w:left w:val="none" w:sz="0" w:space="0" w:color="auto"/>
                    <w:bottom w:val="none" w:sz="0" w:space="0" w:color="auto"/>
                    <w:right w:val="none" w:sz="0" w:space="0" w:color="auto"/>
                  </w:divBdr>
                  <w:divsChild>
                    <w:div w:id="42681865">
                      <w:marLeft w:val="0"/>
                      <w:marRight w:val="0"/>
                      <w:marTop w:val="0"/>
                      <w:marBottom w:val="0"/>
                      <w:divBdr>
                        <w:top w:val="none" w:sz="0" w:space="0" w:color="auto"/>
                        <w:left w:val="none" w:sz="0" w:space="0" w:color="auto"/>
                        <w:bottom w:val="none" w:sz="0" w:space="0" w:color="auto"/>
                        <w:right w:val="none" w:sz="0" w:space="0" w:color="auto"/>
                      </w:divBdr>
                    </w:div>
                  </w:divsChild>
                </w:div>
                <w:div w:id="1657101572">
                  <w:marLeft w:val="0"/>
                  <w:marRight w:val="0"/>
                  <w:marTop w:val="0"/>
                  <w:marBottom w:val="0"/>
                  <w:divBdr>
                    <w:top w:val="none" w:sz="0" w:space="0" w:color="auto"/>
                    <w:left w:val="none" w:sz="0" w:space="0" w:color="auto"/>
                    <w:bottom w:val="none" w:sz="0" w:space="0" w:color="auto"/>
                    <w:right w:val="none" w:sz="0" w:space="0" w:color="auto"/>
                  </w:divBdr>
                  <w:divsChild>
                    <w:div w:id="1058937397">
                      <w:marLeft w:val="0"/>
                      <w:marRight w:val="0"/>
                      <w:marTop w:val="0"/>
                      <w:marBottom w:val="0"/>
                      <w:divBdr>
                        <w:top w:val="none" w:sz="0" w:space="0" w:color="auto"/>
                        <w:left w:val="none" w:sz="0" w:space="0" w:color="auto"/>
                        <w:bottom w:val="none" w:sz="0" w:space="0" w:color="auto"/>
                        <w:right w:val="none" w:sz="0" w:space="0" w:color="auto"/>
                      </w:divBdr>
                    </w:div>
                  </w:divsChild>
                </w:div>
                <w:div w:id="1734232080">
                  <w:marLeft w:val="0"/>
                  <w:marRight w:val="0"/>
                  <w:marTop w:val="0"/>
                  <w:marBottom w:val="0"/>
                  <w:divBdr>
                    <w:top w:val="none" w:sz="0" w:space="0" w:color="auto"/>
                    <w:left w:val="none" w:sz="0" w:space="0" w:color="auto"/>
                    <w:bottom w:val="none" w:sz="0" w:space="0" w:color="auto"/>
                    <w:right w:val="none" w:sz="0" w:space="0" w:color="auto"/>
                  </w:divBdr>
                  <w:divsChild>
                    <w:div w:id="241182252">
                      <w:marLeft w:val="0"/>
                      <w:marRight w:val="0"/>
                      <w:marTop w:val="0"/>
                      <w:marBottom w:val="0"/>
                      <w:divBdr>
                        <w:top w:val="none" w:sz="0" w:space="0" w:color="auto"/>
                        <w:left w:val="none" w:sz="0" w:space="0" w:color="auto"/>
                        <w:bottom w:val="none" w:sz="0" w:space="0" w:color="auto"/>
                        <w:right w:val="none" w:sz="0" w:space="0" w:color="auto"/>
                      </w:divBdr>
                    </w:div>
                  </w:divsChild>
                </w:div>
                <w:div w:id="1741714681">
                  <w:marLeft w:val="0"/>
                  <w:marRight w:val="0"/>
                  <w:marTop w:val="0"/>
                  <w:marBottom w:val="0"/>
                  <w:divBdr>
                    <w:top w:val="none" w:sz="0" w:space="0" w:color="auto"/>
                    <w:left w:val="none" w:sz="0" w:space="0" w:color="auto"/>
                    <w:bottom w:val="none" w:sz="0" w:space="0" w:color="auto"/>
                    <w:right w:val="none" w:sz="0" w:space="0" w:color="auto"/>
                  </w:divBdr>
                  <w:divsChild>
                    <w:div w:id="1489439921">
                      <w:marLeft w:val="0"/>
                      <w:marRight w:val="0"/>
                      <w:marTop w:val="0"/>
                      <w:marBottom w:val="0"/>
                      <w:divBdr>
                        <w:top w:val="none" w:sz="0" w:space="0" w:color="auto"/>
                        <w:left w:val="none" w:sz="0" w:space="0" w:color="auto"/>
                        <w:bottom w:val="none" w:sz="0" w:space="0" w:color="auto"/>
                        <w:right w:val="none" w:sz="0" w:space="0" w:color="auto"/>
                      </w:divBdr>
                    </w:div>
                  </w:divsChild>
                </w:div>
                <w:div w:id="1789740675">
                  <w:marLeft w:val="0"/>
                  <w:marRight w:val="0"/>
                  <w:marTop w:val="0"/>
                  <w:marBottom w:val="0"/>
                  <w:divBdr>
                    <w:top w:val="none" w:sz="0" w:space="0" w:color="auto"/>
                    <w:left w:val="none" w:sz="0" w:space="0" w:color="auto"/>
                    <w:bottom w:val="none" w:sz="0" w:space="0" w:color="auto"/>
                    <w:right w:val="none" w:sz="0" w:space="0" w:color="auto"/>
                  </w:divBdr>
                  <w:divsChild>
                    <w:div w:id="1029379974">
                      <w:marLeft w:val="0"/>
                      <w:marRight w:val="0"/>
                      <w:marTop w:val="0"/>
                      <w:marBottom w:val="0"/>
                      <w:divBdr>
                        <w:top w:val="none" w:sz="0" w:space="0" w:color="auto"/>
                        <w:left w:val="none" w:sz="0" w:space="0" w:color="auto"/>
                        <w:bottom w:val="none" w:sz="0" w:space="0" w:color="auto"/>
                        <w:right w:val="none" w:sz="0" w:space="0" w:color="auto"/>
                      </w:divBdr>
                    </w:div>
                    <w:div w:id="1868907721">
                      <w:marLeft w:val="0"/>
                      <w:marRight w:val="0"/>
                      <w:marTop w:val="0"/>
                      <w:marBottom w:val="0"/>
                      <w:divBdr>
                        <w:top w:val="none" w:sz="0" w:space="0" w:color="auto"/>
                        <w:left w:val="none" w:sz="0" w:space="0" w:color="auto"/>
                        <w:bottom w:val="none" w:sz="0" w:space="0" w:color="auto"/>
                        <w:right w:val="none" w:sz="0" w:space="0" w:color="auto"/>
                      </w:divBdr>
                    </w:div>
                  </w:divsChild>
                </w:div>
                <w:div w:id="1795516414">
                  <w:marLeft w:val="0"/>
                  <w:marRight w:val="0"/>
                  <w:marTop w:val="0"/>
                  <w:marBottom w:val="0"/>
                  <w:divBdr>
                    <w:top w:val="none" w:sz="0" w:space="0" w:color="auto"/>
                    <w:left w:val="none" w:sz="0" w:space="0" w:color="auto"/>
                    <w:bottom w:val="none" w:sz="0" w:space="0" w:color="auto"/>
                    <w:right w:val="none" w:sz="0" w:space="0" w:color="auto"/>
                  </w:divBdr>
                  <w:divsChild>
                    <w:div w:id="1040670015">
                      <w:marLeft w:val="0"/>
                      <w:marRight w:val="0"/>
                      <w:marTop w:val="0"/>
                      <w:marBottom w:val="0"/>
                      <w:divBdr>
                        <w:top w:val="none" w:sz="0" w:space="0" w:color="auto"/>
                        <w:left w:val="none" w:sz="0" w:space="0" w:color="auto"/>
                        <w:bottom w:val="none" w:sz="0" w:space="0" w:color="auto"/>
                        <w:right w:val="none" w:sz="0" w:space="0" w:color="auto"/>
                      </w:divBdr>
                    </w:div>
                  </w:divsChild>
                </w:div>
                <w:div w:id="1808467947">
                  <w:marLeft w:val="0"/>
                  <w:marRight w:val="0"/>
                  <w:marTop w:val="0"/>
                  <w:marBottom w:val="0"/>
                  <w:divBdr>
                    <w:top w:val="none" w:sz="0" w:space="0" w:color="auto"/>
                    <w:left w:val="none" w:sz="0" w:space="0" w:color="auto"/>
                    <w:bottom w:val="none" w:sz="0" w:space="0" w:color="auto"/>
                    <w:right w:val="none" w:sz="0" w:space="0" w:color="auto"/>
                  </w:divBdr>
                  <w:divsChild>
                    <w:div w:id="704063640">
                      <w:marLeft w:val="0"/>
                      <w:marRight w:val="0"/>
                      <w:marTop w:val="0"/>
                      <w:marBottom w:val="0"/>
                      <w:divBdr>
                        <w:top w:val="none" w:sz="0" w:space="0" w:color="auto"/>
                        <w:left w:val="none" w:sz="0" w:space="0" w:color="auto"/>
                        <w:bottom w:val="none" w:sz="0" w:space="0" w:color="auto"/>
                        <w:right w:val="none" w:sz="0" w:space="0" w:color="auto"/>
                      </w:divBdr>
                    </w:div>
                  </w:divsChild>
                </w:div>
                <w:div w:id="1854296496">
                  <w:marLeft w:val="0"/>
                  <w:marRight w:val="0"/>
                  <w:marTop w:val="0"/>
                  <w:marBottom w:val="0"/>
                  <w:divBdr>
                    <w:top w:val="none" w:sz="0" w:space="0" w:color="auto"/>
                    <w:left w:val="none" w:sz="0" w:space="0" w:color="auto"/>
                    <w:bottom w:val="none" w:sz="0" w:space="0" w:color="auto"/>
                    <w:right w:val="none" w:sz="0" w:space="0" w:color="auto"/>
                  </w:divBdr>
                  <w:divsChild>
                    <w:div w:id="1579051602">
                      <w:marLeft w:val="0"/>
                      <w:marRight w:val="0"/>
                      <w:marTop w:val="0"/>
                      <w:marBottom w:val="0"/>
                      <w:divBdr>
                        <w:top w:val="none" w:sz="0" w:space="0" w:color="auto"/>
                        <w:left w:val="none" w:sz="0" w:space="0" w:color="auto"/>
                        <w:bottom w:val="none" w:sz="0" w:space="0" w:color="auto"/>
                        <w:right w:val="none" w:sz="0" w:space="0" w:color="auto"/>
                      </w:divBdr>
                    </w:div>
                  </w:divsChild>
                </w:div>
                <w:div w:id="1867408133">
                  <w:marLeft w:val="0"/>
                  <w:marRight w:val="0"/>
                  <w:marTop w:val="0"/>
                  <w:marBottom w:val="0"/>
                  <w:divBdr>
                    <w:top w:val="none" w:sz="0" w:space="0" w:color="auto"/>
                    <w:left w:val="none" w:sz="0" w:space="0" w:color="auto"/>
                    <w:bottom w:val="none" w:sz="0" w:space="0" w:color="auto"/>
                    <w:right w:val="none" w:sz="0" w:space="0" w:color="auto"/>
                  </w:divBdr>
                  <w:divsChild>
                    <w:div w:id="497812853">
                      <w:marLeft w:val="0"/>
                      <w:marRight w:val="0"/>
                      <w:marTop w:val="0"/>
                      <w:marBottom w:val="0"/>
                      <w:divBdr>
                        <w:top w:val="none" w:sz="0" w:space="0" w:color="auto"/>
                        <w:left w:val="none" w:sz="0" w:space="0" w:color="auto"/>
                        <w:bottom w:val="none" w:sz="0" w:space="0" w:color="auto"/>
                        <w:right w:val="none" w:sz="0" w:space="0" w:color="auto"/>
                      </w:divBdr>
                    </w:div>
                  </w:divsChild>
                </w:div>
                <w:div w:id="1890721033">
                  <w:marLeft w:val="0"/>
                  <w:marRight w:val="0"/>
                  <w:marTop w:val="0"/>
                  <w:marBottom w:val="0"/>
                  <w:divBdr>
                    <w:top w:val="none" w:sz="0" w:space="0" w:color="auto"/>
                    <w:left w:val="none" w:sz="0" w:space="0" w:color="auto"/>
                    <w:bottom w:val="none" w:sz="0" w:space="0" w:color="auto"/>
                    <w:right w:val="none" w:sz="0" w:space="0" w:color="auto"/>
                  </w:divBdr>
                  <w:divsChild>
                    <w:div w:id="1167985407">
                      <w:marLeft w:val="0"/>
                      <w:marRight w:val="0"/>
                      <w:marTop w:val="0"/>
                      <w:marBottom w:val="0"/>
                      <w:divBdr>
                        <w:top w:val="none" w:sz="0" w:space="0" w:color="auto"/>
                        <w:left w:val="none" w:sz="0" w:space="0" w:color="auto"/>
                        <w:bottom w:val="none" w:sz="0" w:space="0" w:color="auto"/>
                        <w:right w:val="none" w:sz="0" w:space="0" w:color="auto"/>
                      </w:divBdr>
                    </w:div>
                  </w:divsChild>
                </w:div>
                <w:div w:id="2001617620">
                  <w:marLeft w:val="0"/>
                  <w:marRight w:val="0"/>
                  <w:marTop w:val="0"/>
                  <w:marBottom w:val="0"/>
                  <w:divBdr>
                    <w:top w:val="none" w:sz="0" w:space="0" w:color="auto"/>
                    <w:left w:val="none" w:sz="0" w:space="0" w:color="auto"/>
                    <w:bottom w:val="none" w:sz="0" w:space="0" w:color="auto"/>
                    <w:right w:val="none" w:sz="0" w:space="0" w:color="auto"/>
                  </w:divBdr>
                  <w:divsChild>
                    <w:div w:id="1622957879">
                      <w:marLeft w:val="0"/>
                      <w:marRight w:val="0"/>
                      <w:marTop w:val="0"/>
                      <w:marBottom w:val="0"/>
                      <w:divBdr>
                        <w:top w:val="none" w:sz="0" w:space="0" w:color="auto"/>
                        <w:left w:val="none" w:sz="0" w:space="0" w:color="auto"/>
                        <w:bottom w:val="none" w:sz="0" w:space="0" w:color="auto"/>
                        <w:right w:val="none" w:sz="0" w:space="0" w:color="auto"/>
                      </w:divBdr>
                    </w:div>
                  </w:divsChild>
                </w:div>
                <w:div w:id="2007248550">
                  <w:marLeft w:val="0"/>
                  <w:marRight w:val="0"/>
                  <w:marTop w:val="0"/>
                  <w:marBottom w:val="0"/>
                  <w:divBdr>
                    <w:top w:val="none" w:sz="0" w:space="0" w:color="auto"/>
                    <w:left w:val="none" w:sz="0" w:space="0" w:color="auto"/>
                    <w:bottom w:val="none" w:sz="0" w:space="0" w:color="auto"/>
                    <w:right w:val="none" w:sz="0" w:space="0" w:color="auto"/>
                  </w:divBdr>
                  <w:divsChild>
                    <w:div w:id="446046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523253">
          <w:marLeft w:val="0"/>
          <w:marRight w:val="0"/>
          <w:marTop w:val="0"/>
          <w:marBottom w:val="0"/>
          <w:divBdr>
            <w:top w:val="none" w:sz="0" w:space="0" w:color="auto"/>
            <w:left w:val="none" w:sz="0" w:space="0" w:color="auto"/>
            <w:bottom w:val="none" w:sz="0" w:space="0" w:color="auto"/>
            <w:right w:val="none" w:sz="0" w:space="0" w:color="auto"/>
          </w:divBdr>
          <w:divsChild>
            <w:div w:id="49154837">
              <w:marLeft w:val="0"/>
              <w:marRight w:val="0"/>
              <w:marTop w:val="0"/>
              <w:marBottom w:val="0"/>
              <w:divBdr>
                <w:top w:val="none" w:sz="0" w:space="0" w:color="auto"/>
                <w:left w:val="none" w:sz="0" w:space="0" w:color="auto"/>
                <w:bottom w:val="none" w:sz="0" w:space="0" w:color="auto"/>
                <w:right w:val="none" w:sz="0" w:space="0" w:color="auto"/>
              </w:divBdr>
            </w:div>
            <w:div w:id="69155655">
              <w:marLeft w:val="0"/>
              <w:marRight w:val="0"/>
              <w:marTop w:val="0"/>
              <w:marBottom w:val="0"/>
              <w:divBdr>
                <w:top w:val="none" w:sz="0" w:space="0" w:color="auto"/>
                <w:left w:val="none" w:sz="0" w:space="0" w:color="auto"/>
                <w:bottom w:val="none" w:sz="0" w:space="0" w:color="auto"/>
                <w:right w:val="none" w:sz="0" w:space="0" w:color="auto"/>
              </w:divBdr>
            </w:div>
            <w:div w:id="130098838">
              <w:marLeft w:val="0"/>
              <w:marRight w:val="0"/>
              <w:marTop w:val="0"/>
              <w:marBottom w:val="0"/>
              <w:divBdr>
                <w:top w:val="none" w:sz="0" w:space="0" w:color="auto"/>
                <w:left w:val="none" w:sz="0" w:space="0" w:color="auto"/>
                <w:bottom w:val="none" w:sz="0" w:space="0" w:color="auto"/>
                <w:right w:val="none" w:sz="0" w:space="0" w:color="auto"/>
              </w:divBdr>
            </w:div>
            <w:div w:id="570889313">
              <w:marLeft w:val="0"/>
              <w:marRight w:val="0"/>
              <w:marTop w:val="0"/>
              <w:marBottom w:val="0"/>
              <w:divBdr>
                <w:top w:val="none" w:sz="0" w:space="0" w:color="auto"/>
                <w:left w:val="none" w:sz="0" w:space="0" w:color="auto"/>
                <w:bottom w:val="none" w:sz="0" w:space="0" w:color="auto"/>
                <w:right w:val="none" w:sz="0" w:space="0" w:color="auto"/>
              </w:divBdr>
            </w:div>
            <w:div w:id="928929231">
              <w:marLeft w:val="0"/>
              <w:marRight w:val="0"/>
              <w:marTop w:val="0"/>
              <w:marBottom w:val="0"/>
              <w:divBdr>
                <w:top w:val="none" w:sz="0" w:space="0" w:color="auto"/>
                <w:left w:val="none" w:sz="0" w:space="0" w:color="auto"/>
                <w:bottom w:val="none" w:sz="0" w:space="0" w:color="auto"/>
                <w:right w:val="none" w:sz="0" w:space="0" w:color="auto"/>
              </w:divBdr>
            </w:div>
            <w:div w:id="946347423">
              <w:marLeft w:val="0"/>
              <w:marRight w:val="0"/>
              <w:marTop w:val="0"/>
              <w:marBottom w:val="0"/>
              <w:divBdr>
                <w:top w:val="none" w:sz="0" w:space="0" w:color="auto"/>
                <w:left w:val="none" w:sz="0" w:space="0" w:color="auto"/>
                <w:bottom w:val="none" w:sz="0" w:space="0" w:color="auto"/>
                <w:right w:val="none" w:sz="0" w:space="0" w:color="auto"/>
              </w:divBdr>
            </w:div>
            <w:div w:id="1249314445">
              <w:marLeft w:val="0"/>
              <w:marRight w:val="0"/>
              <w:marTop w:val="0"/>
              <w:marBottom w:val="0"/>
              <w:divBdr>
                <w:top w:val="none" w:sz="0" w:space="0" w:color="auto"/>
                <w:left w:val="none" w:sz="0" w:space="0" w:color="auto"/>
                <w:bottom w:val="none" w:sz="0" w:space="0" w:color="auto"/>
                <w:right w:val="none" w:sz="0" w:space="0" w:color="auto"/>
              </w:divBdr>
            </w:div>
            <w:div w:id="1397584266">
              <w:marLeft w:val="0"/>
              <w:marRight w:val="0"/>
              <w:marTop w:val="0"/>
              <w:marBottom w:val="0"/>
              <w:divBdr>
                <w:top w:val="none" w:sz="0" w:space="0" w:color="auto"/>
                <w:left w:val="none" w:sz="0" w:space="0" w:color="auto"/>
                <w:bottom w:val="none" w:sz="0" w:space="0" w:color="auto"/>
                <w:right w:val="none" w:sz="0" w:space="0" w:color="auto"/>
              </w:divBdr>
            </w:div>
            <w:div w:id="1556239809">
              <w:marLeft w:val="0"/>
              <w:marRight w:val="0"/>
              <w:marTop w:val="0"/>
              <w:marBottom w:val="0"/>
              <w:divBdr>
                <w:top w:val="none" w:sz="0" w:space="0" w:color="auto"/>
                <w:left w:val="none" w:sz="0" w:space="0" w:color="auto"/>
                <w:bottom w:val="none" w:sz="0" w:space="0" w:color="auto"/>
                <w:right w:val="none" w:sz="0" w:space="0" w:color="auto"/>
              </w:divBdr>
            </w:div>
            <w:div w:id="1769882812">
              <w:marLeft w:val="0"/>
              <w:marRight w:val="0"/>
              <w:marTop w:val="0"/>
              <w:marBottom w:val="0"/>
              <w:divBdr>
                <w:top w:val="none" w:sz="0" w:space="0" w:color="auto"/>
                <w:left w:val="none" w:sz="0" w:space="0" w:color="auto"/>
                <w:bottom w:val="none" w:sz="0" w:space="0" w:color="auto"/>
                <w:right w:val="none" w:sz="0" w:space="0" w:color="auto"/>
              </w:divBdr>
            </w:div>
            <w:div w:id="1957903778">
              <w:marLeft w:val="0"/>
              <w:marRight w:val="0"/>
              <w:marTop w:val="0"/>
              <w:marBottom w:val="0"/>
              <w:divBdr>
                <w:top w:val="none" w:sz="0" w:space="0" w:color="auto"/>
                <w:left w:val="none" w:sz="0" w:space="0" w:color="auto"/>
                <w:bottom w:val="none" w:sz="0" w:space="0" w:color="auto"/>
                <w:right w:val="none" w:sz="0" w:space="0" w:color="auto"/>
              </w:divBdr>
            </w:div>
            <w:div w:id="2135979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628556">
      <w:bodyDiv w:val="1"/>
      <w:marLeft w:val="0"/>
      <w:marRight w:val="0"/>
      <w:marTop w:val="0"/>
      <w:marBottom w:val="0"/>
      <w:divBdr>
        <w:top w:val="none" w:sz="0" w:space="0" w:color="auto"/>
        <w:left w:val="none" w:sz="0" w:space="0" w:color="auto"/>
        <w:bottom w:val="none" w:sz="0" w:space="0" w:color="auto"/>
        <w:right w:val="none" w:sz="0" w:space="0" w:color="auto"/>
      </w:divBdr>
    </w:div>
    <w:div w:id="949167391">
      <w:bodyDiv w:val="1"/>
      <w:marLeft w:val="0"/>
      <w:marRight w:val="0"/>
      <w:marTop w:val="0"/>
      <w:marBottom w:val="0"/>
      <w:divBdr>
        <w:top w:val="none" w:sz="0" w:space="0" w:color="auto"/>
        <w:left w:val="none" w:sz="0" w:space="0" w:color="auto"/>
        <w:bottom w:val="none" w:sz="0" w:space="0" w:color="auto"/>
        <w:right w:val="none" w:sz="0" w:space="0" w:color="auto"/>
      </w:divBdr>
    </w:div>
    <w:div w:id="1120807052">
      <w:bodyDiv w:val="1"/>
      <w:marLeft w:val="0"/>
      <w:marRight w:val="0"/>
      <w:marTop w:val="0"/>
      <w:marBottom w:val="0"/>
      <w:divBdr>
        <w:top w:val="none" w:sz="0" w:space="0" w:color="auto"/>
        <w:left w:val="none" w:sz="0" w:space="0" w:color="auto"/>
        <w:bottom w:val="none" w:sz="0" w:space="0" w:color="auto"/>
        <w:right w:val="none" w:sz="0" w:space="0" w:color="auto"/>
      </w:divBdr>
    </w:div>
    <w:div w:id="1132405097">
      <w:bodyDiv w:val="1"/>
      <w:marLeft w:val="0"/>
      <w:marRight w:val="0"/>
      <w:marTop w:val="0"/>
      <w:marBottom w:val="0"/>
      <w:divBdr>
        <w:top w:val="none" w:sz="0" w:space="0" w:color="auto"/>
        <w:left w:val="none" w:sz="0" w:space="0" w:color="auto"/>
        <w:bottom w:val="none" w:sz="0" w:space="0" w:color="auto"/>
        <w:right w:val="none" w:sz="0" w:space="0" w:color="auto"/>
      </w:divBdr>
      <w:divsChild>
        <w:div w:id="943920371">
          <w:marLeft w:val="0"/>
          <w:marRight w:val="0"/>
          <w:marTop w:val="0"/>
          <w:marBottom w:val="0"/>
          <w:divBdr>
            <w:top w:val="none" w:sz="0" w:space="0" w:color="auto"/>
            <w:left w:val="none" w:sz="0" w:space="0" w:color="auto"/>
            <w:bottom w:val="none" w:sz="0" w:space="0" w:color="auto"/>
            <w:right w:val="none" w:sz="0" w:space="0" w:color="auto"/>
          </w:divBdr>
          <w:divsChild>
            <w:div w:id="1266882693">
              <w:marLeft w:val="0"/>
              <w:marRight w:val="0"/>
              <w:marTop w:val="0"/>
              <w:marBottom w:val="0"/>
              <w:divBdr>
                <w:top w:val="none" w:sz="0" w:space="0" w:color="auto"/>
                <w:left w:val="none" w:sz="0" w:space="0" w:color="auto"/>
                <w:bottom w:val="none" w:sz="0" w:space="0" w:color="auto"/>
                <w:right w:val="none" w:sz="0" w:space="0" w:color="auto"/>
              </w:divBdr>
              <w:divsChild>
                <w:div w:id="145365813">
                  <w:marLeft w:val="0"/>
                  <w:marRight w:val="0"/>
                  <w:marTop w:val="0"/>
                  <w:marBottom w:val="0"/>
                  <w:divBdr>
                    <w:top w:val="none" w:sz="0" w:space="0" w:color="auto"/>
                    <w:left w:val="none" w:sz="0" w:space="0" w:color="auto"/>
                    <w:bottom w:val="none" w:sz="0" w:space="0" w:color="auto"/>
                    <w:right w:val="none" w:sz="0" w:space="0" w:color="auto"/>
                  </w:divBdr>
                </w:div>
                <w:div w:id="885793771">
                  <w:marLeft w:val="0"/>
                  <w:marRight w:val="0"/>
                  <w:marTop w:val="0"/>
                  <w:marBottom w:val="0"/>
                  <w:divBdr>
                    <w:top w:val="single" w:sz="6" w:space="4" w:color="FFFFFF"/>
                    <w:left w:val="single" w:sz="6" w:space="8" w:color="FFFFFF"/>
                    <w:bottom w:val="single" w:sz="6" w:space="4" w:color="FFFFFF"/>
                    <w:right w:val="single" w:sz="6" w:space="8" w:color="FFFFFF"/>
                  </w:divBdr>
                </w:div>
              </w:divsChild>
            </w:div>
          </w:divsChild>
        </w:div>
      </w:divsChild>
    </w:div>
    <w:div w:id="1154564496">
      <w:bodyDiv w:val="1"/>
      <w:marLeft w:val="0"/>
      <w:marRight w:val="0"/>
      <w:marTop w:val="0"/>
      <w:marBottom w:val="0"/>
      <w:divBdr>
        <w:top w:val="none" w:sz="0" w:space="0" w:color="auto"/>
        <w:left w:val="none" w:sz="0" w:space="0" w:color="auto"/>
        <w:bottom w:val="none" w:sz="0" w:space="0" w:color="auto"/>
        <w:right w:val="none" w:sz="0" w:space="0" w:color="auto"/>
      </w:divBdr>
    </w:div>
    <w:div w:id="1164204075">
      <w:bodyDiv w:val="1"/>
      <w:marLeft w:val="0"/>
      <w:marRight w:val="0"/>
      <w:marTop w:val="0"/>
      <w:marBottom w:val="0"/>
      <w:divBdr>
        <w:top w:val="none" w:sz="0" w:space="0" w:color="auto"/>
        <w:left w:val="none" w:sz="0" w:space="0" w:color="auto"/>
        <w:bottom w:val="none" w:sz="0" w:space="0" w:color="auto"/>
        <w:right w:val="none" w:sz="0" w:space="0" w:color="auto"/>
      </w:divBdr>
    </w:div>
    <w:div w:id="1184397240">
      <w:bodyDiv w:val="1"/>
      <w:marLeft w:val="0"/>
      <w:marRight w:val="0"/>
      <w:marTop w:val="0"/>
      <w:marBottom w:val="0"/>
      <w:divBdr>
        <w:top w:val="none" w:sz="0" w:space="0" w:color="auto"/>
        <w:left w:val="none" w:sz="0" w:space="0" w:color="auto"/>
        <w:bottom w:val="none" w:sz="0" w:space="0" w:color="auto"/>
        <w:right w:val="none" w:sz="0" w:space="0" w:color="auto"/>
      </w:divBdr>
    </w:div>
    <w:div w:id="1187717096">
      <w:bodyDiv w:val="1"/>
      <w:marLeft w:val="0"/>
      <w:marRight w:val="0"/>
      <w:marTop w:val="0"/>
      <w:marBottom w:val="0"/>
      <w:divBdr>
        <w:top w:val="none" w:sz="0" w:space="0" w:color="auto"/>
        <w:left w:val="none" w:sz="0" w:space="0" w:color="auto"/>
        <w:bottom w:val="none" w:sz="0" w:space="0" w:color="auto"/>
        <w:right w:val="none" w:sz="0" w:space="0" w:color="auto"/>
      </w:divBdr>
    </w:div>
    <w:div w:id="1198738652">
      <w:bodyDiv w:val="1"/>
      <w:marLeft w:val="0"/>
      <w:marRight w:val="0"/>
      <w:marTop w:val="0"/>
      <w:marBottom w:val="0"/>
      <w:divBdr>
        <w:top w:val="none" w:sz="0" w:space="0" w:color="auto"/>
        <w:left w:val="none" w:sz="0" w:space="0" w:color="auto"/>
        <w:bottom w:val="none" w:sz="0" w:space="0" w:color="auto"/>
        <w:right w:val="none" w:sz="0" w:space="0" w:color="auto"/>
      </w:divBdr>
    </w:div>
    <w:div w:id="1234387283">
      <w:bodyDiv w:val="1"/>
      <w:marLeft w:val="0"/>
      <w:marRight w:val="0"/>
      <w:marTop w:val="0"/>
      <w:marBottom w:val="0"/>
      <w:divBdr>
        <w:top w:val="none" w:sz="0" w:space="0" w:color="auto"/>
        <w:left w:val="none" w:sz="0" w:space="0" w:color="auto"/>
        <w:bottom w:val="none" w:sz="0" w:space="0" w:color="auto"/>
        <w:right w:val="none" w:sz="0" w:space="0" w:color="auto"/>
      </w:divBdr>
      <w:divsChild>
        <w:div w:id="443771482">
          <w:marLeft w:val="446"/>
          <w:marRight w:val="0"/>
          <w:marTop w:val="0"/>
          <w:marBottom w:val="0"/>
          <w:divBdr>
            <w:top w:val="none" w:sz="0" w:space="0" w:color="auto"/>
            <w:left w:val="none" w:sz="0" w:space="0" w:color="auto"/>
            <w:bottom w:val="none" w:sz="0" w:space="0" w:color="auto"/>
            <w:right w:val="none" w:sz="0" w:space="0" w:color="auto"/>
          </w:divBdr>
        </w:div>
        <w:div w:id="851188333">
          <w:marLeft w:val="446"/>
          <w:marRight w:val="0"/>
          <w:marTop w:val="0"/>
          <w:marBottom w:val="0"/>
          <w:divBdr>
            <w:top w:val="none" w:sz="0" w:space="0" w:color="auto"/>
            <w:left w:val="none" w:sz="0" w:space="0" w:color="auto"/>
            <w:bottom w:val="none" w:sz="0" w:space="0" w:color="auto"/>
            <w:right w:val="none" w:sz="0" w:space="0" w:color="auto"/>
          </w:divBdr>
        </w:div>
        <w:div w:id="1195997502">
          <w:marLeft w:val="446"/>
          <w:marRight w:val="0"/>
          <w:marTop w:val="0"/>
          <w:marBottom w:val="0"/>
          <w:divBdr>
            <w:top w:val="none" w:sz="0" w:space="0" w:color="auto"/>
            <w:left w:val="none" w:sz="0" w:space="0" w:color="auto"/>
            <w:bottom w:val="none" w:sz="0" w:space="0" w:color="auto"/>
            <w:right w:val="none" w:sz="0" w:space="0" w:color="auto"/>
          </w:divBdr>
        </w:div>
        <w:div w:id="1496147590">
          <w:marLeft w:val="446"/>
          <w:marRight w:val="0"/>
          <w:marTop w:val="0"/>
          <w:marBottom w:val="0"/>
          <w:divBdr>
            <w:top w:val="none" w:sz="0" w:space="0" w:color="auto"/>
            <w:left w:val="none" w:sz="0" w:space="0" w:color="auto"/>
            <w:bottom w:val="none" w:sz="0" w:space="0" w:color="auto"/>
            <w:right w:val="none" w:sz="0" w:space="0" w:color="auto"/>
          </w:divBdr>
        </w:div>
        <w:div w:id="1666595092">
          <w:marLeft w:val="446"/>
          <w:marRight w:val="0"/>
          <w:marTop w:val="0"/>
          <w:marBottom w:val="0"/>
          <w:divBdr>
            <w:top w:val="none" w:sz="0" w:space="0" w:color="auto"/>
            <w:left w:val="none" w:sz="0" w:space="0" w:color="auto"/>
            <w:bottom w:val="none" w:sz="0" w:space="0" w:color="auto"/>
            <w:right w:val="none" w:sz="0" w:space="0" w:color="auto"/>
          </w:divBdr>
        </w:div>
        <w:div w:id="1967661781">
          <w:marLeft w:val="446"/>
          <w:marRight w:val="0"/>
          <w:marTop w:val="0"/>
          <w:marBottom w:val="0"/>
          <w:divBdr>
            <w:top w:val="none" w:sz="0" w:space="0" w:color="auto"/>
            <w:left w:val="none" w:sz="0" w:space="0" w:color="auto"/>
            <w:bottom w:val="none" w:sz="0" w:space="0" w:color="auto"/>
            <w:right w:val="none" w:sz="0" w:space="0" w:color="auto"/>
          </w:divBdr>
        </w:div>
      </w:divsChild>
    </w:div>
    <w:div w:id="1262102483">
      <w:bodyDiv w:val="1"/>
      <w:marLeft w:val="0"/>
      <w:marRight w:val="0"/>
      <w:marTop w:val="0"/>
      <w:marBottom w:val="0"/>
      <w:divBdr>
        <w:top w:val="none" w:sz="0" w:space="0" w:color="auto"/>
        <w:left w:val="none" w:sz="0" w:space="0" w:color="auto"/>
        <w:bottom w:val="none" w:sz="0" w:space="0" w:color="auto"/>
        <w:right w:val="none" w:sz="0" w:space="0" w:color="auto"/>
      </w:divBdr>
    </w:div>
    <w:div w:id="1283225484">
      <w:bodyDiv w:val="1"/>
      <w:marLeft w:val="0"/>
      <w:marRight w:val="0"/>
      <w:marTop w:val="0"/>
      <w:marBottom w:val="0"/>
      <w:divBdr>
        <w:top w:val="none" w:sz="0" w:space="0" w:color="auto"/>
        <w:left w:val="none" w:sz="0" w:space="0" w:color="auto"/>
        <w:bottom w:val="none" w:sz="0" w:space="0" w:color="auto"/>
        <w:right w:val="none" w:sz="0" w:space="0" w:color="auto"/>
      </w:divBdr>
    </w:div>
    <w:div w:id="1306154828">
      <w:bodyDiv w:val="1"/>
      <w:marLeft w:val="0"/>
      <w:marRight w:val="0"/>
      <w:marTop w:val="0"/>
      <w:marBottom w:val="0"/>
      <w:divBdr>
        <w:top w:val="none" w:sz="0" w:space="0" w:color="auto"/>
        <w:left w:val="none" w:sz="0" w:space="0" w:color="auto"/>
        <w:bottom w:val="none" w:sz="0" w:space="0" w:color="auto"/>
        <w:right w:val="none" w:sz="0" w:space="0" w:color="auto"/>
      </w:divBdr>
    </w:div>
    <w:div w:id="1310742794">
      <w:bodyDiv w:val="1"/>
      <w:marLeft w:val="0"/>
      <w:marRight w:val="0"/>
      <w:marTop w:val="0"/>
      <w:marBottom w:val="0"/>
      <w:divBdr>
        <w:top w:val="none" w:sz="0" w:space="0" w:color="auto"/>
        <w:left w:val="none" w:sz="0" w:space="0" w:color="auto"/>
        <w:bottom w:val="none" w:sz="0" w:space="0" w:color="auto"/>
        <w:right w:val="none" w:sz="0" w:space="0" w:color="auto"/>
      </w:divBdr>
      <w:divsChild>
        <w:div w:id="1066101122">
          <w:marLeft w:val="446"/>
          <w:marRight w:val="0"/>
          <w:marTop w:val="0"/>
          <w:marBottom w:val="0"/>
          <w:divBdr>
            <w:top w:val="none" w:sz="0" w:space="0" w:color="auto"/>
            <w:left w:val="none" w:sz="0" w:space="0" w:color="auto"/>
            <w:bottom w:val="none" w:sz="0" w:space="0" w:color="auto"/>
            <w:right w:val="none" w:sz="0" w:space="0" w:color="auto"/>
          </w:divBdr>
        </w:div>
        <w:div w:id="2137483537">
          <w:marLeft w:val="446"/>
          <w:marRight w:val="0"/>
          <w:marTop w:val="0"/>
          <w:marBottom w:val="0"/>
          <w:divBdr>
            <w:top w:val="none" w:sz="0" w:space="0" w:color="auto"/>
            <w:left w:val="none" w:sz="0" w:space="0" w:color="auto"/>
            <w:bottom w:val="none" w:sz="0" w:space="0" w:color="auto"/>
            <w:right w:val="none" w:sz="0" w:space="0" w:color="auto"/>
          </w:divBdr>
        </w:div>
      </w:divsChild>
    </w:div>
    <w:div w:id="1314137911">
      <w:bodyDiv w:val="1"/>
      <w:marLeft w:val="0"/>
      <w:marRight w:val="0"/>
      <w:marTop w:val="0"/>
      <w:marBottom w:val="0"/>
      <w:divBdr>
        <w:top w:val="none" w:sz="0" w:space="0" w:color="auto"/>
        <w:left w:val="none" w:sz="0" w:space="0" w:color="auto"/>
        <w:bottom w:val="none" w:sz="0" w:space="0" w:color="auto"/>
        <w:right w:val="none" w:sz="0" w:space="0" w:color="auto"/>
      </w:divBdr>
    </w:div>
    <w:div w:id="1328051948">
      <w:bodyDiv w:val="1"/>
      <w:marLeft w:val="0"/>
      <w:marRight w:val="0"/>
      <w:marTop w:val="0"/>
      <w:marBottom w:val="0"/>
      <w:divBdr>
        <w:top w:val="none" w:sz="0" w:space="0" w:color="auto"/>
        <w:left w:val="none" w:sz="0" w:space="0" w:color="auto"/>
        <w:bottom w:val="none" w:sz="0" w:space="0" w:color="auto"/>
        <w:right w:val="none" w:sz="0" w:space="0" w:color="auto"/>
      </w:divBdr>
      <w:divsChild>
        <w:div w:id="38557221">
          <w:marLeft w:val="360"/>
          <w:marRight w:val="0"/>
          <w:marTop w:val="240"/>
          <w:marBottom w:val="120"/>
          <w:divBdr>
            <w:top w:val="none" w:sz="0" w:space="0" w:color="auto"/>
            <w:left w:val="none" w:sz="0" w:space="0" w:color="auto"/>
            <w:bottom w:val="none" w:sz="0" w:space="0" w:color="auto"/>
            <w:right w:val="none" w:sz="0" w:space="0" w:color="auto"/>
          </w:divBdr>
        </w:div>
        <w:div w:id="230121670">
          <w:marLeft w:val="360"/>
          <w:marRight w:val="0"/>
          <w:marTop w:val="240"/>
          <w:marBottom w:val="120"/>
          <w:divBdr>
            <w:top w:val="none" w:sz="0" w:space="0" w:color="auto"/>
            <w:left w:val="none" w:sz="0" w:space="0" w:color="auto"/>
            <w:bottom w:val="none" w:sz="0" w:space="0" w:color="auto"/>
            <w:right w:val="none" w:sz="0" w:space="0" w:color="auto"/>
          </w:divBdr>
        </w:div>
        <w:div w:id="628628765">
          <w:marLeft w:val="1080"/>
          <w:marRight w:val="0"/>
          <w:marTop w:val="240"/>
          <w:marBottom w:val="120"/>
          <w:divBdr>
            <w:top w:val="none" w:sz="0" w:space="0" w:color="auto"/>
            <w:left w:val="none" w:sz="0" w:space="0" w:color="auto"/>
            <w:bottom w:val="none" w:sz="0" w:space="0" w:color="auto"/>
            <w:right w:val="none" w:sz="0" w:space="0" w:color="auto"/>
          </w:divBdr>
        </w:div>
        <w:div w:id="1643731485">
          <w:marLeft w:val="1080"/>
          <w:marRight w:val="0"/>
          <w:marTop w:val="240"/>
          <w:marBottom w:val="120"/>
          <w:divBdr>
            <w:top w:val="none" w:sz="0" w:space="0" w:color="auto"/>
            <w:left w:val="none" w:sz="0" w:space="0" w:color="auto"/>
            <w:bottom w:val="none" w:sz="0" w:space="0" w:color="auto"/>
            <w:right w:val="none" w:sz="0" w:space="0" w:color="auto"/>
          </w:divBdr>
        </w:div>
        <w:div w:id="1649897255">
          <w:marLeft w:val="1080"/>
          <w:marRight w:val="0"/>
          <w:marTop w:val="240"/>
          <w:marBottom w:val="120"/>
          <w:divBdr>
            <w:top w:val="none" w:sz="0" w:space="0" w:color="auto"/>
            <w:left w:val="none" w:sz="0" w:space="0" w:color="auto"/>
            <w:bottom w:val="none" w:sz="0" w:space="0" w:color="auto"/>
            <w:right w:val="none" w:sz="0" w:space="0" w:color="auto"/>
          </w:divBdr>
        </w:div>
        <w:div w:id="2009404003">
          <w:marLeft w:val="360"/>
          <w:marRight w:val="0"/>
          <w:marTop w:val="240"/>
          <w:marBottom w:val="120"/>
          <w:divBdr>
            <w:top w:val="none" w:sz="0" w:space="0" w:color="auto"/>
            <w:left w:val="none" w:sz="0" w:space="0" w:color="auto"/>
            <w:bottom w:val="none" w:sz="0" w:space="0" w:color="auto"/>
            <w:right w:val="none" w:sz="0" w:space="0" w:color="auto"/>
          </w:divBdr>
        </w:div>
      </w:divsChild>
    </w:div>
    <w:div w:id="1335303764">
      <w:bodyDiv w:val="1"/>
      <w:marLeft w:val="0"/>
      <w:marRight w:val="0"/>
      <w:marTop w:val="0"/>
      <w:marBottom w:val="0"/>
      <w:divBdr>
        <w:top w:val="none" w:sz="0" w:space="0" w:color="auto"/>
        <w:left w:val="none" w:sz="0" w:space="0" w:color="auto"/>
        <w:bottom w:val="none" w:sz="0" w:space="0" w:color="auto"/>
        <w:right w:val="none" w:sz="0" w:space="0" w:color="auto"/>
      </w:divBdr>
    </w:div>
    <w:div w:id="1342852183">
      <w:bodyDiv w:val="1"/>
      <w:marLeft w:val="0"/>
      <w:marRight w:val="0"/>
      <w:marTop w:val="0"/>
      <w:marBottom w:val="0"/>
      <w:divBdr>
        <w:top w:val="none" w:sz="0" w:space="0" w:color="auto"/>
        <w:left w:val="none" w:sz="0" w:space="0" w:color="auto"/>
        <w:bottom w:val="none" w:sz="0" w:space="0" w:color="auto"/>
        <w:right w:val="none" w:sz="0" w:space="0" w:color="auto"/>
      </w:divBdr>
      <w:divsChild>
        <w:div w:id="12418910">
          <w:marLeft w:val="0"/>
          <w:marRight w:val="0"/>
          <w:marTop w:val="0"/>
          <w:marBottom w:val="0"/>
          <w:divBdr>
            <w:top w:val="none" w:sz="0" w:space="0" w:color="auto"/>
            <w:left w:val="none" w:sz="0" w:space="0" w:color="auto"/>
            <w:bottom w:val="none" w:sz="0" w:space="0" w:color="auto"/>
            <w:right w:val="none" w:sz="0" w:space="0" w:color="auto"/>
          </w:divBdr>
        </w:div>
        <w:div w:id="137308862">
          <w:marLeft w:val="0"/>
          <w:marRight w:val="0"/>
          <w:marTop w:val="0"/>
          <w:marBottom w:val="0"/>
          <w:divBdr>
            <w:top w:val="none" w:sz="0" w:space="0" w:color="auto"/>
            <w:left w:val="none" w:sz="0" w:space="0" w:color="auto"/>
            <w:bottom w:val="none" w:sz="0" w:space="0" w:color="auto"/>
            <w:right w:val="none" w:sz="0" w:space="0" w:color="auto"/>
          </w:divBdr>
        </w:div>
        <w:div w:id="149714488">
          <w:marLeft w:val="0"/>
          <w:marRight w:val="0"/>
          <w:marTop w:val="0"/>
          <w:marBottom w:val="0"/>
          <w:divBdr>
            <w:top w:val="none" w:sz="0" w:space="0" w:color="auto"/>
            <w:left w:val="none" w:sz="0" w:space="0" w:color="auto"/>
            <w:bottom w:val="none" w:sz="0" w:space="0" w:color="auto"/>
            <w:right w:val="none" w:sz="0" w:space="0" w:color="auto"/>
          </w:divBdr>
        </w:div>
        <w:div w:id="363218152">
          <w:marLeft w:val="0"/>
          <w:marRight w:val="0"/>
          <w:marTop w:val="0"/>
          <w:marBottom w:val="0"/>
          <w:divBdr>
            <w:top w:val="none" w:sz="0" w:space="0" w:color="auto"/>
            <w:left w:val="none" w:sz="0" w:space="0" w:color="auto"/>
            <w:bottom w:val="none" w:sz="0" w:space="0" w:color="auto"/>
            <w:right w:val="none" w:sz="0" w:space="0" w:color="auto"/>
          </w:divBdr>
        </w:div>
        <w:div w:id="483393831">
          <w:marLeft w:val="0"/>
          <w:marRight w:val="0"/>
          <w:marTop w:val="0"/>
          <w:marBottom w:val="0"/>
          <w:divBdr>
            <w:top w:val="none" w:sz="0" w:space="0" w:color="auto"/>
            <w:left w:val="none" w:sz="0" w:space="0" w:color="auto"/>
            <w:bottom w:val="none" w:sz="0" w:space="0" w:color="auto"/>
            <w:right w:val="none" w:sz="0" w:space="0" w:color="auto"/>
          </w:divBdr>
        </w:div>
        <w:div w:id="548147193">
          <w:marLeft w:val="0"/>
          <w:marRight w:val="0"/>
          <w:marTop w:val="0"/>
          <w:marBottom w:val="0"/>
          <w:divBdr>
            <w:top w:val="none" w:sz="0" w:space="0" w:color="auto"/>
            <w:left w:val="none" w:sz="0" w:space="0" w:color="auto"/>
            <w:bottom w:val="none" w:sz="0" w:space="0" w:color="auto"/>
            <w:right w:val="none" w:sz="0" w:space="0" w:color="auto"/>
          </w:divBdr>
          <w:divsChild>
            <w:div w:id="214783616">
              <w:marLeft w:val="0"/>
              <w:marRight w:val="0"/>
              <w:marTop w:val="0"/>
              <w:marBottom w:val="0"/>
              <w:divBdr>
                <w:top w:val="none" w:sz="0" w:space="0" w:color="auto"/>
                <w:left w:val="none" w:sz="0" w:space="0" w:color="auto"/>
                <w:bottom w:val="none" w:sz="0" w:space="0" w:color="auto"/>
                <w:right w:val="none" w:sz="0" w:space="0" w:color="auto"/>
              </w:divBdr>
            </w:div>
            <w:div w:id="337971261">
              <w:marLeft w:val="0"/>
              <w:marRight w:val="0"/>
              <w:marTop w:val="0"/>
              <w:marBottom w:val="0"/>
              <w:divBdr>
                <w:top w:val="none" w:sz="0" w:space="0" w:color="auto"/>
                <w:left w:val="none" w:sz="0" w:space="0" w:color="auto"/>
                <w:bottom w:val="none" w:sz="0" w:space="0" w:color="auto"/>
                <w:right w:val="none" w:sz="0" w:space="0" w:color="auto"/>
              </w:divBdr>
            </w:div>
            <w:div w:id="573395925">
              <w:marLeft w:val="0"/>
              <w:marRight w:val="0"/>
              <w:marTop w:val="0"/>
              <w:marBottom w:val="0"/>
              <w:divBdr>
                <w:top w:val="none" w:sz="0" w:space="0" w:color="auto"/>
                <w:left w:val="none" w:sz="0" w:space="0" w:color="auto"/>
                <w:bottom w:val="none" w:sz="0" w:space="0" w:color="auto"/>
                <w:right w:val="none" w:sz="0" w:space="0" w:color="auto"/>
              </w:divBdr>
            </w:div>
            <w:div w:id="697774404">
              <w:marLeft w:val="0"/>
              <w:marRight w:val="0"/>
              <w:marTop w:val="0"/>
              <w:marBottom w:val="0"/>
              <w:divBdr>
                <w:top w:val="none" w:sz="0" w:space="0" w:color="auto"/>
                <w:left w:val="none" w:sz="0" w:space="0" w:color="auto"/>
                <w:bottom w:val="none" w:sz="0" w:space="0" w:color="auto"/>
                <w:right w:val="none" w:sz="0" w:space="0" w:color="auto"/>
              </w:divBdr>
            </w:div>
            <w:div w:id="1352991851">
              <w:marLeft w:val="0"/>
              <w:marRight w:val="0"/>
              <w:marTop w:val="0"/>
              <w:marBottom w:val="0"/>
              <w:divBdr>
                <w:top w:val="none" w:sz="0" w:space="0" w:color="auto"/>
                <w:left w:val="none" w:sz="0" w:space="0" w:color="auto"/>
                <w:bottom w:val="none" w:sz="0" w:space="0" w:color="auto"/>
                <w:right w:val="none" w:sz="0" w:space="0" w:color="auto"/>
              </w:divBdr>
            </w:div>
          </w:divsChild>
        </w:div>
        <w:div w:id="692074603">
          <w:marLeft w:val="0"/>
          <w:marRight w:val="0"/>
          <w:marTop w:val="0"/>
          <w:marBottom w:val="0"/>
          <w:divBdr>
            <w:top w:val="none" w:sz="0" w:space="0" w:color="auto"/>
            <w:left w:val="none" w:sz="0" w:space="0" w:color="auto"/>
            <w:bottom w:val="none" w:sz="0" w:space="0" w:color="auto"/>
            <w:right w:val="none" w:sz="0" w:space="0" w:color="auto"/>
          </w:divBdr>
          <w:divsChild>
            <w:div w:id="74324709">
              <w:marLeft w:val="0"/>
              <w:marRight w:val="0"/>
              <w:marTop w:val="0"/>
              <w:marBottom w:val="0"/>
              <w:divBdr>
                <w:top w:val="none" w:sz="0" w:space="0" w:color="auto"/>
                <w:left w:val="none" w:sz="0" w:space="0" w:color="auto"/>
                <w:bottom w:val="none" w:sz="0" w:space="0" w:color="auto"/>
                <w:right w:val="none" w:sz="0" w:space="0" w:color="auto"/>
              </w:divBdr>
            </w:div>
            <w:div w:id="560755553">
              <w:marLeft w:val="0"/>
              <w:marRight w:val="0"/>
              <w:marTop w:val="0"/>
              <w:marBottom w:val="0"/>
              <w:divBdr>
                <w:top w:val="none" w:sz="0" w:space="0" w:color="auto"/>
                <w:left w:val="none" w:sz="0" w:space="0" w:color="auto"/>
                <w:bottom w:val="none" w:sz="0" w:space="0" w:color="auto"/>
                <w:right w:val="none" w:sz="0" w:space="0" w:color="auto"/>
              </w:divBdr>
            </w:div>
            <w:div w:id="1492864423">
              <w:marLeft w:val="0"/>
              <w:marRight w:val="0"/>
              <w:marTop w:val="0"/>
              <w:marBottom w:val="0"/>
              <w:divBdr>
                <w:top w:val="none" w:sz="0" w:space="0" w:color="auto"/>
                <w:left w:val="none" w:sz="0" w:space="0" w:color="auto"/>
                <w:bottom w:val="none" w:sz="0" w:space="0" w:color="auto"/>
                <w:right w:val="none" w:sz="0" w:space="0" w:color="auto"/>
              </w:divBdr>
            </w:div>
            <w:div w:id="1497183107">
              <w:marLeft w:val="0"/>
              <w:marRight w:val="0"/>
              <w:marTop w:val="0"/>
              <w:marBottom w:val="0"/>
              <w:divBdr>
                <w:top w:val="none" w:sz="0" w:space="0" w:color="auto"/>
                <w:left w:val="none" w:sz="0" w:space="0" w:color="auto"/>
                <w:bottom w:val="none" w:sz="0" w:space="0" w:color="auto"/>
                <w:right w:val="none" w:sz="0" w:space="0" w:color="auto"/>
              </w:divBdr>
            </w:div>
            <w:div w:id="1844584836">
              <w:marLeft w:val="0"/>
              <w:marRight w:val="0"/>
              <w:marTop w:val="0"/>
              <w:marBottom w:val="0"/>
              <w:divBdr>
                <w:top w:val="none" w:sz="0" w:space="0" w:color="auto"/>
                <w:left w:val="none" w:sz="0" w:space="0" w:color="auto"/>
                <w:bottom w:val="none" w:sz="0" w:space="0" w:color="auto"/>
                <w:right w:val="none" w:sz="0" w:space="0" w:color="auto"/>
              </w:divBdr>
            </w:div>
          </w:divsChild>
        </w:div>
        <w:div w:id="816726482">
          <w:marLeft w:val="0"/>
          <w:marRight w:val="0"/>
          <w:marTop w:val="0"/>
          <w:marBottom w:val="0"/>
          <w:divBdr>
            <w:top w:val="none" w:sz="0" w:space="0" w:color="auto"/>
            <w:left w:val="none" w:sz="0" w:space="0" w:color="auto"/>
            <w:bottom w:val="none" w:sz="0" w:space="0" w:color="auto"/>
            <w:right w:val="none" w:sz="0" w:space="0" w:color="auto"/>
          </w:divBdr>
        </w:div>
        <w:div w:id="836920614">
          <w:marLeft w:val="0"/>
          <w:marRight w:val="0"/>
          <w:marTop w:val="0"/>
          <w:marBottom w:val="0"/>
          <w:divBdr>
            <w:top w:val="none" w:sz="0" w:space="0" w:color="auto"/>
            <w:left w:val="none" w:sz="0" w:space="0" w:color="auto"/>
            <w:bottom w:val="none" w:sz="0" w:space="0" w:color="auto"/>
            <w:right w:val="none" w:sz="0" w:space="0" w:color="auto"/>
          </w:divBdr>
        </w:div>
        <w:div w:id="867716367">
          <w:marLeft w:val="0"/>
          <w:marRight w:val="0"/>
          <w:marTop w:val="0"/>
          <w:marBottom w:val="0"/>
          <w:divBdr>
            <w:top w:val="none" w:sz="0" w:space="0" w:color="auto"/>
            <w:left w:val="none" w:sz="0" w:space="0" w:color="auto"/>
            <w:bottom w:val="none" w:sz="0" w:space="0" w:color="auto"/>
            <w:right w:val="none" w:sz="0" w:space="0" w:color="auto"/>
          </w:divBdr>
        </w:div>
        <w:div w:id="923107265">
          <w:marLeft w:val="0"/>
          <w:marRight w:val="0"/>
          <w:marTop w:val="0"/>
          <w:marBottom w:val="0"/>
          <w:divBdr>
            <w:top w:val="none" w:sz="0" w:space="0" w:color="auto"/>
            <w:left w:val="none" w:sz="0" w:space="0" w:color="auto"/>
            <w:bottom w:val="none" w:sz="0" w:space="0" w:color="auto"/>
            <w:right w:val="none" w:sz="0" w:space="0" w:color="auto"/>
          </w:divBdr>
        </w:div>
        <w:div w:id="1070465453">
          <w:marLeft w:val="0"/>
          <w:marRight w:val="0"/>
          <w:marTop w:val="0"/>
          <w:marBottom w:val="0"/>
          <w:divBdr>
            <w:top w:val="none" w:sz="0" w:space="0" w:color="auto"/>
            <w:left w:val="none" w:sz="0" w:space="0" w:color="auto"/>
            <w:bottom w:val="none" w:sz="0" w:space="0" w:color="auto"/>
            <w:right w:val="none" w:sz="0" w:space="0" w:color="auto"/>
          </w:divBdr>
        </w:div>
        <w:div w:id="1137868581">
          <w:marLeft w:val="0"/>
          <w:marRight w:val="0"/>
          <w:marTop w:val="0"/>
          <w:marBottom w:val="0"/>
          <w:divBdr>
            <w:top w:val="none" w:sz="0" w:space="0" w:color="auto"/>
            <w:left w:val="none" w:sz="0" w:space="0" w:color="auto"/>
            <w:bottom w:val="none" w:sz="0" w:space="0" w:color="auto"/>
            <w:right w:val="none" w:sz="0" w:space="0" w:color="auto"/>
          </w:divBdr>
        </w:div>
        <w:div w:id="1179124980">
          <w:marLeft w:val="0"/>
          <w:marRight w:val="0"/>
          <w:marTop w:val="0"/>
          <w:marBottom w:val="0"/>
          <w:divBdr>
            <w:top w:val="none" w:sz="0" w:space="0" w:color="auto"/>
            <w:left w:val="none" w:sz="0" w:space="0" w:color="auto"/>
            <w:bottom w:val="none" w:sz="0" w:space="0" w:color="auto"/>
            <w:right w:val="none" w:sz="0" w:space="0" w:color="auto"/>
          </w:divBdr>
          <w:divsChild>
            <w:div w:id="753479896">
              <w:marLeft w:val="0"/>
              <w:marRight w:val="0"/>
              <w:marTop w:val="0"/>
              <w:marBottom w:val="0"/>
              <w:divBdr>
                <w:top w:val="none" w:sz="0" w:space="0" w:color="auto"/>
                <w:left w:val="none" w:sz="0" w:space="0" w:color="auto"/>
                <w:bottom w:val="none" w:sz="0" w:space="0" w:color="auto"/>
                <w:right w:val="none" w:sz="0" w:space="0" w:color="auto"/>
              </w:divBdr>
            </w:div>
            <w:div w:id="1534656521">
              <w:marLeft w:val="0"/>
              <w:marRight w:val="0"/>
              <w:marTop w:val="0"/>
              <w:marBottom w:val="0"/>
              <w:divBdr>
                <w:top w:val="none" w:sz="0" w:space="0" w:color="auto"/>
                <w:left w:val="none" w:sz="0" w:space="0" w:color="auto"/>
                <w:bottom w:val="none" w:sz="0" w:space="0" w:color="auto"/>
                <w:right w:val="none" w:sz="0" w:space="0" w:color="auto"/>
              </w:divBdr>
            </w:div>
            <w:div w:id="1920098086">
              <w:marLeft w:val="0"/>
              <w:marRight w:val="0"/>
              <w:marTop w:val="0"/>
              <w:marBottom w:val="0"/>
              <w:divBdr>
                <w:top w:val="none" w:sz="0" w:space="0" w:color="auto"/>
                <w:left w:val="none" w:sz="0" w:space="0" w:color="auto"/>
                <w:bottom w:val="none" w:sz="0" w:space="0" w:color="auto"/>
                <w:right w:val="none" w:sz="0" w:space="0" w:color="auto"/>
              </w:divBdr>
            </w:div>
            <w:div w:id="1920939332">
              <w:marLeft w:val="0"/>
              <w:marRight w:val="0"/>
              <w:marTop w:val="0"/>
              <w:marBottom w:val="0"/>
              <w:divBdr>
                <w:top w:val="none" w:sz="0" w:space="0" w:color="auto"/>
                <w:left w:val="none" w:sz="0" w:space="0" w:color="auto"/>
                <w:bottom w:val="none" w:sz="0" w:space="0" w:color="auto"/>
                <w:right w:val="none" w:sz="0" w:space="0" w:color="auto"/>
              </w:divBdr>
            </w:div>
            <w:div w:id="1994219438">
              <w:marLeft w:val="0"/>
              <w:marRight w:val="0"/>
              <w:marTop w:val="0"/>
              <w:marBottom w:val="0"/>
              <w:divBdr>
                <w:top w:val="none" w:sz="0" w:space="0" w:color="auto"/>
                <w:left w:val="none" w:sz="0" w:space="0" w:color="auto"/>
                <w:bottom w:val="none" w:sz="0" w:space="0" w:color="auto"/>
                <w:right w:val="none" w:sz="0" w:space="0" w:color="auto"/>
              </w:divBdr>
            </w:div>
          </w:divsChild>
        </w:div>
        <w:div w:id="1637028947">
          <w:marLeft w:val="0"/>
          <w:marRight w:val="0"/>
          <w:marTop w:val="0"/>
          <w:marBottom w:val="0"/>
          <w:divBdr>
            <w:top w:val="none" w:sz="0" w:space="0" w:color="auto"/>
            <w:left w:val="none" w:sz="0" w:space="0" w:color="auto"/>
            <w:bottom w:val="none" w:sz="0" w:space="0" w:color="auto"/>
            <w:right w:val="none" w:sz="0" w:space="0" w:color="auto"/>
          </w:divBdr>
        </w:div>
        <w:div w:id="1641836283">
          <w:marLeft w:val="0"/>
          <w:marRight w:val="0"/>
          <w:marTop w:val="0"/>
          <w:marBottom w:val="0"/>
          <w:divBdr>
            <w:top w:val="none" w:sz="0" w:space="0" w:color="auto"/>
            <w:left w:val="none" w:sz="0" w:space="0" w:color="auto"/>
            <w:bottom w:val="none" w:sz="0" w:space="0" w:color="auto"/>
            <w:right w:val="none" w:sz="0" w:space="0" w:color="auto"/>
          </w:divBdr>
        </w:div>
        <w:div w:id="1675760384">
          <w:marLeft w:val="0"/>
          <w:marRight w:val="0"/>
          <w:marTop w:val="0"/>
          <w:marBottom w:val="0"/>
          <w:divBdr>
            <w:top w:val="none" w:sz="0" w:space="0" w:color="auto"/>
            <w:left w:val="none" w:sz="0" w:space="0" w:color="auto"/>
            <w:bottom w:val="none" w:sz="0" w:space="0" w:color="auto"/>
            <w:right w:val="none" w:sz="0" w:space="0" w:color="auto"/>
          </w:divBdr>
        </w:div>
        <w:div w:id="1711609461">
          <w:marLeft w:val="0"/>
          <w:marRight w:val="0"/>
          <w:marTop w:val="0"/>
          <w:marBottom w:val="0"/>
          <w:divBdr>
            <w:top w:val="none" w:sz="0" w:space="0" w:color="auto"/>
            <w:left w:val="none" w:sz="0" w:space="0" w:color="auto"/>
            <w:bottom w:val="none" w:sz="0" w:space="0" w:color="auto"/>
            <w:right w:val="none" w:sz="0" w:space="0" w:color="auto"/>
          </w:divBdr>
        </w:div>
        <w:div w:id="1717118475">
          <w:marLeft w:val="0"/>
          <w:marRight w:val="0"/>
          <w:marTop w:val="0"/>
          <w:marBottom w:val="0"/>
          <w:divBdr>
            <w:top w:val="none" w:sz="0" w:space="0" w:color="auto"/>
            <w:left w:val="none" w:sz="0" w:space="0" w:color="auto"/>
            <w:bottom w:val="none" w:sz="0" w:space="0" w:color="auto"/>
            <w:right w:val="none" w:sz="0" w:space="0" w:color="auto"/>
          </w:divBdr>
        </w:div>
        <w:div w:id="1759669483">
          <w:marLeft w:val="0"/>
          <w:marRight w:val="0"/>
          <w:marTop w:val="0"/>
          <w:marBottom w:val="0"/>
          <w:divBdr>
            <w:top w:val="none" w:sz="0" w:space="0" w:color="auto"/>
            <w:left w:val="none" w:sz="0" w:space="0" w:color="auto"/>
            <w:bottom w:val="none" w:sz="0" w:space="0" w:color="auto"/>
            <w:right w:val="none" w:sz="0" w:space="0" w:color="auto"/>
          </w:divBdr>
        </w:div>
        <w:div w:id="2013220521">
          <w:marLeft w:val="0"/>
          <w:marRight w:val="0"/>
          <w:marTop w:val="0"/>
          <w:marBottom w:val="0"/>
          <w:divBdr>
            <w:top w:val="none" w:sz="0" w:space="0" w:color="auto"/>
            <w:left w:val="none" w:sz="0" w:space="0" w:color="auto"/>
            <w:bottom w:val="none" w:sz="0" w:space="0" w:color="auto"/>
            <w:right w:val="none" w:sz="0" w:space="0" w:color="auto"/>
          </w:divBdr>
          <w:divsChild>
            <w:div w:id="141310193">
              <w:marLeft w:val="0"/>
              <w:marRight w:val="0"/>
              <w:marTop w:val="0"/>
              <w:marBottom w:val="0"/>
              <w:divBdr>
                <w:top w:val="none" w:sz="0" w:space="0" w:color="auto"/>
                <w:left w:val="none" w:sz="0" w:space="0" w:color="auto"/>
                <w:bottom w:val="none" w:sz="0" w:space="0" w:color="auto"/>
                <w:right w:val="none" w:sz="0" w:space="0" w:color="auto"/>
              </w:divBdr>
            </w:div>
            <w:div w:id="242295930">
              <w:marLeft w:val="0"/>
              <w:marRight w:val="0"/>
              <w:marTop w:val="0"/>
              <w:marBottom w:val="0"/>
              <w:divBdr>
                <w:top w:val="none" w:sz="0" w:space="0" w:color="auto"/>
                <w:left w:val="none" w:sz="0" w:space="0" w:color="auto"/>
                <w:bottom w:val="none" w:sz="0" w:space="0" w:color="auto"/>
                <w:right w:val="none" w:sz="0" w:space="0" w:color="auto"/>
              </w:divBdr>
            </w:div>
            <w:div w:id="941759677">
              <w:marLeft w:val="0"/>
              <w:marRight w:val="0"/>
              <w:marTop w:val="0"/>
              <w:marBottom w:val="0"/>
              <w:divBdr>
                <w:top w:val="none" w:sz="0" w:space="0" w:color="auto"/>
                <w:left w:val="none" w:sz="0" w:space="0" w:color="auto"/>
                <w:bottom w:val="none" w:sz="0" w:space="0" w:color="auto"/>
                <w:right w:val="none" w:sz="0" w:space="0" w:color="auto"/>
              </w:divBdr>
            </w:div>
            <w:div w:id="1775860726">
              <w:marLeft w:val="0"/>
              <w:marRight w:val="0"/>
              <w:marTop w:val="0"/>
              <w:marBottom w:val="0"/>
              <w:divBdr>
                <w:top w:val="none" w:sz="0" w:space="0" w:color="auto"/>
                <w:left w:val="none" w:sz="0" w:space="0" w:color="auto"/>
                <w:bottom w:val="none" w:sz="0" w:space="0" w:color="auto"/>
                <w:right w:val="none" w:sz="0" w:space="0" w:color="auto"/>
              </w:divBdr>
            </w:div>
            <w:div w:id="202771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991303">
      <w:bodyDiv w:val="1"/>
      <w:marLeft w:val="0"/>
      <w:marRight w:val="0"/>
      <w:marTop w:val="0"/>
      <w:marBottom w:val="0"/>
      <w:divBdr>
        <w:top w:val="none" w:sz="0" w:space="0" w:color="auto"/>
        <w:left w:val="none" w:sz="0" w:space="0" w:color="auto"/>
        <w:bottom w:val="none" w:sz="0" w:space="0" w:color="auto"/>
        <w:right w:val="none" w:sz="0" w:space="0" w:color="auto"/>
      </w:divBdr>
    </w:div>
    <w:div w:id="1390154493">
      <w:bodyDiv w:val="1"/>
      <w:marLeft w:val="0"/>
      <w:marRight w:val="0"/>
      <w:marTop w:val="0"/>
      <w:marBottom w:val="0"/>
      <w:divBdr>
        <w:top w:val="none" w:sz="0" w:space="0" w:color="auto"/>
        <w:left w:val="none" w:sz="0" w:space="0" w:color="auto"/>
        <w:bottom w:val="none" w:sz="0" w:space="0" w:color="auto"/>
        <w:right w:val="none" w:sz="0" w:space="0" w:color="auto"/>
      </w:divBdr>
    </w:div>
    <w:div w:id="1414816594">
      <w:bodyDiv w:val="1"/>
      <w:marLeft w:val="0"/>
      <w:marRight w:val="0"/>
      <w:marTop w:val="0"/>
      <w:marBottom w:val="0"/>
      <w:divBdr>
        <w:top w:val="none" w:sz="0" w:space="0" w:color="auto"/>
        <w:left w:val="none" w:sz="0" w:space="0" w:color="auto"/>
        <w:bottom w:val="none" w:sz="0" w:space="0" w:color="auto"/>
        <w:right w:val="none" w:sz="0" w:space="0" w:color="auto"/>
      </w:divBdr>
    </w:div>
    <w:div w:id="1437557812">
      <w:bodyDiv w:val="1"/>
      <w:marLeft w:val="0"/>
      <w:marRight w:val="0"/>
      <w:marTop w:val="0"/>
      <w:marBottom w:val="0"/>
      <w:divBdr>
        <w:top w:val="none" w:sz="0" w:space="0" w:color="auto"/>
        <w:left w:val="none" w:sz="0" w:space="0" w:color="auto"/>
        <w:bottom w:val="none" w:sz="0" w:space="0" w:color="auto"/>
        <w:right w:val="none" w:sz="0" w:space="0" w:color="auto"/>
      </w:divBdr>
    </w:div>
    <w:div w:id="1446461489">
      <w:bodyDiv w:val="1"/>
      <w:marLeft w:val="0"/>
      <w:marRight w:val="0"/>
      <w:marTop w:val="0"/>
      <w:marBottom w:val="0"/>
      <w:divBdr>
        <w:top w:val="none" w:sz="0" w:space="0" w:color="auto"/>
        <w:left w:val="none" w:sz="0" w:space="0" w:color="auto"/>
        <w:bottom w:val="none" w:sz="0" w:space="0" w:color="auto"/>
        <w:right w:val="none" w:sz="0" w:space="0" w:color="auto"/>
      </w:divBdr>
      <w:divsChild>
        <w:div w:id="177157236">
          <w:marLeft w:val="0"/>
          <w:marRight w:val="0"/>
          <w:marTop w:val="450"/>
          <w:marBottom w:val="450"/>
          <w:divBdr>
            <w:top w:val="none" w:sz="0" w:space="0" w:color="auto"/>
            <w:left w:val="none" w:sz="0" w:space="0" w:color="auto"/>
            <w:bottom w:val="none" w:sz="0" w:space="0" w:color="auto"/>
            <w:right w:val="none" w:sz="0" w:space="0" w:color="auto"/>
          </w:divBdr>
        </w:div>
      </w:divsChild>
    </w:div>
    <w:div w:id="1477332565">
      <w:bodyDiv w:val="1"/>
      <w:marLeft w:val="0"/>
      <w:marRight w:val="0"/>
      <w:marTop w:val="0"/>
      <w:marBottom w:val="0"/>
      <w:divBdr>
        <w:top w:val="none" w:sz="0" w:space="0" w:color="auto"/>
        <w:left w:val="none" w:sz="0" w:space="0" w:color="auto"/>
        <w:bottom w:val="none" w:sz="0" w:space="0" w:color="auto"/>
        <w:right w:val="none" w:sz="0" w:space="0" w:color="auto"/>
      </w:divBdr>
    </w:div>
    <w:div w:id="1491140783">
      <w:bodyDiv w:val="1"/>
      <w:marLeft w:val="0"/>
      <w:marRight w:val="0"/>
      <w:marTop w:val="0"/>
      <w:marBottom w:val="0"/>
      <w:divBdr>
        <w:top w:val="none" w:sz="0" w:space="0" w:color="auto"/>
        <w:left w:val="none" w:sz="0" w:space="0" w:color="auto"/>
        <w:bottom w:val="none" w:sz="0" w:space="0" w:color="auto"/>
        <w:right w:val="none" w:sz="0" w:space="0" w:color="auto"/>
      </w:divBdr>
    </w:div>
    <w:div w:id="1539588006">
      <w:bodyDiv w:val="1"/>
      <w:marLeft w:val="0"/>
      <w:marRight w:val="0"/>
      <w:marTop w:val="0"/>
      <w:marBottom w:val="0"/>
      <w:divBdr>
        <w:top w:val="none" w:sz="0" w:space="0" w:color="auto"/>
        <w:left w:val="none" w:sz="0" w:space="0" w:color="auto"/>
        <w:bottom w:val="none" w:sz="0" w:space="0" w:color="auto"/>
        <w:right w:val="none" w:sz="0" w:space="0" w:color="auto"/>
      </w:divBdr>
      <w:divsChild>
        <w:div w:id="23555791">
          <w:marLeft w:val="0"/>
          <w:marRight w:val="0"/>
          <w:marTop w:val="0"/>
          <w:marBottom w:val="0"/>
          <w:divBdr>
            <w:top w:val="none" w:sz="0" w:space="0" w:color="auto"/>
            <w:left w:val="none" w:sz="0" w:space="0" w:color="auto"/>
            <w:bottom w:val="none" w:sz="0" w:space="0" w:color="auto"/>
            <w:right w:val="none" w:sz="0" w:space="0" w:color="auto"/>
          </w:divBdr>
        </w:div>
        <w:div w:id="69929494">
          <w:marLeft w:val="0"/>
          <w:marRight w:val="0"/>
          <w:marTop w:val="0"/>
          <w:marBottom w:val="0"/>
          <w:divBdr>
            <w:top w:val="none" w:sz="0" w:space="0" w:color="auto"/>
            <w:left w:val="none" w:sz="0" w:space="0" w:color="auto"/>
            <w:bottom w:val="none" w:sz="0" w:space="0" w:color="auto"/>
            <w:right w:val="none" w:sz="0" w:space="0" w:color="auto"/>
          </w:divBdr>
        </w:div>
        <w:div w:id="119498848">
          <w:marLeft w:val="0"/>
          <w:marRight w:val="0"/>
          <w:marTop w:val="0"/>
          <w:marBottom w:val="0"/>
          <w:divBdr>
            <w:top w:val="none" w:sz="0" w:space="0" w:color="auto"/>
            <w:left w:val="none" w:sz="0" w:space="0" w:color="auto"/>
            <w:bottom w:val="none" w:sz="0" w:space="0" w:color="auto"/>
            <w:right w:val="none" w:sz="0" w:space="0" w:color="auto"/>
          </w:divBdr>
        </w:div>
        <w:div w:id="322242530">
          <w:marLeft w:val="0"/>
          <w:marRight w:val="0"/>
          <w:marTop w:val="0"/>
          <w:marBottom w:val="0"/>
          <w:divBdr>
            <w:top w:val="none" w:sz="0" w:space="0" w:color="auto"/>
            <w:left w:val="none" w:sz="0" w:space="0" w:color="auto"/>
            <w:bottom w:val="none" w:sz="0" w:space="0" w:color="auto"/>
            <w:right w:val="none" w:sz="0" w:space="0" w:color="auto"/>
          </w:divBdr>
        </w:div>
        <w:div w:id="343675385">
          <w:marLeft w:val="0"/>
          <w:marRight w:val="0"/>
          <w:marTop w:val="0"/>
          <w:marBottom w:val="0"/>
          <w:divBdr>
            <w:top w:val="none" w:sz="0" w:space="0" w:color="auto"/>
            <w:left w:val="none" w:sz="0" w:space="0" w:color="auto"/>
            <w:bottom w:val="none" w:sz="0" w:space="0" w:color="auto"/>
            <w:right w:val="none" w:sz="0" w:space="0" w:color="auto"/>
          </w:divBdr>
        </w:div>
        <w:div w:id="391775101">
          <w:marLeft w:val="0"/>
          <w:marRight w:val="0"/>
          <w:marTop w:val="0"/>
          <w:marBottom w:val="0"/>
          <w:divBdr>
            <w:top w:val="none" w:sz="0" w:space="0" w:color="auto"/>
            <w:left w:val="none" w:sz="0" w:space="0" w:color="auto"/>
            <w:bottom w:val="none" w:sz="0" w:space="0" w:color="auto"/>
            <w:right w:val="none" w:sz="0" w:space="0" w:color="auto"/>
          </w:divBdr>
        </w:div>
        <w:div w:id="463155872">
          <w:marLeft w:val="0"/>
          <w:marRight w:val="0"/>
          <w:marTop w:val="0"/>
          <w:marBottom w:val="0"/>
          <w:divBdr>
            <w:top w:val="none" w:sz="0" w:space="0" w:color="auto"/>
            <w:left w:val="none" w:sz="0" w:space="0" w:color="auto"/>
            <w:bottom w:val="none" w:sz="0" w:space="0" w:color="auto"/>
            <w:right w:val="none" w:sz="0" w:space="0" w:color="auto"/>
          </w:divBdr>
        </w:div>
        <w:div w:id="491917677">
          <w:marLeft w:val="0"/>
          <w:marRight w:val="0"/>
          <w:marTop w:val="0"/>
          <w:marBottom w:val="0"/>
          <w:divBdr>
            <w:top w:val="none" w:sz="0" w:space="0" w:color="auto"/>
            <w:left w:val="none" w:sz="0" w:space="0" w:color="auto"/>
            <w:bottom w:val="none" w:sz="0" w:space="0" w:color="auto"/>
            <w:right w:val="none" w:sz="0" w:space="0" w:color="auto"/>
          </w:divBdr>
        </w:div>
        <w:div w:id="505023603">
          <w:marLeft w:val="0"/>
          <w:marRight w:val="0"/>
          <w:marTop w:val="0"/>
          <w:marBottom w:val="0"/>
          <w:divBdr>
            <w:top w:val="none" w:sz="0" w:space="0" w:color="auto"/>
            <w:left w:val="none" w:sz="0" w:space="0" w:color="auto"/>
            <w:bottom w:val="none" w:sz="0" w:space="0" w:color="auto"/>
            <w:right w:val="none" w:sz="0" w:space="0" w:color="auto"/>
          </w:divBdr>
        </w:div>
        <w:div w:id="631248806">
          <w:marLeft w:val="0"/>
          <w:marRight w:val="0"/>
          <w:marTop w:val="0"/>
          <w:marBottom w:val="0"/>
          <w:divBdr>
            <w:top w:val="none" w:sz="0" w:space="0" w:color="auto"/>
            <w:left w:val="none" w:sz="0" w:space="0" w:color="auto"/>
            <w:bottom w:val="none" w:sz="0" w:space="0" w:color="auto"/>
            <w:right w:val="none" w:sz="0" w:space="0" w:color="auto"/>
          </w:divBdr>
        </w:div>
        <w:div w:id="659770777">
          <w:marLeft w:val="0"/>
          <w:marRight w:val="0"/>
          <w:marTop w:val="0"/>
          <w:marBottom w:val="0"/>
          <w:divBdr>
            <w:top w:val="none" w:sz="0" w:space="0" w:color="auto"/>
            <w:left w:val="none" w:sz="0" w:space="0" w:color="auto"/>
            <w:bottom w:val="none" w:sz="0" w:space="0" w:color="auto"/>
            <w:right w:val="none" w:sz="0" w:space="0" w:color="auto"/>
          </w:divBdr>
        </w:div>
        <w:div w:id="789055863">
          <w:marLeft w:val="0"/>
          <w:marRight w:val="0"/>
          <w:marTop w:val="0"/>
          <w:marBottom w:val="0"/>
          <w:divBdr>
            <w:top w:val="none" w:sz="0" w:space="0" w:color="auto"/>
            <w:left w:val="none" w:sz="0" w:space="0" w:color="auto"/>
            <w:bottom w:val="none" w:sz="0" w:space="0" w:color="auto"/>
            <w:right w:val="none" w:sz="0" w:space="0" w:color="auto"/>
          </w:divBdr>
          <w:divsChild>
            <w:div w:id="392655758">
              <w:marLeft w:val="-75"/>
              <w:marRight w:val="0"/>
              <w:marTop w:val="30"/>
              <w:marBottom w:val="30"/>
              <w:divBdr>
                <w:top w:val="none" w:sz="0" w:space="0" w:color="auto"/>
                <w:left w:val="none" w:sz="0" w:space="0" w:color="auto"/>
                <w:bottom w:val="none" w:sz="0" w:space="0" w:color="auto"/>
                <w:right w:val="none" w:sz="0" w:space="0" w:color="auto"/>
              </w:divBdr>
              <w:divsChild>
                <w:div w:id="374938230">
                  <w:marLeft w:val="0"/>
                  <w:marRight w:val="0"/>
                  <w:marTop w:val="0"/>
                  <w:marBottom w:val="0"/>
                  <w:divBdr>
                    <w:top w:val="none" w:sz="0" w:space="0" w:color="auto"/>
                    <w:left w:val="none" w:sz="0" w:space="0" w:color="auto"/>
                    <w:bottom w:val="none" w:sz="0" w:space="0" w:color="auto"/>
                    <w:right w:val="none" w:sz="0" w:space="0" w:color="auto"/>
                  </w:divBdr>
                  <w:divsChild>
                    <w:div w:id="1826967832">
                      <w:marLeft w:val="0"/>
                      <w:marRight w:val="0"/>
                      <w:marTop w:val="0"/>
                      <w:marBottom w:val="0"/>
                      <w:divBdr>
                        <w:top w:val="none" w:sz="0" w:space="0" w:color="auto"/>
                        <w:left w:val="none" w:sz="0" w:space="0" w:color="auto"/>
                        <w:bottom w:val="none" w:sz="0" w:space="0" w:color="auto"/>
                        <w:right w:val="none" w:sz="0" w:space="0" w:color="auto"/>
                      </w:divBdr>
                    </w:div>
                  </w:divsChild>
                </w:div>
                <w:div w:id="381952305">
                  <w:marLeft w:val="0"/>
                  <w:marRight w:val="0"/>
                  <w:marTop w:val="0"/>
                  <w:marBottom w:val="0"/>
                  <w:divBdr>
                    <w:top w:val="none" w:sz="0" w:space="0" w:color="auto"/>
                    <w:left w:val="none" w:sz="0" w:space="0" w:color="auto"/>
                    <w:bottom w:val="none" w:sz="0" w:space="0" w:color="auto"/>
                    <w:right w:val="none" w:sz="0" w:space="0" w:color="auto"/>
                  </w:divBdr>
                  <w:divsChild>
                    <w:div w:id="60293272">
                      <w:marLeft w:val="0"/>
                      <w:marRight w:val="0"/>
                      <w:marTop w:val="0"/>
                      <w:marBottom w:val="0"/>
                      <w:divBdr>
                        <w:top w:val="none" w:sz="0" w:space="0" w:color="auto"/>
                        <w:left w:val="none" w:sz="0" w:space="0" w:color="auto"/>
                        <w:bottom w:val="none" w:sz="0" w:space="0" w:color="auto"/>
                        <w:right w:val="none" w:sz="0" w:space="0" w:color="auto"/>
                      </w:divBdr>
                    </w:div>
                    <w:div w:id="492338399">
                      <w:marLeft w:val="0"/>
                      <w:marRight w:val="0"/>
                      <w:marTop w:val="0"/>
                      <w:marBottom w:val="0"/>
                      <w:divBdr>
                        <w:top w:val="none" w:sz="0" w:space="0" w:color="auto"/>
                        <w:left w:val="none" w:sz="0" w:space="0" w:color="auto"/>
                        <w:bottom w:val="none" w:sz="0" w:space="0" w:color="auto"/>
                        <w:right w:val="none" w:sz="0" w:space="0" w:color="auto"/>
                      </w:divBdr>
                    </w:div>
                    <w:div w:id="1356811247">
                      <w:marLeft w:val="0"/>
                      <w:marRight w:val="0"/>
                      <w:marTop w:val="0"/>
                      <w:marBottom w:val="0"/>
                      <w:divBdr>
                        <w:top w:val="none" w:sz="0" w:space="0" w:color="auto"/>
                        <w:left w:val="none" w:sz="0" w:space="0" w:color="auto"/>
                        <w:bottom w:val="none" w:sz="0" w:space="0" w:color="auto"/>
                        <w:right w:val="none" w:sz="0" w:space="0" w:color="auto"/>
                      </w:divBdr>
                    </w:div>
                  </w:divsChild>
                </w:div>
                <w:div w:id="494954220">
                  <w:marLeft w:val="0"/>
                  <w:marRight w:val="0"/>
                  <w:marTop w:val="0"/>
                  <w:marBottom w:val="0"/>
                  <w:divBdr>
                    <w:top w:val="none" w:sz="0" w:space="0" w:color="auto"/>
                    <w:left w:val="none" w:sz="0" w:space="0" w:color="auto"/>
                    <w:bottom w:val="none" w:sz="0" w:space="0" w:color="auto"/>
                    <w:right w:val="none" w:sz="0" w:space="0" w:color="auto"/>
                  </w:divBdr>
                  <w:divsChild>
                    <w:div w:id="1272592882">
                      <w:marLeft w:val="0"/>
                      <w:marRight w:val="0"/>
                      <w:marTop w:val="0"/>
                      <w:marBottom w:val="0"/>
                      <w:divBdr>
                        <w:top w:val="none" w:sz="0" w:space="0" w:color="auto"/>
                        <w:left w:val="none" w:sz="0" w:space="0" w:color="auto"/>
                        <w:bottom w:val="none" w:sz="0" w:space="0" w:color="auto"/>
                        <w:right w:val="none" w:sz="0" w:space="0" w:color="auto"/>
                      </w:divBdr>
                    </w:div>
                  </w:divsChild>
                </w:div>
                <w:div w:id="634482906">
                  <w:marLeft w:val="0"/>
                  <w:marRight w:val="0"/>
                  <w:marTop w:val="0"/>
                  <w:marBottom w:val="0"/>
                  <w:divBdr>
                    <w:top w:val="none" w:sz="0" w:space="0" w:color="auto"/>
                    <w:left w:val="none" w:sz="0" w:space="0" w:color="auto"/>
                    <w:bottom w:val="none" w:sz="0" w:space="0" w:color="auto"/>
                    <w:right w:val="none" w:sz="0" w:space="0" w:color="auto"/>
                  </w:divBdr>
                  <w:divsChild>
                    <w:div w:id="1776972932">
                      <w:marLeft w:val="0"/>
                      <w:marRight w:val="0"/>
                      <w:marTop w:val="0"/>
                      <w:marBottom w:val="0"/>
                      <w:divBdr>
                        <w:top w:val="none" w:sz="0" w:space="0" w:color="auto"/>
                        <w:left w:val="none" w:sz="0" w:space="0" w:color="auto"/>
                        <w:bottom w:val="none" w:sz="0" w:space="0" w:color="auto"/>
                        <w:right w:val="none" w:sz="0" w:space="0" w:color="auto"/>
                      </w:divBdr>
                    </w:div>
                  </w:divsChild>
                </w:div>
                <w:div w:id="1468666670">
                  <w:marLeft w:val="0"/>
                  <w:marRight w:val="0"/>
                  <w:marTop w:val="0"/>
                  <w:marBottom w:val="0"/>
                  <w:divBdr>
                    <w:top w:val="none" w:sz="0" w:space="0" w:color="auto"/>
                    <w:left w:val="none" w:sz="0" w:space="0" w:color="auto"/>
                    <w:bottom w:val="none" w:sz="0" w:space="0" w:color="auto"/>
                    <w:right w:val="none" w:sz="0" w:space="0" w:color="auto"/>
                  </w:divBdr>
                  <w:divsChild>
                    <w:div w:id="182523547">
                      <w:marLeft w:val="0"/>
                      <w:marRight w:val="0"/>
                      <w:marTop w:val="0"/>
                      <w:marBottom w:val="0"/>
                      <w:divBdr>
                        <w:top w:val="none" w:sz="0" w:space="0" w:color="auto"/>
                        <w:left w:val="none" w:sz="0" w:space="0" w:color="auto"/>
                        <w:bottom w:val="none" w:sz="0" w:space="0" w:color="auto"/>
                        <w:right w:val="none" w:sz="0" w:space="0" w:color="auto"/>
                      </w:divBdr>
                    </w:div>
                    <w:div w:id="1075861512">
                      <w:marLeft w:val="0"/>
                      <w:marRight w:val="0"/>
                      <w:marTop w:val="0"/>
                      <w:marBottom w:val="0"/>
                      <w:divBdr>
                        <w:top w:val="none" w:sz="0" w:space="0" w:color="auto"/>
                        <w:left w:val="none" w:sz="0" w:space="0" w:color="auto"/>
                        <w:bottom w:val="none" w:sz="0" w:space="0" w:color="auto"/>
                        <w:right w:val="none" w:sz="0" w:space="0" w:color="auto"/>
                      </w:divBdr>
                    </w:div>
                    <w:div w:id="1539317024">
                      <w:marLeft w:val="0"/>
                      <w:marRight w:val="0"/>
                      <w:marTop w:val="0"/>
                      <w:marBottom w:val="0"/>
                      <w:divBdr>
                        <w:top w:val="none" w:sz="0" w:space="0" w:color="auto"/>
                        <w:left w:val="none" w:sz="0" w:space="0" w:color="auto"/>
                        <w:bottom w:val="none" w:sz="0" w:space="0" w:color="auto"/>
                        <w:right w:val="none" w:sz="0" w:space="0" w:color="auto"/>
                      </w:divBdr>
                    </w:div>
                  </w:divsChild>
                </w:div>
                <w:div w:id="2119525145">
                  <w:marLeft w:val="0"/>
                  <w:marRight w:val="0"/>
                  <w:marTop w:val="0"/>
                  <w:marBottom w:val="0"/>
                  <w:divBdr>
                    <w:top w:val="none" w:sz="0" w:space="0" w:color="auto"/>
                    <w:left w:val="none" w:sz="0" w:space="0" w:color="auto"/>
                    <w:bottom w:val="none" w:sz="0" w:space="0" w:color="auto"/>
                    <w:right w:val="none" w:sz="0" w:space="0" w:color="auto"/>
                  </w:divBdr>
                  <w:divsChild>
                    <w:div w:id="767309657">
                      <w:marLeft w:val="0"/>
                      <w:marRight w:val="0"/>
                      <w:marTop w:val="0"/>
                      <w:marBottom w:val="0"/>
                      <w:divBdr>
                        <w:top w:val="none" w:sz="0" w:space="0" w:color="auto"/>
                        <w:left w:val="none" w:sz="0" w:space="0" w:color="auto"/>
                        <w:bottom w:val="none" w:sz="0" w:space="0" w:color="auto"/>
                        <w:right w:val="none" w:sz="0" w:space="0" w:color="auto"/>
                      </w:divBdr>
                    </w:div>
                    <w:div w:id="2086684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971663">
          <w:marLeft w:val="0"/>
          <w:marRight w:val="0"/>
          <w:marTop w:val="0"/>
          <w:marBottom w:val="0"/>
          <w:divBdr>
            <w:top w:val="none" w:sz="0" w:space="0" w:color="auto"/>
            <w:left w:val="none" w:sz="0" w:space="0" w:color="auto"/>
            <w:bottom w:val="none" w:sz="0" w:space="0" w:color="auto"/>
            <w:right w:val="none" w:sz="0" w:space="0" w:color="auto"/>
          </w:divBdr>
        </w:div>
        <w:div w:id="923881994">
          <w:marLeft w:val="0"/>
          <w:marRight w:val="0"/>
          <w:marTop w:val="0"/>
          <w:marBottom w:val="0"/>
          <w:divBdr>
            <w:top w:val="none" w:sz="0" w:space="0" w:color="auto"/>
            <w:left w:val="none" w:sz="0" w:space="0" w:color="auto"/>
            <w:bottom w:val="none" w:sz="0" w:space="0" w:color="auto"/>
            <w:right w:val="none" w:sz="0" w:space="0" w:color="auto"/>
          </w:divBdr>
        </w:div>
        <w:div w:id="932519543">
          <w:marLeft w:val="0"/>
          <w:marRight w:val="0"/>
          <w:marTop w:val="0"/>
          <w:marBottom w:val="0"/>
          <w:divBdr>
            <w:top w:val="none" w:sz="0" w:space="0" w:color="auto"/>
            <w:left w:val="none" w:sz="0" w:space="0" w:color="auto"/>
            <w:bottom w:val="none" w:sz="0" w:space="0" w:color="auto"/>
            <w:right w:val="none" w:sz="0" w:space="0" w:color="auto"/>
          </w:divBdr>
          <w:divsChild>
            <w:div w:id="1385519862">
              <w:marLeft w:val="-75"/>
              <w:marRight w:val="0"/>
              <w:marTop w:val="30"/>
              <w:marBottom w:val="30"/>
              <w:divBdr>
                <w:top w:val="none" w:sz="0" w:space="0" w:color="auto"/>
                <w:left w:val="none" w:sz="0" w:space="0" w:color="auto"/>
                <w:bottom w:val="none" w:sz="0" w:space="0" w:color="auto"/>
                <w:right w:val="none" w:sz="0" w:space="0" w:color="auto"/>
              </w:divBdr>
              <w:divsChild>
                <w:div w:id="264384187">
                  <w:marLeft w:val="0"/>
                  <w:marRight w:val="0"/>
                  <w:marTop w:val="0"/>
                  <w:marBottom w:val="0"/>
                  <w:divBdr>
                    <w:top w:val="none" w:sz="0" w:space="0" w:color="auto"/>
                    <w:left w:val="none" w:sz="0" w:space="0" w:color="auto"/>
                    <w:bottom w:val="none" w:sz="0" w:space="0" w:color="auto"/>
                    <w:right w:val="none" w:sz="0" w:space="0" w:color="auto"/>
                  </w:divBdr>
                  <w:divsChild>
                    <w:div w:id="1863938847">
                      <w:marLeft w:val="0"/>
                      <w:marRight w:val="0"/>
                      <w:marTop w:val="0"/>
                      <w:marBottom w:val="0"/>
                      <w:divBdr>
                        <w:top w:val="none" w:sz="0" w:space="0" w:color="auto"/>
                        <w:left w:val="none" w:sz="0" w:space="0" w:color="auto"/>
                        <w:bottom w:val="none" w:sz="0" w:space="0" w:color="auto"/>
                        <w:right w:val="none" w:sz="0" w:space="0" w:color="auto"/>
                      </w:divBdr>
                    </w:div>
                  </w:divsChild>
                </w:div>
                <w:div w:id="466357370">
                  <w:marLeft w:val="0"/>
                  <w:marRight w:val="0"/>
                  <w:marTop w:val="0"/>
                  <w:marBottom w:val="0"/>
                  <w:divBdr>
                    <w:top w:val="none" w:sz="0" w:space="0" w:color="auto"/>
                    <w:left w:val="none" w:sz="0" w:space="0" w:color="auto"/>
                    <w:bottom w:val="none" w:sz="0" w:space="0" w:color="auto"/>
                    <w:right w:val="none" w:sz="0" w:space="0" w:color="auto"/>
                  </w:divBdr>
                  <w:divsChild>
                    <w:div w:id="1147285575">
                      <w:marLeft w:val="0"/>
                      <w:marRight w:val="0"/>
                      <w:marTop w:val="0"/>
                      <w:marBottom w:val="0"/>
                      <w:divBdr>
                        <w:top w:val="none" w:sz="0" w:space="0" w:color="auto"/>
                        <w:left w:val="none" w:sz="0" w:space="0" w:color="auto"/>
                        <w:bottom w:val="none" w:sz="0" w:space="0" w:color="auto"/>
                        <w:right w:val="none" w:sz="0" w:space="0" w:color="auto"/>
                      </w:divBdr>
                    </w:div>
                  </w:divsChild>
                </w:div>
                <w:div w:id="512494952">
                  <w:marLeft w:val="0"/>
                  <w:marRight w:val="0"/>
                  <w:marTop w:val="0"/>
                  <w:marBottom w:val="0"/>
                  <w:divBdr>
                    <w:top w:val="none" w:sz="0" w:space="0" w:color="auto"/>
                    <w:left w:val="none" w:sz="0" w:space="0" w:color="auto"/>
                    <w:bottom w:val="none" w:sz="0" w:space="0" w:color="auto"/>
                    <w:right w:val="none" w:sz="0" w:space="0" w:color="auto"/>
                  </w:divBdr>
                  <w:divsChild>
                    <w:div w:id="1425178123">
                      <w:marLeft w:val="0"/>
                      <w:marRight w:val="0"/>
                      <w:marTop w:val="0"/>
                      <w:marBottom w:val="0"/>
                      <w:divBdr>
                        <w:top w:val="none" w:sz="0" w:space="0" w:color="auto"/>
                        <w:left w:val="none" w:sz="0" w:space="0" w:color="auto"/>
                        <w:bottom w:val="none" w:sz="0" w:space="0" w:color="auto"/>
                        <w:right w:val="none" w:sz="0" w:space="0" w:color="auto"/>
                      </w:divBdr>
                    </w:div>
                  </w:divsChild>
                </w:div>
                <w:div w:id="659313336">
                  <w:marLeft w:val="0"/>
                  <w:marRight w:val="0"/>
                  <w:marTop w:val="0"/>
                  <w:marBottom w:val="0"/>
                  <w:divBdr>
                    <w:top w:val="none" w:sz="0" w:space="0" w:color="auto"/>
                    <w:left w:val="none" w:sz="0" w:space="0" w:color="auto"/>
                    <w:bottom w:val="none" w:sz="0" w:space="0" w:color="auto"/>
                    <w:right w:val="none" w:sz="0" w:space="0" w:color="auto"/>
                  </w:divBdr>
                  <w:divsChild>
                    <w:div w:id="63257161">
                      <w:marLeft w:val="0"/>
                      <w:marRight w:val="0"/>
                      <w:marTop w:val="0"/>
                      <w:marBottom w:val="0"/>
                      <w:divBdr>
                        <w:top w:val="none" w:sz="0" w:space="0" w:color="auto"/>
                        <w:left w:val="none" w:sz="0" w:space="0" w:color="auto"/>
                        <w:bottom w:val="none" w:sz="0" w:space="0" w:color="auto"/>
                        <w:right w:val="none" w:sz="0" w:space="0" w:color="auto"/>
                      </w:divBdr>
                    </w:div>
                  </w:divsChild>
                </w:div>
                <w:div w:id="741610854">
                  <w:marLeft w:val="0"/>
                  <w:marRight w:val="0"/>
                  <w:marTop w:val="0"/>
                  <w:marBottom w:val="0"/>
                  <w:divBdr>
                    <w:top w:val="none" w:sz="0" w:space="0" w:color="auto"/>
                    <w:left w:val="none" w:sz="0" w:space="0" w:color="auto"/>
                    <w:bottom w:val="none" w:sz="0" w:space="0" w:color="auto"/>
                    <w:right w:val="none" w:sz="0" w:space="0" w:color="auto"/>
                  </w:divBdr>
                  <w:divsChild>
                    <w:div w:id="108596273">
                      <w:marLeft w:val="0"/>
                      <w:marRight w:val="0"/>
                      <w:marTop w:val="0"/>
                      <w:marBottom w:val="0"/>
                      <w:divBdr>
                        <w:top w:val="none" w:sz="0" w:space="0" w:color="auto"/>
                        <w:left w:val="none" w:sz="0" w:space="0" w:color="auto"/>
                        <w:bottom w:val="none" w:sz="0" w:space="0" w:color="auto"/>
                        <w:right w:val="none" w:sz="0" w:space="0" w:color="auto"/>
                      </w:divBdr>
                    </w:div>
                  </w:divsChild>
                </w:div>
                <w:div w:id="742751099">
                  <w:marLeft w:val="0"/>
                  <w:marRight w:val="0"/>
                  <w:marTop w:val="0"/>
                  <w:marBottom w:val="0"/>
                  <w:divBdr>
                    <w:top w:val="none" w:sz="0" w:space="0" w:color="auto"/>
                    <w:left w:val="none" w:sz="0" w:space="0" w:color="auto"/>
                    <w:bottom w:val="none" w:sz="0" w:space="0" w:color="auto"/>
                    <w:right w:val="none" w:sz="0" w:space="0" w:color="auto"/>
                  </w:divBdr>
                  <w:divsChild>
                    <w:div w:id="256066112">
                      <w:marLeft w:val="0"/>
                      <w:marRight w:val="0"/>
                      <w:marTop w:val="0"/>
                      <w:marBottom w:val="0"/>
                      <w:divBdr>
                        <w:top w:val="none" w:sz="0" w:space="0" w:color="auto"/>
                        <w:left w:val="none" w:sz="0" w:space="0" w:color="auto"/>
                        <w:bottom w:val="none" w:sz="0" w:space="0" w:color="auto"/>
                        <w:right w:val="none" w:sz="0" w:space="0" w:color="auto"/>
                      </w:divBdr>
                    </w:div>
                  </w:divsChild>
                </w:div>
                <w:div w:id="756487468">
                  <w:marLeft w:val="0"/>
                  <w:marRight w:val="0"/>
                  <w:marTop w:val="0"/>
                  <w:marBottom w:val="0"/>
                  <w:divBdr>
                    <w:top w:val="none" w:sz="0" w:space="0" w:color="auto"/>
                    <w:left w:val="none" w:sz="0" w:space="0" w:color="auto"/>
                    <w:bottom w:val="none" w:sz="0" w:space="0" w:color="auto"/>
                    <w:right w:val="none" w:sz="0" w:space="0" w:color="auto"/>
                  </w:divBdr>
                  <w:divsChild>
                    <w:div w:id="86462634">
                      <w:marLeft w:val="0"/>
                      <w:marRight w:val="0"/>
                      <w:marTop w:val="0"/>
                      <w:marBottom w:val="0"/>
                      <w:divBdr>
                        <w:top w:val="none" w:sz="0" w:space="0" w:color="auto"/>
                        <w:left w:val="none" w:sz="0" w:space="0" w:color="auto"/>
                        <w:bottom w:val="none" w:sz="0" w:space="0" w:color="auto"/>
                        <w:right w:val="none" w:sz="0" w:space="0" w:color="auto"/>
                      </w:divBdr>
                    </w:div>
                  </w:divsChild>
                </w:div>
                <w:div w:id="855534521">
                  <w:marLeft w:val="0"/>
                  <w:marRight w:val="0"/>
                  <w:marTop w:val="0"/>
                  <w:marBottom w:val="0"/>
                  <w:divBdr>
                    <w:top w:val="none" w:sz="0" w:space="0" w:color="auto"/>
                    <w:left w:val="none" w:sz="0" w:space="0" w:color="auto"/>
                    <w:bottom w:val="none" w:sz="0" w:space="0" w:color="auto"/>
                    <w:right w:val="none" w:sz="0" w:space="0" w:color="auto"/>
                  </w:divBdr>
                  <w:divsChild>
                    <w:div w:id="1368291024">
                      <w:marLeft w:val="0"/>
                      <w:marRight w:val="0"/>
                      <w:marTop w:val="0"/>
                      <w:marBottom w:val="0"/>
                      <w:divBdr>
                        <w:top w:val="none" w:sz="0" w:space="0" w:color="auto"/>
                        <w:left w:val="none" w:sz="0" w:space="0" w:color="auto"/>
                        <w:bottom w:val="none" w:sz="0" w:space="0" w:color="auto"/>
                        <w:right w:val="none" w:sz="0" w:space="0" w:color="auto"/>
                      </w:divBdr>
                    </w:div>
                  </w:divsChild>
                </w:div>
                <w:div w:id="1095978013">
                  <w:marLeft w:val="0"/>
                  <w:marRight w:val="0"/>
                  <w:marTop w:val="0"/>
                  <w:marBottom w:val="0"/>
                  <w:divBdr>
                    <w:top w:val="none" w:sz="0" w:space="0" w:color="auto"/>
                    <w:left w:val="none" w:sz="0" w:space="0" w:color="auto"/>
                    <w:bottom w:val="none" w:sz="0" w:space="0" w:color="auto"/>
                    <w:right w:val="none" w:sz="0" w:space="0" w:color="auto"/>
                  </w:divBdr>
                  <w:divsChild>
                    <w:div w:id="1055356835">
                      <w:marLeft w:val="0"/>
                      <w:marRight w:val="0"/>
                      <w:marTop w:val="0"/>
                      <w:marBottom w:val="0"/>
                      <w:divBdr>
                        <w:top w:val="none" w:sz="0" w:space="0" w:color="auto"/>
                        <w:left w:val="none" w:sz="0" w:space="0" w:color="auto"/>
                        <w:bottom w:val="none" w:sz="0" w:space="0" w:color="auto"/>
                        <w:right w:val="none" w:sz="0" w:space="0" w:color="auto"/>
                      </w:divBdr>
                    </w:div>
                  </w:divsChild>
                </w:div>
                <w:div w:id="1271477059">
                  <w:marLeft w:val="0"/>
                  <w:marRight w:val="0"/>
                  <w:marTop w:val="0"/>
                  <w:marBottom w:val="0"/>
                  <w:divBdr>
                    <w:top w:val="none" w:sz="0" w:space="0" w:color="auto"/>
                    <w:left w:val="none" w:sz="0" w:space="0" w:color="auto"/>
                    <w:bottom w:val="none" w:sz="0" w:space="0" w:color="auto"/>
                    <w:right w:val="none" w:sz="0" w:space="0" w:color="auto"/>
                  </w:divBdr>
                  <w:divsChild>
                    <w:div w:id="278605806">
                      <w:marLeft w:val="0"/>
                      <w:marRight w:val="0"/>
                      <w:marTop w:val="0"/>
                      <w:marBottom w:val="0"/>
                      <w:divBdr>
                        <w:top w:val="none" w:sz="0" w:space="0" w:color="auto"/>
                        <w:left w:val="none" w:sz="0" w:space="0" w:color="auto"/>
                        <w:bottom w:val="none" w:sz="0" w:space="0" w:color="auto"/>
                        <w:right w:val="none" w:sz="0" w:space="0" w:color="auto"/>
                      </w:divBdr>
                    </w:div>
                  </w:divsChild>
                </w:div>
                <w:div w:id="1403604126">
                  <w:marLeft w:val="0"/>
                  <w:marRight w:val="0"/>
                  <w:marTop w:val="0"/>
                  <w:marBottom w:val="0"/>
                  <w:divBdr>
                    <w:top w:val="none" w:sz="0" w:space="0" w:color="auto"/>
                    <w:left w:val="none" w:sz="0" w:space="0" w:color="auto"/>
                    <w:bottom w:val="none" w:sz="0" w:space="0" w:color="auto"/>
                    <w:right w:val="none" w:sz="0" w:space="0" w:color="auto"/>
                  </w:divBdr>
                  <w:divsChild>
                    <w:div w:id="1365905431">
                      <w:marLeft w:val="0"/>
                      <w:marRight w:val="0"/>
                      <w:marTop w:val="0"/>
                      <w:marBottom w:val="0"/>
                      <w:divBdr>
                        <w:top w:val="none" w:sz="0" w:space="0" w:color="auto"/>
                        <w:left w:val="none" w:sz="0" w:space="0" w:color="auto"/>
                        <w:bottom w:val="none" w:sz="0" w:space="0" w:color="auto"/>
                        <w:right w:val="none" w:sz="0" w:space="0" w:color="auto"/>
                      </w:divBdr>
                    </w:div>
                  </w:divsChild>
                </w:div>
                <w:div w:id="1446654028">
                  <w:marLeft w:val="0"/>
                  <w:marRight w:val="0"/>
                  <w:marTop w:val="0"/>
                  <w:marBottom w:val="0"/>
                  <w:divBdr>
                    <w:top w:val="none" w:sz="0" w:space="0" w:color="auto"/>
                    <w:left w:val="none" w:sz="0" w:space="0" w:color="auto"/>
                    <w:bottom w:val="none" w:sz="0" w:space="0" w:color="auto"/>
                    <w:right w:val="none" w:sz="0" w:space="0" w:color="auto"/>
                  </w:divBdr>
                  <w:divsChild>
                    <w:div w:id="1559634408">
                      <w:marLeft w:val="0"/>
                      <w:marRight w:val="0"/>
                      <w:marTop w:val="0"/>
                      <w:marBottom w:val="0"/>
                      <w:divBdr>
                        <w:top w:val="none" w:sz="0" w:space="0" w:color="auto"/>
                        <w:left w:val="none" w:sz="0" w:space="0" w:color="auto"/>
                        <w:bottom w:val="none" w:sz="0" w:space="0" w:color="auto"/>
                        <w:right w:val="none" w:sz="0" w:space="0" w:color="auto"/>
                      </w:divBdr>
                    </w:div>
                  </w:divsChild>
                </w:div>
                <w:div w:id="1468662120">
                  <w:marLeft w:val="0"/>
                  <w:marRight w:val="0"/>
                  <w:marTop w:val="0"/>
                  <w:marBottom w:val="0"/>
                  <w:divBdr>
                    <w:top w:val="none" w:sz="0" w:space="0" w:color="auto"/>
                    <w:left w:val="none" w:sz="0" w:space="0" w:color="auto"/>
                    <w:bottom w:val="none" w:sz="0" w:space="0" w:color="auto"/>
                    <w:right w:val="none" w:sz="0" w:space="0" w:color="auto"/>
                  </w:divBdr>
                  <w:divsChild>
                    <w:div w:id="1597637744">
                      <w:marLeft w:val="0"/>
                      <w:marRight w:val="0"/>
                      <w:marTop w:val="0"/>
                      <w:marBottom w:val="0"/>
                      <w:divBdr>
                        <w:top w:val="none" w:sz="0" w:space="0" w:color="auto"/>
                        <w:left w:val="none" w:sz="0" w:space="0" w:color="auto"/>
                        <w:bottom w:val="none" w:sz="0" w:space="0" w:color="auto"/>
                        <w:right w:val="none" w:sz="0" w:space="0" w:color="auto"/>
                      </w:divBdr>
                    </w:div>
                  </w:divsChild>
                </w:div>
                <w:div w:id="1520656169">
                  <w:marLeft w:val="0"/>
                  <w:marRight w:val="0"/>
                  <w:marTop w:val="0"/>
                  <w:marBottom w:val="0"/>
                  <w:divBdr>
                    <w:top w:val="none" w:sz="0" w:space="0" w:color="auto"/>
                    <w:left w:val="none" w:sz="0" w:space="0" w:color="auto"/>
                    <w:bottom w:val="none" w:sz="0" w:space="0" w:color="auto"/>
                    <w:right w:val="none" w:sz="0" w:space="0" w:color="auto"/>
                  </w:divBdr>
                  <w:divsChild>
                    <w:div w:id="129324961">
                      <w:marLeft w:val="0"/>
                      <w:marRight w:val="0"/>
                      <w:marTop w:val="0"/>
                      <w:marBottom w:val="0"/>
                      <w:divBdr>
                        <w:top w:val="none" w:sz="0" w:space="0" w:color="auto"/>
                        <w:left w:val="none" w:sz="0" w:space="0" w:color="auto"/>
                        <w:bottom w:val="none" w:sz="0" w:space="0" w:color="auto"/>
                        <w:right w:val="none" w:sz="0" w:space="0" w:color="auto"/>
                      </w:divBdr>
                    </w:div>
                  </w:divsChild>
                </w:div>
                <w:div w:id="1549802598">
                  <w:marLeft w:val="0"/>
                  <w:marRight w:val="0"/>
                  <w:marTop w:val="0"/>
                  <w:marBottom w:val="0"/>
                  <w:divBdr>
                    <w:top w:val="none" w:sz="0" w:space="0" w:color="auto"/>
                    <w:left w:val="none" w:sz="0" w:space="0" w:color="auto"/>
                    <w:bottom w:val="none" w:sz="0" w:space="0" w:color="auto"/>
                    <w:right w:val="none" w:sz="0" w:space="0" w:color="auto"/>
                  </w:divBdr>
                  <w:divsChild>
                    <w:div w:id="2133357959">
                      <w:marLeft w:val="0"/>
                      <w:marRight w:val="0"/>
                      <w:marTop w:val="0"/>
                      <w:marBottom w:val="0"/>
                      <w:divBdr>
                        <w:top w:val="none" w:sz="0" w:space="0" w:color="auto"/>
                        <w:left w:val="none" w:sz="0" w:space="0" w:color="auto"/>
                        <w:bottom w:val="none" w:sz="0" w:space="0" w:color="auto"/>
                        <w:right w:val="none" w:sz="0" w:space="0" w:color="auto"/>
                      </w:divBdr>
                    </w:div>
                  </w:divsChild>
                </w:div>
                <w:div w:id="1584994894">
                  <w:marLeft w:val="0"/>
                  <w:marRight w:val="0"/>
                  <w:marTop w:val="0"/>
                  <w:marBottom w:val="0"/>
                  <w:divBdr>
                    <w:top w:val="none" w:sz="0" w:space="0" w:color="auto"/>
                    <w:left w:val="none" w:sz="0" w:space="0" w:color="auto"/>
                    <w:bottom w:val="none" w:sz="0" w:space="0" w:color="auto"/>
                    <w:right w:val="none" w:sz="0" w:space="0" w:color="auto"/>
                  </w:divBdr>
                  <w:divsChild>
                    <w:div w:id="929772937">
                      <w:marLeft w:val="0"/>
                      <w:marRight w:val="0"/>
                      <w:marTop w:val="0"/>
                      <w:marBottom w:val="0"/>
                      <w:divBdr>
                        <w:top w:val="none" w:sz="0" w:space="0" w:color="auto"/>
                        <w:left w:val="none" w:sz="0" w:space="0" w:color="auto"/>
                        <w:bottom w:val="none" w:sz="0" w:space="0" w:color="auto"/>
                        <w:right w:val="none" w:sz="0" w:space="0" w:color="auto"/>
                      </w:divBdr>
                    </w:div>
                  </w:divsChild>
                </w:div>
                <w:div w:id="1640458257">
                  <w:marLeft w:val="0"/>
                  <w:marRight w:val="0"/>
                  <w:marTop w:val="0"/>
                  <w:marBottom w:val="0"/>
                  <w:divBdr>
                    <w:top w:val="none" w:sz="0" w:space="0" w:color="auto"/>
                    <w:left w:val="none" w:sz="0" w:space="0" w:color="auto"/>
                    <w:bottom w:val="none" w:sz="0" w:space="0" w:color="auto"/>
                    <w:right w:val="none" w:sz="0" w:space="0" w:color="auto"/>
                  </w:divBdr>
                  <w:divsChild>
                    <w:div w:id="1434086560">
                      <w:marLeft w:val="0"/>
                      <w:marRight w:val="0"/>
                      <w:marTop w:val="0"/>
                      <w:marBottom w:val="0"/>
                      <w:divBdr>
                        <w:top w:val="none" w:sz="0" w:space="0" w:color="auto"/>
                        <w:left w:val="none" w:sz="0" w:space="0" w:color="auto"/>
                        <w:bottom w:val="none" w:sz="0" w:space="0" w:color="auto"/>
                        <w:right w:val="none" w:sz="0" w:space="0" w:color="auto"/>
                      </w:divBdr>
                    </w:div>
                  </w:divsChild>
                </w:div>
                <w:div w:id="1644000161">
                  <w:marLeft w:val="0"/>
                  <w:marRight w:val="0"/>
                  <w:marTop w:val="0"/>
                  <w:marBottom w:val="0"/>
                  <w:divBdr>
                    <w:top w:val="none" w:sz="0" w:space="0" w:color="auto"/>
                    <w:left w:val="none" w:sz="0" w:space="0" w:color="auto"/>
                    <w:bottom w:val="none" w:sz="0" w:space="0" w:color="auto"/>
                    <w:right w:val="none" w:sz="0" w:space="0" w:color="auto"/>
                  </w:divBdr>
                  <w:divsChild>
                    <w:div w:id="1669746389">
                      <w:marLeft w:val="0"/>
                      <w:marRight w:val="0"/>
                      <w:marTop w:val="0"/>
                      <w:marBottom w:val="0"/>
                      <w:divBdr>
                        <w:top w:val="none" w:sz="0" w:space="0" w:color="auto"/>
                        <w:left w:val="none" w:sz="0" w:space="0" w:color="auto"/>
                        <w:bottom w:val="none" w:sz="0" w:space="0" w:color="auto"/>
                        <w:right w:val="none" w:sz="0" w:space="0" w:color="auto"/>
                      </w:divBdr>
                    </w:div>
                  </w:divsChild>
                </w:div>
                <w:div w:id="1674187610">
                  <w:marLeft w:val="0"/>
                  <w:marRight w:val="0"/>
                  <w:marTop w:val="0"/>
                  <w:marBottom w:val="0"/>
                  <w:divBdr>
                    <w:top w:val="none" w:sz="0" w:space="0" w:color="auto"/>
                    <w:left w:val="none" w:sz="0" w:space="0" w:color="auto"/>
                    <w:bottom w:val="none" w:sz="0" w:space="0" w:color="auto"/>
                    <w:right w:val="none" w:sz="0" w:space="0" w:color="auto"/>
                  </w:divBdr>
                  <w:divsChild>
                    <w:div w:id="713697932">
                      <w:marLeft w:val="0"/>
                      <w:marRight w:val="0"/>
                      <w:marTop w:val="0"/>
                      <w:marBottom w:val="0"/>
                      <w:divBdr>
                        <w:top w:val="none" w:sz="0" w:space="0" w:color="auto"/>
                        <w:left w:val="none" w:sz="0" w:space="0" w:color="auto"/>
                        <w:bottom w:val="none" w:sz="0" w:space="0" w:color="auto"/>
                        <w:right w:val="none" w:sz="0" w:space="0" w:color="auto"/>
                      </w:divBdr>
                    </w:div>
                  </w:divsChild>
                </w:div>
                <w:div w:id="1846703920">
                  <w:marLeft w:val="0"/>
                  <w:marRight w:val="0"/>
                  <w:marTop w:val="0"/>
                  <w:marBottom w:val="0"/>
                  <w:divBdr>
                    <w:top w:val="none" w:sz="0" w:space="0" w:color="auto"/>
                    <w:left w:val="none" w:sz="0" w:space="0" w:color="auto"/>
                    <w:bottom w:val="none" w:sz="0" w:space="0" w:color="auto"/>
                    <w:right w:val="none" w:sz="0" w:space="0" w:color="auto"/>
                  </w:divBdr>
                  <w:divsChild>
                    <w:div w:id="716272200">
                      <w:marLeft w:val="0"/>
                      <w:marRight w:val="0"/>
                      <w:marTop w:val="0"/>
                      <w:marBottom w:val="0"/>
                      <w:divBdr>
                        <w:top w:val="none" w:sz="0" w:space="0" w:color="auto"/>
                        <w:left w:val="none" w:sz="0" w:space="0" w:color="auto"/>
                        <w:bottom w:val="none" w:sz="0" w:space="0" w:color="auto"/>
                        <w:right w:val="none" w:sz="0" w:space="0" w:color="auto"/>
                      </w:divBdr>
                    </w:div>
                  </w:divsChild>
                </w:div>
                <w:div w:id="1895385000">
                  <w:marLeft w:val="0"/>
                  <w:marRight w:val="0"/>
                  <w:marTop w:val="0"/>
                  <w:marBottom w:val="0"/>
                  <w:divBdr>
                    <w:top w:val="none" w:sz="0" w:space="0" w:color="auto"/>
                    <w:left w:val="none" w:sz="0" w:space="0" w:color="auto"/>
                    <w:bottom w:val="none" w:sz="0" w:space="0" w:color="auto"/>
                    <w:right w:val="none" w:sz="0" w:space="0" w:color="auto"/>
                  </w:divBdr>
                  <w:divsChild>
                    <w:div w:id="838469545">
                      <w:marLeft w:val="0"/>
                      <w:marRight w:val="0"/>
                      <w:marTop w:val="0"/>
                      <w:marBottom w:val="0"/>
                      <w:divBdr>
                        <w:top w:val="none" w:sz="0" w:space="0" w:color="auto"/>
                        <w:left w:val="none" w:sz="0" w:space="0" w:color="auto"/>
                        <w:bottom w:val="none" w:sz="0" w:space="0" w:color="auto"/>
                        <w:right w:val="none" w:sz="0" w:space="0" w:color="auto"/>
                      </w:divBdr>
                    </w:div>
                  </w:divsChild>
                </w:div>
                <w:div w:id="2007897545">
                  <w:marLeft w:val="0"/>
                  <w:marRight w:val="0"/>
                  <w:marTop w:val="0"/>
                  <w:marBottom w:val="0"/>
                  <w:divBdr>
                    <w:top w:val="none" w:sz="0" w:space="0" w:color="auto"/>
                    <w:left w:val="none" w:sz="0" w:space="0" w:color="auto"/>
                    <w:bottom w:val="none" w:sz="0" w:space="0" w:color="auto"/>
                    <w:right w:val="none" w:sz="0" w:space="0" w:color="auto"/>
                  </w:divBdr>
                  <w:divsChild>
                    <w:div w:id="723413573">
                      <w:marLeft w:val="0"/>
                      <w:marRight w:val="0"/>
                      <w:marTop w:val="0"/>
                      <w:marBottom w:val="0"/>
                      <w:divBdr>
                        <w:top w:val="none" w:sz="0" w:space="0" w:color="auto"/>
                        <w:left w:val="none" w:sz="0" w:space="0" w:color="auto"/>
                        <w:bottom w:val="none" w:sz="0" w:space="0" w:color="auto"/>
                        <w:right w:val="none" w:sz="0" w:space="0" w:color="auto"/>
                      </w:divBdr>
                    </w:div>
                  </w:divsChild>
                </w:div>
                <w:div w:id="2032996936">
                  <w:marLeft w:val="0"/>
                  <w:marRight w:val="0"/>
                  <w:marTop w:val="0"/>
                  <w:marBottom w:val="0"/>
                  <w:divBdr>
                    <w:top w:val="none" w:sz="0" w:space="0" w:color="auto"/>
                    <w:left w:val="none" w:sz="0" w:space="0" w:color="auto"/>
                    <w:bottom w:val="none" w:sz="0" w:space="0" w:color="auto"/>
                    <w:right w:val="none" w:sz="0" w:space="0" w:color="auto"/>
                  </w:divBdr>
                  <w:divsChild>
                    <w:div w:id="2018001254">
                      <w:marLeft w:val="0"/>
                      <w:marRight w:val="0"/>
                      <w:marTop w:val="0"/>
                      <w:marBottom w:val="0"/>
                      <w:divBdr>
                        <w:top w:val="none" w:sz="0" w:space="0" w:color="auto"/>
                        <w:left w:val="none" w:sz="0" w:space="0" w:color="auto"/>
                        <w:bottom w:val="none" w:sz="0" w:space="0" w:color="auto"/>
                        <w:right w:val="none" w:sz="0" w:space="0" w:color="auto"/>
                      </w:divBdr>
                    </w:div>
                  </w:divsChild>
                </w:div>
                <w:div w:id="2091191024">
                  <w:marLeft w:val="0"/>
                  <w:marRight w:val="0"/>
                  <w:marTop w:val="0"/>
                  <w:marBottom w:val="0"/>
                  <w:divBdr>
                    <w:top w:val="none" w:sz="0" w:space="0" w:color="auto"/>
                    <w:left w:val="none" w:sz="0" w:space="0" w:color="auto"/>
                    <w:bottom w:val="none" w:sz="0" w:space="0" w:color="auto"/>
                    <w:right w:val="none" w:sz="0" w:space="0" w:color="auto"/>
                  </w:divBdr>
                  <w:divsChild>
                    <w:div w:id="139351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275692">
          <w:marLeft w:val="0"/>
          <w:marRight w:val="0"/>
          <w:marTop w:val="0"/>
          <w:marBottom w:val="0"/>
          <w:divBdr>
            <w:top w:val="none" w:sz="0" w:space="0" w:color="auto"/>
            <w:left w:val="none" w:sz="0" w:space="0" w:color="auto"/>
            <w:bottom w:val="none" w:sz="0" w:space="0" w:color="auto"/>
            <w:right w:val="none" w:sz="0" w:space="0" w:color="auto"/>
          </w:divBdr>
        </w:div>
        <w:div w:id="1036663772">
          <w:marLeft w:val="0"/>
          <w:marRight w:val="0"/>
          <w:marTop w:val="0"/>
          <w:marBottom w:val="0"/>
          <w:divBdr>
            <w:top w:val="none" w:sz="0" w:space="0" w:color="auto"/>
            <w:left w:val="none" w:sz="0" w:space="0" w:color="auto"/>
            <w:bottom w:val="none" w:sz="0" w:space="0" w:color="auto"/>
            <w:right w:val="none" w:sz="0" w:space="0" w:color="auto"/>
          </w:divBdr>
        </w:div>
        <w:div w:id="1288313545">
          <w:marLeft w:val="0"/>
          <w:marRight w:val="0"/>
          <w:marTop w:val="0"/>
          <w:marBottom w:val="0"/>
          <w:divBdr>
            <w:top w:val="none" w:sz="0" w:space="0" w:color="auto"/>
            <w:left w:val="none" w:sz="0" w:space="0" w:color="auto"/>
            <w:bottom w:val="none" w:sz="0" w:space="0" w:color="auto"/>
            <w:right w:val="none" w:sz="0" w:space="0" w:color="auto"/>
          </w:divBdr>
        </w:div>
        <w:div w:id="1316690127">
          <w:marLeft w:val="0"/>
          <w:marRight w:val="0"/>
          <w:marTop w:val="0"/>
          <w:marBottom w:val="0"/>
          <w:divBdr>
            <w:top w:val="none" w:sz="0" w:space="0" w:color="auto"/>
            <w:left w:val="none" w:sz="0" w:space="0" w:color="auto"/>
            <w:bottom w:val="none" w:sz="0" w:space="0" w:color="auto"/>
            <w:right w:val="none" w:sz="0" w:space="0" w:color="auto"/>
          </w:divBdr>
        </w:div>
        <w:div w:id="1373724034">
          <w:marLeft w:val="0"/>
          <w:marRight w:val="0"/>
          <w:marTop w:val="0"/>
          <w:marBottom w:val="0"/>
          <w:divBdr>
            <w:top w:val="none" w:sz="0" w:space="0" w:color="auto"/>
            <w:left w:val="none" w:sz="0" w:space="0" w:color="auto"/>
            <w:bottom w:val="none" w:sz="0" w:space="0" w:color="auto"/>
            <w:right w:val="none" w:sz="0" w:space="0" w:color="auto"/>
          </w:divBdr>
        </w:div>
        <w:div w:id="1378116448">
          <w:marLeft w:val="0"/>
          <w:marRight w:val="0"/>
          <w:marTop w:val="0"/>
          <w:marBottom w:val="0"/>
          <w:divBdr>
            <w:top w:val="none" w:sz="0" w:space="0" w:color="auto"/>
            <w:left w:val="none" w:sz="0" w:space="0" w:color="auto"/>
            <w:bottom w:val="none" w:sz="0" w:space="0" w:color="auto"/>
            <w:right w:val="none" w:sz="0" w:space="0" w:color="auto"/>
          </w:divBdr>
        </w:div>
        <w:div w:id="1420635570">
          <w:marLeft w:val="0"/>
          <w:marRight w:val="0"/>
          <w:marTop w:val="0"/>
          <w:marBottom w:val="0"/>
          <w:divBdr>
            <w:top w:val="none" w:sz="0" w:space="0" w:color="auto"/>
            <w:left w:val="none" w:sz="0" w:space="0" w:color="auto"/>
            <w:bottom w:val="none" w:sz="0" w:space="0" w:color="auto"/>
            <w:right w:val="none" w:sz="0" w:space="0" w:color="auto"/>
          </w:divBdr>
        </w:div>
        <w:div w:id="1467628594">
          <w:marLeft w:val="0"/>
          <w:marRight w:val="0"/>
          <w:marTop w:val="0"/>
          <w:marBottom w:val="0"/>
          <w:divBdr>
            <w:top w:val="none" w:sz="0" w:space="0" w:color="auto"/>
            <w:left w:val="none" w:sz="0" w:space="0" w:color="auto"/>
            <w:bottom w:val="none" w:sz="0" w:space="0" w:color="auto"/>
            <w:right w:val="none" w:sz="0" w:space="0" w:color="auto"/>
          </w:divBdr>
        </w:div>
        <w:div w:id="1570530910">
          <w:marLeft w:val="0"/>
          <w:marRight w:val="0"/>
          <w:marTop w:val="0"/>
          <w:marBottom w:val="0"/>
          <w:divBdr>
            <w:top w:val="none" w:sz="0" w:space="0" w:color="auto"/>
            <w:left w:val="none" w:sz="0" w:space="0" w:color="auto"/>
            <w:bottom w:val="none" w:sz="0" w:space="0" w:color="auto"/>
            <w:right w:val="none" w:sz="0" w:space="0" w:color="auto"/>
          </w:divBdr>
        </w:div>
        <w:div w:id="1721443088">
          <w:marLeft w:val="0"/>
          <w:marRight w:val="0"/>
          <w:marTop w:val="0"/>
          <w:marBottom w:val="0"/>
          <w:divBdr>
            <w:top w:val="none" w:sz="0" w:space="0" w:color="auto"/>
            <w:left w:val="none" w:sz="0" w:space="0" w:color="auto"/>
            <w:bottom w:val="none" w:sz="0" w:space="0" w:color="auto"/>
            <w:right w:val="none" w:sz="0" w:space="0" w:color="auto"/>
          </w:divBdr>
        </w:div>
        <w:div w:id="1744983887">
          <w:marLeft w:val="0"/>
          <w:marRight w:val="0"/>
          <w:marTop w:val="0"/>
          <w:marBottom w:val="0"/>
          <w:divBdr>
            <w:top w:val="none" w:sz="0" w:space="0" w:color="auto"/>
            <w:left w:val="none" w:sz="0" w:space="0" w:color="auto"/>
            <w:bottom w:val="none" w:sz="0" w:space="0" w:color="auto"/>
            <w:right w:val="none" w:sz="0" w:space="0" w:color="auto"/>
          </w:divBdr>
        </w:div>
        <w:div w:id="1906720296">
          <w:marLeft w:val="0"/>
          <w:marRight w:val="0"/>
          <w:marTop w:val="0"/>
          <w:marBottom w:val="0"/>
          <w:divBdr>
            <w:top w:val="none" w:sz="0" w:space="0" w:color="auto"/>
            <w:left w:val="none" w:sz="0" w:space="0" w:color="auto"/>
            <w:bottom w:val="none" w:sz="0" w:space="0" w:color="auto"/>
            <w:right w:val="none" w:sz="0" w:space="0" w:color="auto"/>
          </w:divBdr>
        </w:div>
        <w:div w:id="1940599513">
          <w:marLeft w:val="0"/>
          <w:marRight w:val="0"/>
          <w:marTop w:val="0"/>
          <w:marBottom w:val="0"/>
          <w:divBdr>
            <w:top w:val="none" w:sz="0" w:space="0" w:color="auto"/>
            <w:left w:val="none" w:sz="0" w:space="0" w:color="auto"/>
            <w:bottom w:val="none" w:sz="0" w:space="0" w:color="auto"/>
            <w:right w:val="none" w:sz="0" w:space="0" w:color="auto"/>
          </w:divBdr>
        </w:div>
        <w:div w:id="1985544665">
          <w:marLeft w:val="0"/>
          <w:marRight w:val="0"/>
          <w:marTop w:val="0"/>
          <w:marBottom w:val="0"/>
          <w:divBdr>
            <w:top w:val="none" w:sz="0" w:space="0" w:color="auto"/>
            <w:left w:val="none" w:sz="0" w:space="0" w:color="auto"/>
            <w:bottom w:val="none" w:sz="0" w:space="0" w:color="auto"/>
            <w:right w:val="none" w:sz="0" w:space="0" w:color="auto"/>
          </w:divBdr>
        </w:div>
        <w:div w:id="2069762201">
          <w:marLeft w:val="0"/>
          <w:marRight w:val="0"/>
          <w:marTop w:val="0"/>
          <w:marBottom w:val="0"/>
          <w:divBdr>
            <w:top w:val="none" w:sz="0" w:space="0" w:color="auto"/>
            <w:left w:val="none" w:sz="0" w:space="0" w:color="auto"/>
            <w:bottom w:val="none" w:sz="0" w:space="0" w:color="auto"/>
            <w:right w:val="none" w:sz="0" w:space="0" w:color="auto"/>
          </w:divBdr>
        </w:div>
      </w:divsChild>
    </w:div>
    <w:div w:id="1652950009">
      <w:bodyDiv w:val="1"/>
      <w:marLeft w:val="0"/>
      <w:marRight w:val="0"/>
      <w:marTop w:val="0"/>
      <w:marBottom w:val="0"/>
      <w:divBdr>
        <w:top w:val="none" w:sz="0" w:space="0" w:color="auto"/>
        <w:left w:val="none" w:sz="0" w:space="0" w:color="auto"/>
        <w:bottom w:val="none" w:sz="0" w:space="0" w:color="auto"/>
        <w:right w:val="none" w:sz="0" w:space="0" w:color="auto"/>
      </w:divBdr>
      <w:divsChild>
        <w:div w:id="11155058">
          <w:marLeft w:val="0"/>
          <w:marRight w:val="0"/>
          <w:marTop w:val="0"/>
          <w:marBottom w:val="0"/>
          <w:divBdr>
            <w:top w:val="none" w:sz="0" w:space="0" w:color="auto"/>
            <w:left w:val="none" w:sz="0" w:space="0" w:color="auto"/>
            <w:bottom w:val="none" w:sz="0" w:space="0" w:color="auto"/>
            <w:right w:val="none" w:sz="0" w:space="0" w:color="auto"/>
          </w:divBdr>
        </w:div>
        <w:div w:id="14888599">
          <w:marLeft w:val="0"/>
          <w:marRight w:val="0"/>
          <w:marTop w:val="0"/>
          <w:marBottom w:val="0"/>
          <w:divBdr>
            <w:top w:val="none" w:sz="0" w:space="0" w:color="auto"/>
            <w:left w:val="none" w:sz="0" w:space="0" w:color="auto"/>
            <w:bottom w:val="none" w:sz="0" w:space="0" w:color="auto"/>
            <w:right w:val="none" w:sz="0" w:space="0" w:color="auto"/>
          </w:divBdr>
        </w:div>
        <w:div w:id="100802204">
          <w:marLeft w:val="0"/>
          <w:marRight w:val="0"/>
          <w:marTop w:val="0"/>
          <w:marBottom w:val="0"/>
          <w:divBdr>
            <w:top w:val="none" w:sz="0" w:space="0" w:color="auto"/>
            <w:left w:val="none" w:sz="0" w:space="0" w:color="auto"/>
            <w:bottom w:val="none" w:sz="0" w:space="0" w:color="auto"/>
            <w:right w:val="none" w:sz="0" w:space="0" w:color="auto"/>
          </w:divBdr>
        </w:div>
        <w:div w:id="195387107">
          <w:marLeft w:val="0"/>
          <w:marRight w:val="0"/>
          <w:marTop w:val="0"/>
          <w:marBottom w:val="0"/>
          <w:divBdr>
            <w:top w:val="none" w:sz="0" w:space="0" w:color="auto"/>
            <w:left w:val="none" w:sz="0" w:space="0" w:color="auto"/>
            <w:bottom w:val="none" w:sz="0" w:space="0" w:color="auto"/>
            <w:right w:val="none" w:sz="0" w:space="0" w:color="auto"/>
          </w:divBdr>
        </w:div>
        <w:div w:id="341973729">
          <w:marLeft w:val="0"/>
          <w:marRight w:val="0"/>
          <w:marTop w:val="0"/>
          <w:marBottom w:val="0"/>
          <w:divBdr>
            <w:top w:val="none" w:sz="0" w:space="0" w:color="auto"/>
            <w:left w:val="none" w:sz="0" w:space="0" w:color="auto"/>
            <w:bottom w:val="none" w:sz="0" w:space="0" w:color="auto"/>
            <w:right w:val="none" w:sz="0" w:space="0" w:color="auto"/>
          </w:divBdr>
        </w:div>
        <w:div w:id="608508549">
          <w:marLeft w:val="0"/>
          <w:marRight w:val="0"/>
          <w:marTop w:val="0"/>
          <w:marBottom w:val="0"/>
          <w:divBdr>
            <w:top w:val="none" w:sz="0" w:space="0" w:color="auto"/>
            <w:left w:val="none" w:sz="0" w:space="0" w:color="auto"/>
            <w:bottom w:val="none" w:sz="0" w:space="0" w:color="auto"/>
            <w:right w:val="none" w:sz="0" w:space="0" w:color="auto"/>
          </w:divBdr>
        </w:div>
        <w:div w:id="608780546">
          <w:marLeft w:val="0"/>
          <w:marRight w:val="0"/>
          <w:marTop w:val="0"/>
          <w:marBottom w:val="0"/>
          <w:divBdr>
            <w:top w:val="none" w:sz="0" w:space="0" w:color="auto"/>
            <w:left w:val="none" w:sz="0" w:space="0" w:color="auto"/>
            <w:bottom w:val="none" w:sz="0" w:space="0" w:color="auto"/>
            <w:right w:val="none" w:sz="0" w:space="0" w:color="auto"/>
          </w:divBdr>
        </w:div>
        <w:div w:id="799036977">
          <w:marLeft w:val="0"/>
          <w:marRight w:val="0"/>
          <w:marTop w:val="0"/>
          <w:marBottom w:val="0"/>
          <w:divBdr>
            <w:top w:val="none" w:sz="0" w:space="0" w:color="auto"/>
            <w:left w:val="none" w:sz="0" w:space="0" w:color="auto"/>
            <w:bottom w:val="none" w:sz="0" w:space="0" w:color="auto"/>
            <w:right w:val="none" w:sz="0" w:space="0" w:color="auto"/>
          </w:divBdr>
        </w:div>
        <w:div w:id="809520538">
          <w:marLeft w:val="0"/>
          <w:marRight w:val="0"/>
          <w:marTop w:val="0"/>
          <w:marBottom w:val="0"/>
          <w:divBdr>
            <w:top w:val="none" w:sz="0" w:space="0" w:color="auto"/>
            <w:left w:val="none" w:sz="0" w:space="0" w:color="auto"/>
            <w:bottom w:val="none" w:sz="0" w:space="0" w:color="auto"/>
            <w:right w:val="none" w:sz="0" w:space="0" w:color="auto"/>
          </w:divBdr>
        </w:div>
        <w:div w:id="1046173678">
          <w:marLeft w:val="0"/>
          <w:marRight w:val="0"/>
          <w:marTop w:val="0"/>
          <w:marBottom w:val="0"/>
          <w:divBdr>
            <w:top w:val="none" w:sz="0" w:space="0" w:color="auto"/>
            <w:left w:val="none" w:sz="0" w:space="0" w:color="auto"/>
            <w:bottom w:val="none" w:sz="0" w:space="0" w:color="auto"/>
            <w:right w:val="none" w:sz="0" w:space="0" w:color="auto"/>
          </w:divBdr>
        </w:div>
        <w:div w:id="1132750384">
          <w:marLeft w:val="0"/>
          <w:marRight w:val="0"/>
          <w:marTop w:val="0"/>
          <w:marBottom w:val="0"/>
          <w:divBdr>
            <w:top w:val="none" w:sz="0" w:space="0" w:color="auto"/>
            <w:left w:val="none" w:sz="0" w:space="0" w:color="auto"/>
            <w:bottom w:val="none" w:sz="0" w:space="0" w:color="auto"/>
            <w:right w:val="none" w:sz="0" w:space="0" w:color="auto"/>
          </w:divBdr>
        </w:div>
        <w:div w:id="1212230218">
          <w:marLeft w:val="0"/>
          <w:marRight w:val="0"/>
          <w:marTop w:val="0"/>
          <w:marBottom w:val="0"/>
          <w:divBdr>
            <w:top w:val="none" w:sz="0" w:space="0" w:color="auto"/>
            <w:left w:val="none" w:sz="0" w:space="0" w:color="auto"/>
            <w:bottom w:val="none" w:sz="0" w:space="0" w:color="auto"/>
            <w:right w:val="none" w:sz="0" w:space="0" w:color="auto"/>
          </w:divBdr>
        </w:div>
        <w:div w:id="1576237416">
          <w:marLeft w:val="0"/>
          <w:marRight w:val="0"/>
          <w:marTop w:val="0"/>
          <w:marBottom w:val="0"/>
          <w:divBdr>
            <w:top w:val="none" w:sz="0" w:space="0" w:color="auto"/>
            <w:left w:val="none" w:sz="0" w:space="0" w:color="auto"/>
            <w:bottom w:val="none" w:sz="0" w:space="0" w:color="auto"/>
            <w:right w:val="none" w:sz="0" w:space="0" w:color="auto"/>
          </w:divBdr>
        </w:div>
        <w:div w:id="1584416526">
          <w:marLeft w:val="0"/>
          <w:marRight w:val="0"/>
          <w:marTop w:val="0"/>
          <w:marBottom w:val="0"/>
          <w:divBdr>
            <w:top w:val="none" w:sz="0" w:space="0" w:color="auto"/>
            <w:left w:val="none" w:sz="0" w:space="0" w:color="auto"/>
            <w:bottom w:val="none" w:sz="0" w:space="0" w:color="auto"/>
            <w:right w:val="none" w:sz="0" w:space="0" w:color="auto"/>
          </w:divBdr>
        </w:div>
        <w:div w:id="1647128996">
          <w:marLeft w:val="0"/>
          <w:marRight w:val="0"/>
          <w:marTop w:val="0"/>
          <w:marBottom w:val="0"/>
          <w:divBdr>
            <w:top w:val="none" w:sz="0" w:space="0" w:color="auto"/>
            <w:left w:val="none" w:sz="0" w:space="0" w:color="auto"/>
            <w:bottom w:val="none" w:sz="0" w:space="0" w:color="auto"/>
            <w:right w:val="none" w:sz="0" w:space="0" w:color="auto"/>
          </w:divBdr>
        </w:div>
        <w:div w:id="1734697327">
          <w:marLeft w:val="0"/>
          <w:marRight w:val="0"/>
          <w:marTop w:val="0"/>
          <w:marBottom w:val="0"/>
          <w:divBdr>
            <w:top w:val="none" w:sz="0" w:space="0" w:color="auto"/>
            <w:left w:val="none" w:sz="0" w:space="0" w:color="auto"/>
            <w:bottom w:val="none" w:sz="0" w:space="0" w:color="auto"/>
            <w:right w:val="none" w:sz="0" w:space="0" w:color="auto"/>
          </w:divBdr>
        </w:div>
        <w:div w:id="1737242897">
          <w:marLeft w:val="0"/>
          <w:marRight w:val="0"/>
          <w:marTop w:val="0"/>
          <w:marBottom w:val="0"/>
          <w:divBdr>
            <w:top w:val="none" w:sz="0" w:space="0" w:color="auto"/>
            <w:left w:val="none" w:sz="0" w:space="0" w:color="auto"/>
            <w:bottom w:val="none" w:sz="0" w:space="0" w:color="auto"/>
            <w:right w:val="none" w:sz="0" w:space="0" w:color="auto"/>
          </w:divBdr>
        </w:div>
        <w:div w:id="1761562813">
          <w:marLeft w:val="0"/>
          <w:marRight w:val="0"/>
          <w:marTop w:val="0"/>
          <w:marBottom w:val="0"/>
          <w:divBdr>
            <w:top w:val="none" w:sz="0" w:space="0" w:color="auto"/>
            <w:left w:val="none" w:sz="0" w:space="0" w:color="auto"/>
            <w:bottom w:val="none" w:sz="0" w:space="0" w:color="auto"/>
            <w:right w:val="none" w:sz="0" w:space="0" w:color="auto"/>
          </w:divBdr>
        </w:div>
        <w:div w:id="1767652804">
          <w:marLeft w:val="0"/>
          <w:marRight w:val="0"/>
          <w:marTop w:val="0"/>
          <w:marBottom w:val="0"/>
          <w:divBdr>
            <w:top w:val="none" w:sz="0" w:space="0" w:color="auto"/>
            <w:left w:val="none" w:sz="0" w:space="0" w:color="auto"/>
            <w:bottom w:val="none" w:sz="0" w:space="0" w:color="auto"/>
            <w:right w:val="none" w:sz="0" w:space="0" w:color="auto"/>
          </w:divBdr>
        </w:div>
        <w:div w:id="1962028448">
          <w:marLeft w:val="0"/>
          <w:marRight w:val="0"/>
          <w:marTop w:val="0"/>
          <w:marBottom w:val="0"/>
          <w:divBdr>
            <w:top w:val="none" w:sz="0" w:space="0" w:color="auto"/>
            <w:left w:val="none" w:sz="0" w:space="0" w:color="auto"/>
            <w:bottom w:val="none" w:sz="0" w:space="0" w:color="auto"/>
            <w:right w:val="none" w:sz="0" w:space="0" w:color="auto"/>
          </w:divBdr>
        </w:div>
        <w:div w:id="2039969033">
          <w:marLeft w:val="0"/>
          <w:marRight w:val="0"/>
          <w:marTop w:val="0"/>
          <w:marBottom w:val="0"/>
          <w:divBdr>
            <w:top w:val="none" w:sz="0" w:space="0" w:color="auto"/>
            <w:left w:val="none" w:sz="0" w:space="0" w:color="auto"/>
            <w:bottom w:val="none" w:sz="0" w:space="0" w:color="auto"/>
            <w:right w:val="none" w:sz="0" w:space="0" w:color="auto"/>
          </w:divBdr>
        </w:div>
      </w:divsChild>
    </w:div>
    <w:div w:id="1659267602">
      <w:bodyDiv w:val="1"/>
      <w:marLeft w:val="0"/>
      <w:marRight w:val="0"/>
      <w:marTop w:val="0"/>
      <w:marBottom w:val="0"/>
      <w:divBdr>
        <w:top w:val="none" w:sz="0" w:space="0" w:color="auto"/>
        <w:left w:val="none" w:sz="0" w:space="0" w:color="auto"/>
        <w:bottom w:val="none" w:sz="0" w:space="0" w:color="auto"/>
        <w:right w:val="none" w:sz="0" w:space="0" w:color="auto"/>
      </w:divBdr>
    </w:div>
    <w:div w:id="1679577841">
      <w:bodyDiv w:val="1"/>
      <w:marLeft w:val="0"/>
      <w:marRight w:val="0"/>
      <w:marTop w:val="0"/>
      <w:marBottom w:val="0"/>
      <w:divBdr>
        <w:top w:val="none" w:sz="0" w:space="0" w:color="auto"/>
        <w:left w:val="none" w:sz="0" w:space="0" w:color="auto"/>
        <w:bottom w:val="none" w:sz="0" w:space="0" w:color="auto"/>
        <w:right w:val="none" w:sz="0" w:space="0" w:color="auto"/>
      </w:divBdr>
      <w:divsChild>
        <w:div w:id="25369684">
          <w:marLeft w:val="0"/>
          <w:marRight w:val="0"/>
          <w:marTop w:val="0"/>
          <w:marBottom w:val="0"/>
          <w:divBdr>
            <w:top w:val="none" w:sz="0" w:space="0" w:color="auto"/>
            <w:left w:val="none" w:sz="0" w:space="0" w:color="auto"/>
            <w:bottom w:val="none" w:sz="0" w:space="0" w:color="auto"/>
            <w:right w:val="none" w:sz="0" w:space="0" w:color="auto"/>
          </w:divBdr>
        </w:div>
      </w:divsChild>
    </w:div>
    <w:div w:id="1701472091">
      <w:bodyDiv w:val="1"/>
      <w:marLeft w:val="0"/>
      <w:marRight w:val="0"/>
      <w:marTop w:val="0"/>
      <w:marBottom w:val="0"/>
      <w:divBdr>
        <w:top w:val="none" w:sz="0" w:space="0" w:color="auto"/>
        <w:left w:val="none" w:sz="0" w:space="0" w:color="auto"/>
        <w:bottom w:val="none" w:sz="0" w:space="0" w:color="auto"/>
        <w:right w:val="none" w:sz="0" w:space="0" w:color="auto"/>
      </w:divBdr>
      <w:divsChild>
        <w:div w:id="669716286">
          <w:marLeft w:val="446"/>
          <w:marRight w:val="0"/>
          <w:marTop w:val="0"/>
          <w:marBottom w:val="0"/>
          <w:divBdr>
            <w:top w:val="none" w:sz="0" w:space="0" w:color="auto"/>
            <w:left w:val="none" w:sz="0" w:space="0" w:color="auto"/>
            <w:bottom w:val="none" w:sz="0" w:space="0" w:color="auto"/>
            <w:right w:val="none" w:sz="0" w:space="0" w:color="auto"/>
          </w:divBdr>
        </w:div>
        <w:div w:id="913899805">
          <w:marLeft w:val="446"/>
          <w:marRight w:val="0"/>
          <w:marTop w:val="0"/>
          <w:marBottom w:val="0"/>
          <w:divBdr>
            <w:top w:val="none" w:sz="0" w:space="0" w:color="auto"/>
            <w:left w:val="none" w:sz="0" w:space="0" w:color="auto"/>
            <w:bottom w:val="none" w:sz="0" w:space="0" w:color="auto"/>
            <w:right w:val="none" w:sz="0" w:space="0" w:color="auto"/>
          </w:divBdr>
        </w:div>
        <w:div w:id="1158955480">
          <w:marLeft w:val="446"/>
          <w:marRight w:val="0"/>
          <w:marTop w:val="0"/>
          <w:marBottom w:val="0"/>
          <w:divBdr>
            <w:top w:val="none" w:sz="0" w:space="0" w:color="auto"/>
            <w:left w:val="none" w:sz="0" w:space="0" w:color="auto"/>
            <w:bottom w:val="none" w:sz="0" w:space="0" w:color="auto"/>
            <w:right w:val="none" w:sz="0" w:space="0" w:color="auto"/>
          </w:divBdr>
        </w:div>
        <w:div w:id="1313295141">
          <w:marLeft w:val="446"/>
          <w:marRight w:val="0"/>
          <w:marTop w:val="0"/>
          <w:marBottom w:val="0"/>
          <w:divBdr>
            <w:top w:val="none" w:sz="0" w:space="0" w:color="auto"/>
            <w:left w:val="none" w:sz="0" w:space="0" w:color="auto"/>
            <w:bottom w:val="none" w:sz="0" w:space="0" w:color="auto"/>
            <w:right w:val="none" w:sz="0" w:space="0" w:color="auto"/>
          </w:divBdr>
        </w:div>
        <w:div w:id="1877545714">
          <w:marLeft w:val="446"/>
          <w:marRight w:val="0"/>
          <w:marTop w:val="0"/>
          <w:marBottom w:val="0"/>
          <w:divBdr>
            <w:top w:val="none" w:sz="0" w:space="0" w:color="auto"/>
            <w:left w:val="none" w:sz="0" w:space="0" w:color="auto"/>
            <w:bottom w:val="none" w:sz="0" w:space="0" w:color="auto"/>
            <w:right w:val="none" w:sz="0" w:space="0" w:color="auto"/>
          </w:divBdr>
        </w:div>
      </w:divsChild>
    </w:div>
    <w:div w:id="1759329718">
      <w:bodyDiv w:val="1"/>
      <w:marLeft w:val="0"/>
      <w:marRight w:val="0"/>
      <w:marTop w:val="0"/>
      <w:marBottom w:val="0"/>
      <w:divBdr>
        <w:top w:val="none" w:sz="0" w:space="0" w:color="auto"/>
        <w:left w:val="none" w:sz="0" w:space="0" w:color="auto"/>
        <w:bottom w:val="none" w:sz="0" w:space="0" w:color="auto"/>
        <w:right w:val="none" w:sz="0" w:space="0" w:color="auto"/>
      </w:divBdr>
      <w:divsChild>
        <w:div w:id="406878896">
          <w:marLeft w:val="0"/>
          <w:marRight w:val="0"/>
          <w:marTop w:val="0"/>
          <w:marBottom w:val="0"/>
          <w:divBdr>
            <w:top w:val="none" w:sz="0" w:space="0" w:color="auto"/>
            <w:left w:val="none" w:sz="0" w:space="0" w:color="auto"/>
            <w:bottom w:val="none" w:sz="0" w:space="0" w:color="auto"/>
            <w:right w:val="none" w:sz="0" w:space="0" w:color="auto"/>
          </w:divBdr>
          <w:divsChild>
            <w:div w:id="39324990">
              <w:marLeft w:val="0"/>
              <w:marRight w:val="0"/>
              <w:marTop w:val="30"/>
              <w:marBottom w:val="30"/>
              <w:divBdr>
                <w:top w:val="none" w:sz="0" w:space="0" w:color="auto"/>
                <w:left w:val="none" w:sz="0" w:space="0" w:color="auto"/>
                <w:bottom w:val="none" w:sz="0" w:space="0" w:color="auto"/>
                <w:right w:val="none" w:sz="0" w:space="0" w:color="auto"/>
              </w:divBdr>
              <w:divsChild>
                <w:div w:id="17585702">
                  <w:marLeft w:val="0"/>
                  <w:marRight w:val="0"/>
                  <w:marTop w:val="0"/>
                  <w:marBottom w:val="0"/>
                  <w:divBdr>
                    <w:top w:val="none" w:sz="0" w:space="0" w:color="auto"/>
                    <w:left w:val="none" w:sz="0" w:space="0" w:color="auto"/>
                    <w:bottom w:val="none" w:sz="0" w:space="0" w:color="auto"/>
                    <w:right w:val="none" w:sz="0" w:space="0" w:color="auto"/>
                  </w:divBdr>
                  <w:divsChild>
                    <w:div w:id="1283457631">
                      <w:marLeft w:val="0"/>
                      <w:marRight w:val="0"/>
                      <w:marTop w:val="0"/>
                      <w:marBottom w:val="0"/>
                      <w:divBdr>
                        <w:top w:val="none" w:sz="0" w:space="0" w:color="auto"/>
                        <w:left w:val="none" w:sz="0" w:space="0" w:color="auto"/>
                        <w:bottom w:val="none" w:sz="0" w:space="0" w:color="auto"/>
                        <w:right w:val="none" w:sz="0" w:space="0" w:color="auto"/>
                      </w:divBdr>
                    </w:div>
                    <w:div w:id="1778601714">
                      <w:marLeft w:val="0"/>
                      <w:marRight w:val="0"/>
                      <w:marTop w:val="0"/>
                      <w:marBottom w:val="0"/>
                      <w:divBdr>
                        <w:top w:val="none" w:sz="0" w:space="0" w:color="auto"/>
                        <w:left w:val="none" w:sz="0" w:space="0" w:color="auto"/>
                        <w:bottom w:val="none" w:sz="0" w:space="0" w:color="auto"/>
                        <w:right w:val="none" w:sz="0" w:space="0" w:color="auto"/>
                      </w:divBdr>
                    </w:div>
                  </w:divsChild>
                </w:div>
                <w:div w:id="24911221">
                  <w:marLeft w:val="0"/>
                  <w:marRight w:val="0"/>
                  <w:marTop w:val="0"/>
                  <w:marBottom w:val="0"/>
                  <w:divBdr>
                    <w:top w:val="none" w:sz="0" w:space="0" w:color="auto"/>
                    <w:left w:val="none" w:sz="0" w:space="0" w:color="auto"/>
                    <w:bottom w:val="none" w:sz="0" w:space="0" w:color="auto"/>
                    <w:right w:val="none" w:sz="0" w:space="0" w:color="auto"/>
                  </w:divBdr>
                  <w:divsChild>
                    <w:div w:id="779571549">
                      <w:marLeft w:val="0"/>
                      <w:marRight w:val="0"/>
                      <w:marTop w:val="0"/>
                      <w:marBottom w:val="0"/>
                      <w:divBdr>
                        <w:top w:val="none" w:sz="0" w:space="0" w:color="auto"/>
                        <w:left w:val="none" w:sz="0" w:space="0" w:color="auto"/>
                        <w:bottom w:val="none" w:sz="0" w:space="0" w:color="auto"/>
                        <w:right w:val="none" w:sz="0" w:space="0" w:color="auto"/>
                      </w:divBdr>
                    </w:div>
                    <w:div w:id="1346052166">
                      <w:marLeft w:val="0"/>
                      <w:marRight w:val="0"/>
                      <w:marTop w:val="0"/>
                      <w:marBottom w:val="0"/>
                      <w:divBdr>
                        <w:top w:val="none" w:sz="0" w:space="0" w:color="auto"/>
                        <w:left w:val="none" w:sz="0" w:space="0" w:color="auto"/>
                        <w:bottom w:val="none" w:sz="0" w:space="0" w:color="auto"/>
                        <w:right w:val="none" w:sz="0" w:space="0" w:color="auto"/>
                      </w:divBdr>
                    </w:div>
                    <w:div w:id="1357199596">
                      <w:marLeft w:val="0"/>
                      <w:marRight w:val="0"/>
                      <w:marTop w:val="0"/>
                      <w:marBottom w:val="0"/>
                      <w:divBdr>
                        <w:top w:val="none" w:sz="0" w:space="0" w:color="auto"/>
                        <w:left w:val="none" w:sz="0" w:space="0" w:color="auto"/>
                        <w:bottom w:val="none" w:sz="0" w:space="0" w:color="auto"/>
                        <w:right w:val="none" w:sz="0" w:space="0" w:color="auto"/>
                      </w:divBdr>
                    </w:div>
                  </w:divsChild>
                </w:div>
                <w:div w:id="82143393">
                  <w:marLeft w:val="0"/>
                  <w:marRight w:val="0"/>
                  <w:marTop w:val="0"/>
                  <w:marBottom w:val="0"/>
                  <w:divBdr>
                    <w:top w:val="none" w:sz="0" w:space="0" w:color="auto"/>
                    <w:left w:val="none" w:sz="0" w:space="0" w:color="auto"/>
                    <w:bottom w:val="none" w:sz="0" w:space="0" w:color="auto"/>
                    <w:right w:val="none" w:sz="0" w:space="0" w:color="auto"/>
                  </w:divBdr>
                  <w:divsChild>
                    <w:div w:id="2014407954">
                      <w:marLeft w:val="0"/>
                      <w:marRight w:val="0"/>
                      <w:marTop w:val="0"/>
                      <w:marBottom w:val="0"/>
                      <w:divBdr>
                        <w:top w:val="none" w:sz="0" w:space="0" w:color="auto"/>
                        <w:left w:val="none" w:sz="0" w:space="0" w:color="auto"/>
                        <w:bottom w:val="none" w:sz="0" w:space="0" w:color="auto"/>
                        <w:right w:val="none" w:sz="0" w:space="0" w:color="auto"/>
                      </w:divBdr>
                    </w:div>
                  </w:divsChild>
                </w:div>
                <w:div w:id="100420857">
                  <w:marLeft w:val="0"/>
                  <w:marRight w:val="0"/>
                  <w:marTop w:val="0"/>
                  <w:marBottom w:val="0"/>
                  <w:divBdr>
                    <w:top w:val="none" w:sz="0" w:space="0" w:color="auto"/>
                    <w:left w:val="none" w:sz="0" w:space="0" w:color="auto"/>
                    <w:bottom w:val="none" w:sz="0" w:space="0" w:color="auto"/>
                    <w:right w:val="none" w:sz="0" w:space="0" w:color="auto"/>
                  </w:divBdr>
                  <w:divsChild>
                    <w:div w:id="968976538">
                      <w:marLeft w:val="0"/>
                      <w:marRight w:val="0"/>
                      <w:marTop w:val="0"/>
                      <w:marBottom w:val="0"/>
                      <w:divBdr>
                        <w:top w:val="none" w:sz="0" w:space="0" w:color="auto"/>
                        <w:left w:val="none" w:sz="0" w:space="0" w:color="auto"/>
                        <w:bottom w:val="none" w:sz="0" w:space="0" w:color="auto"/>
                        <w:right w:val="none" w:sz="0" w:space="0" w:color="auto"/>
                      </w:divBdr>
                    </w:div>
                  </w:divsChild>
                </w:div>
                <w:div w:id="119694279">
                  <w:marLeft w:val="0"/>
                  <w:marRight w:val="0"/>
                  <w:marTop w:val="0"/>
                  <w:marBottom w:val="0"/>
                  <w:divBdr>
                    <w:top w:val="none" w:sz="0" w:space="0" w:color="auto"/>
                    <w:left w:val="none" w:sz="0" w:space="0" w:color="auto"/>
                    <w:bottom w:val="none" w:sz="0" w:space="0" w:color="auto"/>
                    <w:right w:val="none" w:sz="0" w:space="0" w:color="auto"/>
                  </w:divBdr>
                  <w:divsChild>
                    <w:div w:id="938219699">
                      <w:marLeft w:val="0"/>
                      <w:marRight w:val="0"/>
                      <w:marTop w:val="0"/>
                      <w:marBottom w:val="0"/>
                      <w:divBdr>
                        <w:top w:val="none" w:sz="0" w:space="0" w:color="auto"/>
                        <w:left w:val="none" w:sz="0" w:space="0" w:color="auto"/>
                        <w:bottom w:val="none" w:sz="0" w:space="0" w:color="auto"/>
                        <w:right w:val="none" w:sz="0" w:space="0" w:color="auto"/>
                      </w:divBdr>
                    </w:div>
                  </w:divsChild>
                </w:div>
                <w:div w:id="143817294">
                  <w:marLeft w:val="0"/>
                  <w:marRight w:val="0"/>
                  <w:marTop w:val="0"/>
                  <w:marBottom w:val="0"/>
                  <w:divBdr>
                    <w:top w:val="none" w:sz="0" w:space="0" w:color="auto"/>
                    <w:left w:val="none" w:sz="0" w:space="0" w:color="auto"/>
                    <w:bottom w:val="none" w:sz="0" w:space="0" w:color="auto"/>
                    <w:right w:val="none" w:sz="0" w:space="0" w:color="auto"/>
                  </w:divBdr>
                  <w:divsChild>
                    <w:div w:id="1901090235">
                      <w:marLeft w:val="0"/>
                      <w:marRight w:val="0"/>
                      <w:marTop w:val="0"/>
                      <w:marBottom w:val="0"/>
                      <w:divBdr>
                        <w:top w:val="none" w:sz="0" w:space="0" w:color="auto"/>
                        <w:left w:val="none" w:sz="0" w:space="0" w:color="auto"/>
                        <w:bottom w:val="none" w:sz="0" w:space="0" w:color="auto"/>
                        <w:right w:val="none" w:sz="0" w:space="0" w:color="auto"/>
                      </w:divBdr>
                    </w:div>
                  </w:divsChild>
                </w:div>
                <w:div w:id="151457529">
                  <w:marLeft w:val="0"/>
                  <w:marRight w:val="0"/>
                  <w:marTop w:val="0"/>
                  <w:marBottom w:val="0"/>
                  <w:divBdr>
                    <w:top w:val="none" w:sz="0" w:space="0" w:color="auto"/>
                    <w:left w:val="none" w:sz="0" w:space="0" w:color="auto"/>
                    <w:bottom w:val="none" w:sz="0" w:space="0" w:color="auto"/>
                    <w:right w:val="none" w:sz="0" w:space="0" w:color="auto"/>
                  </w:divBdr>
                  <w:divsChild>
                    <w:div w:id="740830958">
                      <w:marLeft w:val="0"/>
                      <w:marRight w:val="0"/>
                      <w:marTop w:val="0"/>
                      <w:marBottom w:val="0"/>
                      <w:divBdr>
                        <w:top w:val="none" w:sz="0" w:space="0" w:color="auto"/>
                        <w:left w:val="none" w:sz="0" w:space="0" w:color="auto"/>
                        <w:bottom w:val="none" w:sz="0" w:space="0" w:color="auto"/>
                        <w:right w:val="none" w:sz="0" w:space="0" w:color="auto"/>
                      </w:divBdr>
                    </w:div>
                  </w:divsChild>
                </w:div>
                <w:div w:id="166555905">
                  <w:marLeft w:val="0"/>
                  <w:marRight w:val="0"/>
                  <w:marTop w:val="0"/>
                  <w:marBottom w:val="0"/>
                  <w:divBdr>
                    <w:top w:val="none" w:sz="0" w:space="0" w:color="auto"/>
                    <w:left w:val="none" w:sz="0" w:space="0" w:color="auto"/>
                    <w:bottom w:val="none" w:sz="0" w:space="0" w:color="auto"/>
                    <w:right w:val="none" w:sz="0" w:space="0" w:color="auto"/>
                  </w:divBdr>
                  <w:divsChild>
                    <w:div w:id="660305922">
                      <w:marLeft w:val="0"/>
                      <w:marRight w:val="0"/>
                      <w:marTop w:val="0"/>
                      <w:marBottom w:val="0"/>
                      <w:divBdr>
                        <w:top w:val="none" w:sz="0" w:space="0" w:color="auto"/>
                        <w:left w:val="none" w:sz="0" w:space="0" w:color="auto"/>
                        <w:bottom w:val="none" w:sz="0" w:space="0" w:color="auto"/>
                        <w:right w:val="none" w:sz="0" w:space="0" w:color="auto"/>
                      </w:divBdr>
                    </w:div>
                  </w:divsChild>
                </w:div>
                <w:div w:id="173500317">
                  <w:marLeft w:val="0"/>
                  <w:marRight w:val="0"/>
                  <w:marTop w:val="0"/>
                  <w:marBottom w:val="0"/>
                  <w:divBdr>
                    <w:top w:val="none" w:sz="0" w:space="0" w:color="auto"/>
                    <w:left w:val="none" w:sz="0" w:space="0" w:color="auto"/>
                    <w:bottom w:val="none" w:sz="0" w:space="0" w:color="auto"/>
                    <w:right w:val="none" w:sz="0" w:space="0" w:color="auto"/>
                  </w:divBdr>
                  <w:divsChild>
                    <w:div w:id="1880586108">
                      <w:marLeft w:val="0"/>
                      <w:marRight w:val="0"/>
                      <w:marTop w:val="0"/>
                      <w:marBottom w:val="0"/>
                      <w:divBdr>
                        <w:top w:val="none" w:sz="0" w:space="0" w:color="auto"/>
                        <w:left w:val="none" w:sz="0" w:space="0" w:color="auto"/>
                        <w:bottom w:val="none" w:sz="0" w:space="0" w:color="auto"/>
                        <w:right w:val="none" w:sz="0" w:space="0" w:color="auto"/>
                      </w:divBdr>
                    </w:div>
                  </w:divsChild>
                </w:div>
                <w:div w:id="210044263">
                  <w:marLeft w:val="0"/>
                  <w:marRight w:val="0"/>
                  <w:marTop w:val="0"/>
                  <w:marBottom w:val="0"/>
                  <w:divBdr>
                    <w:top w:val="none" w:sz="0" w:space="0" w:color="auto"/>
                    <w:left w:val="none" w:sz="0" w:space="0" w:color="auto"/>
                    <w:bottom w:val="none" w:sz="0" w:space="0" w:color="auto"/>
                    <w:right w:val="none" w:sz="0" w:space="0" w:color="auto"/>
                  </w:divBdr>
                  <w:divsChild>
                    <w:div w:id="135801285">
                      <w:marLeft w:val="0"/>
                      <w:marRight w:val="0"/>
                      <w:marTop w:val="0"/>
                      <w:marBottom w:val="0"/>
                      <w:divBdr>
                        <w:top w:val="none" w:sz="0" w:space="0" w:color="auto"/>
                        <w:left w:val="none" w:sz="0" w:space="0" w:color="auto"/>
                        <w:bottom w:val="none" w:sz="0" w:space="0" w:color="auto"/>
                        <w:right w:val="none" w:sz="0" w:space="0" w:color="auto"/>
                      </w:divBdr>
                    </w:div>
                  </w:divsChild>
                </w:div>
                <w:div w:id="218518610">
                  <w:marLeft w:val="0"/>
                  <w:marRight w:val="0"/>
                  <w:marTop w:val="0"/>
                  <w:marBottom w:val="0"/>
                  <w:divBdr>
                    <w:top w:val="none" w:sz="0" w:space="0" w:color="auto"/>
                    <w:left w:val="none" w:sz="0" w:space="0" w:color="auto"/>
                    <w:bottom w:val="none" w:sz="0" w:space="0" w:color="auto"/>
                    <w:right w:val="none" w:sz="0" w:space="0" w:color="auto"/>
                  </w:divBdr>
                  <w:divsChild>
                    <w:div w:id="1818259084">
                      <w:marLeft w:val="0"/>
                      <w:marRight w:val="0"/>
                      <w:marTop w:val="0"/>
                      <w:marBottom w:val="0"/>
                      <w:divBdr>
                        <w:top w:val="none" w:sz="0" w:space="0" w:color="auto"/>
                        <w:left w:val="none" w:sz="0" w:space="0" w:color="auto"/>
                        <w:bottom w:val="none" w:sz="0" w:space="0" w:color="auto"/>
                        <w:right w:val="none" w:sz="0" w:space="0" w:color="auto"/>
                      </w:divBdr>
                    </w:div>
                  </w:divsChild>
                </w:div>
                <w:div w:id="256404340">
                  <w:marLeft w:val="0"/>
                  <w:marRight w:val="0"/>
                  <w:marTop w:val="0"/>
                  <w:marBottom w:val="0"/>
                  <w:divBdr>
                    <w:top w:val="none" w:sz="0" w:space="0" w:color="auto"/>
                    <w:left w:val="none" w:sz="0" w:space="0" w:color="auto"/>
                    <w:bottom w:val="none" w:sz="0" w:space="0" w:color="auto"/>
                    <w:right w:val="none" w:sz="0" w:space="0" w:color="auto"/>
                  </w:divBdr>
                  <w:divsChild>
                    <w:div w:id="1661230651">
                      <w:marLeft w:val="0"/>
                      <w:marRight w:val="0"/>
                      <w:marTop w:val="0"/>
                      <w:marBottom w:val="0"/>
                      <w:divBdr>
                        <w:top w:val="none" w:sz="0" w:space="0" w:color="auto"/>
                        <w:left w:val="none" w:sz="0" w:space="0" w:color="auto"/>
                        <w:bottom w:val="none" w:sz="0" w:space="0" w:color="auto"/>
                        <w:right w:val="none" w:sz="0" w:space="0" w:color="auto"/>
                      </w:divBdr>
                    </w:div>
                  </w:divsChild>
                </w:div>
                <w:div w:id="276841649">
                  <w:marLeft w:val="0"/>
                  <w:marRight w:val="0"/>
                  <w:marTop w:val="0"/>
                  <w:marBottom w:val="0"/>
                  <w:divBdr>
                    <w:top w:val="none" w:sz="0" w:space="0" w:color="auto"/>
                    <w:left w:val="none" w:sz="0" w:space="0" w:color="auto"/>
                    <w:bottom w:val="none" w:sz="0" w:space="0" w:color="auto"/>
                    <w:right w:val="none" w:sz="0" w:space="0" w:color="auto"/>
                  </w:divBdr>
                  <w:divsChild>
                    <w:div w:id="874003208">
                      <w:marLeft w:val="0"/>
                      <w:marRight w:val="0"/>
                      <w:marTop w:val="0"/>
                      <w:marBottom w:val="0"/>
                      <w:divBdr>
                        <w:top w:val="none" w:sz="0" w:space="0" w:color="auto"/>
                        <w:left w:val="none" w:sz="0" w:space="0" w:color="auto"/>
                        <w:bottom w:val="none" w:sz="0" w:space="0" w:color="auto"/>
                        <w:right w:val="none" w:sz="0" w:space="0" w:color="auto"/>
                      </w:divBdr>
                    </w:div>
                    <w:div w:id="1142119434">
                      <w:marLeft w:val="0"/>
                      <w:marRight w:val="0"/>
                      <w:marTop w:val="0"/>
                      <w:marBottom w:val="0"/>
                      <w:divBdr>
                        <w:top w:val="none" w:sz="0" w:space="0" w:color="auto"/>
                        <w:left w:val="none" w:sz="0" w:space="0" w:color="auto"/>
                        <w:bottom w:val="none" w:sz="0" w:space="0" w:color="auto"/>
                        <w:right w:val="none" w:sz="0" w:space="0" w:color="auto"/>
                      </w:divBdr>
                    </w:div>
                  </w:divsChild>
                </w:div>
                <w:div w:id="304042756">
                  <w:marLeft w:val="0"/>
                  <w:marRight w:val="0"/>
                  <w:marTop w:val="0"/>
                  <w:marBottom w:val="0"/>
                  <w:divBdr>
                    <w:top w:val="none" w:sz="0" w:space="0" w:color="auto"/>
                    <w:left w:val="none" w:sz="0" w:space="0" w:color="auto"/>
                    <w:bottom w:val="none" w:sz="0" w:space="0" w:color="auto"/>
                    <w:right w:val="none" w:sz="0" w:space="0" w:color="auto"/>
                  </w:divBdr>
                  <w:divsChild>
                    <w:div w:id="1093742546">
                      <w:marLeft w:val="0"/>
                      <w:marRight w:val="0"/>
                      <w:marTop w:val="0"/>
                      <w:marBottom w:val="0"/>
                      <w:divBdr>
                        <w:top w:val="none" w:sz="0" w:space="0" w:color="auto"/>
                        <w:left w:val="none" w:sz="0" w:space="0" w:color="auto"/>
                        <w:bottom w:val="none" w:sz="0" w:space="0" w:color="auto"/>
                        <w:right w:val="none" w:sz="0" w:space="0" w:color="auto"/>
                      </w:divBdr>
                    </w:div>
                  </w:divsChild>
                </w:div>
                <w:div w:id="401221134">
                  <w:marLeft w:val="0"/>
                  <w:marRight w:val="0"/>
                  <w:marTop w:val="0"/>
                  <w:marBottom w:val="0"/>
                  <w:divBdr>
                    <w:top w:val="none" w:sz="0" w:space="0" w:color="auto"/>
                    <w:left w:val="none" w:sz="0" w:space="0" w:color="auto"/>
                    <w:bottom w:val="none" w:sz="0" w:space="0" w:color="auto"/>
                    <w:right w:val="none" w:sz="0" w:space="0" w:color="auto"/>
                  </w:divBdr>
                  <w:divsChild>
                    <w:div w:id="497308141">
                      <w:marLeft w:val="0"/>
                      <w:marRight w:val="0"/>
                      <w:marTop w:val="0"/>
                      <w:marBottom w:val="0"/>
                      <w:divBdr>
                        <w:top w:val="none" w:sz="0" w:space="0" w:color="auto"/>
                        <w:left w:val="none" w:sz="0" w:space="0" w:color="auto"/>
                        <w:bottom w:val="none" w:sz="0" w:space="0" w:color="auto"/>
                        <w:right w:val="none" w:sz="0" w:space="0" w:color="auto"/>
                      </w:divBdr>
                    </w:div>
                  </w:divsChild>
                </w:div>
                <w:div w:id="419568007">
                  <w:marLeft w:val="0"/>
                  <w:marRight w:val="0"/>
                  <w:marTop w:val="0"/>
                  <w:marBottom w:val="0"/>
                  <w:divBdr>
                    <w:top w:val="none" w:sz="0" w:space="0" w:color="auto"/>
                    <w:left w:val="none" w:sz="0" w:space="0" w:color="auto"/>
                    <w:bottom w:val="none" w:sz="0" w:space="0" w:color="auto"/>
                    <w:right w:val="none" w:sz="0" w:space="0" w:color="auto"/>
                  </w:divBdr>
                  <w:divsChild>
                    <w:div w:id="518934207">
                      <w:marLeft w:val="0"/>
                      <w:marRight w:val="0"/>
                      <w:marTop w:val="0"/>
                      <w:marBottom w:val="0"/>
                      <w:divBdr>
                        <w:top w:val="none" w:sz="0" w:space="0" w:color="auto"/>
                        <w:left w:val="none" w:sz="0" w:space="0" w:color="auto"/>
                        <w:bottom w:val="none" w:sz="0" w:space="0" w:color="auto"/>
                        <w:right w:val="none" w:sz="0" w:space="0" w:color="auto"/>
                      </w:divBdr>
                    </w:div>
                  </w:divsChild>
                </w:div>
                <w:div w:id="421878677">
                  <w:marLeft w:val="0"/>
                  <w:marRight w:val="0"/>
                  <w:marTop w:val="0"/>
                  <w:marBottom w:val="0"/>
                  <w:divBdr>
                    <w:top w:val="none" w:sz="0" w:space="0" w:color="auto"/>
                    <w:left w:val="none" w:sz="0" w:space="0" w:color="auto"/>
                    <w:bottom w:val="none" w:sz="0" w:space="0" w:color="auto"/>
                    <w:right w:val="none" w:sz="0" w:space="0" w:color="auto"/>
                  </w:divBdr>
                  <w:divsChild>
                    <w:div w:id="749620960">
                      <w:marLeft w:val="0"/>
                      <w:marRight w:val="0"/>
                      <w:marTop w:val="0"/>
                      <w:marBottom w:val="0"/>
                      <w:divBdr>
                        <w:top w:val="none" w:sz="0" w:space="0" w:color="auto"/>
                        <w:left w:val="none" w:sz="0" w:space="0" w:color="auto"/>
                        <w:bottom w:val="none" w:sz="0" w:space="0" w:color="auto"/>
                        <w:right w:val="none" w:sz="0" w:space="0" w:color="auto"/>
                      </w:divBdr>
                    </w:div>
                  </w:divsChild>
                </w:div>
                <w:div w:id="472329437">
                  <w:marLeft w:val="0"/>
                  <w:marRight w:val="0"/>
                  <w:marTop w:val="0"/>
                  <w:marBottom w:val="0"/>
                  <w:divBdr>
                    <w:top w:val="none" w:sz="0" w:space="0" w:color="auto"/>
                    <w:left w:val="none" w:sz="0" w:space="0" w:color="auto"/>
                    <w:bottom w:val="none" w:sz="0" w:space="0" w:color="auto"/>
                    <w:right w:val="none" w:sz="0" w:space="0" w:color="auto"/>
                  </w:divBdr>
                  <w:divsChild>
                    <w:div w:id="117309631">
                      <w:marLeft w:val="0"/>
                      <w:marRight w:val="0"/>
                      <w:marTop w:val="0"/>
                      <w:marBottom w:val="0"/>
                      <w:divBdr>
                        <w:top w:val="none" w:sz="0" w:space="0" w:color="auto"/>
                        <w:left w:val="none" w:sz="0" w:space="0" w:color="auto"/>
                        <w:bottom w:val="none" w:sz="0" w:space="0" w:color="auto"/>
                        <w:right w:val="none" w:sz="0" w:space="0" w:color="auto"/>
                      </w:divBdr>
                    </w:div>
                    <w:div w:id="1190292111">
                      <w:marLeft w:val="0"/>
                      <w:marRight w:val="0"/>
                      <w:marTop w:val="0"/>
                      <w:marBottom w:val="0"/>
                      <w:divBdr>
                        <w:top w:val="none" w:sz="0" w:space="0" w:color="auto"/>
                        <w:left w:val="none" w:sz="0" w:space="0" w:color="auto"/>
                        <w:bottom w:val="none" w:sz="0" w:space="0" w:color="auto"/>
                        <w:right w:val="none" w:sz="0" w:space="0" w:color="auto"/>
                      </w:divBdr>
                    </w:div>
                  </w:divsChild>
                </w:div>
                <w:div w:id="500893961">
                  <w:marLeft w:val="0"/>
                  <w:marRight w:val="0"/>
                  <w:marTop w:val="0"/>
                  <w:marBottom w:val="0"/>
                  <w:divBdr>
                    <w:top w:val="none" w:sz="0" w:space="0" w:color="auto"/>
                    <w:left w:val="none" w:sz="0" w:space="0" w:color="auto"/>
                    <w:bottom w:val="none" w:sz="0" w:space="0" w:color="auto"/>
                    <w:right w:val="none" w:sz="0" w:space="0" w:color="auto"/>
                  </w:divBdr>
                  <w:divsChild>
                    <w:div w:id="1089082402">
                      <w:marLeft w:val="0"/>
                      <w:marRight w:val="0"/>
                      <w:marTop w:val="0"/>
                      <w:marBottom w:val="0"/>
                      <w:divBdr>
                        <w:top w:val="none" w:sz="0" w:space="0" w:color="auto"/>
                        <w:left w:val="none" w:sz="0" w:space="0" w:color="auto"/>
                        <w:bottom w:val="none" w:sz="0" w:space="0" w:color="auto"/>
                        <w:right w:val="none" w:sz="0" w:space="0" w:color="auto"/>
                      </w:divBdr>
                    </w:div>
                    <w:div w:id="1939409668">
                      <w:marLeft w:val="0"/>
                      <w:marRight w:val="0"/>
                      <w:marTop w:val="0"/>
                      <w:marBottom w:val="0"/>
                      <w:divBdr>
                        <w:top w:val="none" w:sz="0" w:space="0" w:color="auto"/>
                        <w:left w:val="none" w:sz="0" w:space="0" w:color="auto"/>
                        <w:bottom w:val="none" w:sz="0" w:space="0" w:color="auto"/>
                        <w:right w:val="none" w:sz="0" w:space="0" w:color="auto"/>
                      </w:divBdr>
                    </w:div>
                  </w:divsChild>
                </w:div>
                <w:div w:id="518203109">
                  <w:marLeft w:val="0"/>
                  <w:marRight w:val="0"/>
                  <w:marTop w:val="0"/>
                  <w:marBottom w:val="0"/>
                  <w:divBdr>
                    <w:top w:val="none" w:sz="0" w:space="0" w:color="auto"/>
                    <w:left w:val="none" w:sz="0" w:space="0" w:color="auto"/>
                    <w:bottom w:val="none" w:sz="0" w:space="0" w:color="auto"/>
                    <w:right w:val="none" w:sz="0" w:space="0" w:color="auto"/>
                  </w:divBdr>
                  <w:divsChild>
                    <w:div w:id="996030902">
                      <w:marLeft w:val="0"/>
                      <w:marRight w:val="0"/>
                      <w:marTop w:val="0"/>
                      <w:marBottom w:val="0"/>
                      <w:divBdr>
                        <w:top w:val="none" w:sz="0" w:space="0" w:color="auto"/>
                        <w:left w:val="none" w:sz="0" w:space="0" w:color="auto"/>
                        <w:bottom w:val="none" w:sz="0" w:space="0" w:color="auto"/>
                        <w:right w:val="none" w:sz="0" w:space="0" w:color="auto"/>
                      </w:divBdr>
                    </w:div>
                  </w:divsChild>
                </w:div>
                <w:div w:id="555043860">
                  <w:marLeft w:val="0"/>
                  <w:marRight w:val="0"/>
                  <w:marTop w:val="0"/>
                  <w:marBottom w:val="0"/>
                  <w:divBdr>
                    <w:top w:val="none" w:sz="0" w:space="0" w:color="auto"/>
                    <w:left w:val="none" w:sz="0" w:space="0" w:color="auto"/>
                    <w:bottom w:val="none" w:sz="0" w:space="0" w:color="auto"/>
                    <w:right w:val="none" w:sz="0" w:space="0" w:color="auto"/>
                  </w:divBdr>
                  <w:divsChild>
                    <w:div w:id="530606011">
                      <w:marLeft w:val="0"/>
                      <w:marRight w:val="0"/>
                      <w:marTop w:val="0"/>
                      <w:marBottom w:val="0"/>
                      <w:divBdr>
                        <w:top w:val="none" w:sz="0" w:space="0" w:color="auto"/>
                        <w:left w:val="none" w:sz="0" w:space="0" w:color="auto"/>
                        <w:bottom w:val="none" w:sz="0" w:space="0" w:color="auto"/>
                        <w:right w:val="none" w:sz="0" w:space="0" w:color="auto"/>
                      </w:divBdr>
                    </w:div>
                  </w:divsChild>
                </w:div>
                <w:div w:id="555824566">
                  <w:marLeft w:val="0"/>
                  <w:marRight w:val="0"/>
                  <w:marTop w:val="0"/>
                  <w:marBottom w:val="0"/>
                  <w:divBdr>
                    <w:top w:val="none" w:sz="0" w:space="0" w:color="auto"/>
                    <w:left w:val="none" w:sz="0" w:space="0" w:color="auto"/>
                    <w:bottom w:val="none" w:sz="0" w:space="0" w:color="auto"/>
                    <w:right w:val="none" w:sz="0" w:space="0" w:color="auto"/>
                  </w:divBdr>
                  <w:divsChild>
                    <w:div w:id="1805193541">
                      <w:marLeft w:val="0"/>
                      <w:marRight w:val="0"/>
                      <w:marTop w:val="0"/>
                      <w:marBottom w:val="0"/>
                      <w:divBdr>
                        <w:top w:val="none" w:sz="0" w:space="0" w:color="auto"/>
                        <w:left w:val="none" w:sz="0" w:space="0" w:color="auto"/>
                        <w:bottom w:val="none" w:sz="0" w:space="0" w:color="auto"/>
                        <w:right w:val="none" w:sz="0" w:space="0" w:color="auto"/>
                      </w:divBdr>
                    </w:div>
                  </w:divsChild>
                </w:div>
                <w:div w:id="627975845">
                  <w:marLeft w:val="0"/>
                  <w:marRight w:val="0"/>
                  <w:marTop w:val="0"/>
                  <w:marBottom w:val="0"/>
                  <w:divBdr>
                    <w:top w:val="none" w:sz="0" w:space="0" w:color="auto"/>
                    <w:left w:val="none" w:sz="0" w:space="0" w:color="auto"/>
                    <w:bottom w:val="none" w:sz="0" w:space="0" w:color="auto"/>
                    <w:right w:val="none" w:sz="0" w:space="0" w:color="auto"/>
                  </w:divBdr>
                  <w:divsChild>
                    <w:div w:id="1271351806">
                      <w:marLeft w:val="0"/>
                      <w:marRight w:val="0"/>
                      <w:marTop w:val="0"/>
                      <w:marBottom w:val="0"/>
                      <w:divBdr>
                        <w:top w:val="none" w:sz="0" w:space="0" w:color="auto"/>
                        <w:left w:val="none" w:sz="0" w:space="0" w:color="auto"/>
                        <w:bottom w:val="none" w:sz="0" w:space="0" w:color="auto"/>
                        <w:right w:val="none" w:sz="0" w:space="0" w:color="auto"/>
                      </w:divBdr>
                    </w:div>
                  </w:divsChild>
                </w:div>
                <w:div w:id="676467926">
                  <w:marLeft w:val="0"/>
                  <w:marRight w:val="0"/>
                  <w:marTop w:val="0"/>
                  <w:marBottom w:val="0"/>
                  <w:divBdr>
                    <w:top w:val="none" w:sz="0" w:space="0" w:color="auto"/>
                    <w:left w:val="none" w:sz="0" w:space="0" w:color="auto"/>
                    <w:bottom w:val="none" w:sz="0" w:space="0" w:color="auto"/>
                    <w:right w:val="none" w:sz="0" w:space="0" w:color="auto"/>
                  </w:divBdr>
                  <w:divsChild>
                    <w:div w:id="25063529">
                      <w:marLeft w:val="0"/>
                      <w:marRight w:val="0"/>
                      <w:marTop w:val="0"/>
                      <w:marBottom w:val="0"/>
                      <w:divBdr>
                        <w:top w:val="none" w:sz="0" w:space="0" w:color="auto"/>
                        <w:left w:val="none" w:sz="0" w:space="0" w:color="auto"/>
                        <w:bottom w:val="none" w:sz="0" w:space="0" w:color="auto"/>
                        <w:right w:val="none" w:sz="0" w:space="0" w:color="auto"/>
                      </w:divBdr>
                    </w:div>
                  </w:divsChild>
                </w:div>
                <w:div w:id="683747003">
                  <w:marLeft w:val="0"/>
                  <w:marRight w:val="0"/>
                  <w:marTop w:val="0"/>
                  <w:marBottom w:val="0"/>
                  <w:divBdr>
                    <w:top w:val="none" w:sz="0" w:space="0" w:color="auto"/>
                    <w:left w:val="none" w:sz="0" w:space="0" w:color="auto"/>
                    <w:bottom w:val="none" w:sz="0" w:space="0" w:color="auto"/>
                    <w:right w:val="none" w:sz="0" w:space="0" w:color="auto"/>
                  </w:divBdr>
                  <w:divsChild>
                    <w:div w:id="1560939338">
                      <w:marLeft w:val="0"/>
                      <w:marRight w:val="0"/>
                      <w:marTop w:val="0"/>
                      <w:marBottom w:val="0"/>
                      <w:divBdr>
                        <w:top w:val="none" w:sz="0" w:space="0" w:color="auto"/>
                        <w:left w:val="none" w:sz="0" w:space="0" w:color="auto"/>
                        <w:bottom w:val="none" w:sz="0" w:space="0" w:color="auto"/>
                        <w:right w:val="none" w:sz="0" w:space="0" w:color="auto"/>
                      </w:divBdr>
                    </w:div>
                  </w:divsChild>
                </w:div>
                <w:div w:id="736587289">
                  <w:marLeft w:val="0"/>
                  <w:marRight w:val="0"/>
                  <w:marTop w:val="0"/>
                  <w:marBottom w:val="0"/>
                  <w:divBdr>
                    <w:top w:val="none" w:sz="0" w:space="0" w:color="auto"/>
                    <w:left w:val="none" w:sz="0" w:space="0" w:color="auto"/>
                    <w:bottom w:val="none" w:sz="0" w:space="0" w:color="auto"/>
                    <w:right w:val="none" w:sz="0" w:space="0" w:color="auto"/>
                  </w:divBdr>
                  <w:divsChild>
                    <w:div w:id="540559967">
                      <w:marLeft w:val="0"/>
                      <w:marRight w:val="0"/>
                      <w:marTop w:val="0"/>
                      <w:marBottom w:val="0"/>
                      <w:divBdr>
                        <w:top w:val="none" w:sz="0" w:space="0" w:color="auto"/>
                        <w:left w:val="none" w:sz="0" w:space="0" w:color="auto"/>
                        <w:bottom w:val="none" w:sz="0" w:space="0" w:color="auto"/>
                        <w:right w:val="none" w:sz="0" w:space="0" w:color="auto"/>
                      </w:divBdr>
                    </w:div>
                  </w:divsChild>
                </w:div>
                <w:div w:id="785193446">
                  <w:marLeft w:val="0"/>
                  <w:marRight w:val="0"/>
                  <w:marTop w:val="0"/>
                  <w:marBottom w:val="0"/>
                  <w:divBdr>
                    <w:top w:val="none" w:sz="0" w:space="0" w:color="auto"/>
                    <w:left w:val="none" w:sz="0" w:space="0" w:color="auto"/>
                    <w:bottom w:val="none" w:sz="0" w:space="0" w:color="auto"/>
                    <w:right w:val="none" w:sz="0" w:space="0" w:color="auto"/>
                  </w:divBdr>
                  <w:divsChild>
                    <w:div w:id="2051833416">
                      <w:marLeft w:val="0"/>
                      <w:marRight w:val="0"/>
                      <w:marTop w:val="0"/>
                      <w:marBottom w:val="0"/>
                      <w:divBdr>
                        <w:top w:val="none" w:sz="0" w:space="0" w:color="auto"/>
                        <w:left w:val="none" w:sz="0" w:space="0" w:color="auto"/>
                        <w:bottom w:val="none" w:sz="0" w:space="0" w:color="auto"/>
                        <w:right w:val="none" w:sz="0" w:space="0" w:color="auto"/>
                      </w:divBdr>
                    </w:div>
                  </w:divsChild>
                </w:div>
                <w:div w:id="816066473">
                  <w:marLeft w:val="0"/>
                  <w:marRight w:val="0"/>
                  <w:marTop w:val="0"/>
                  <w:marBottom w:val="0"/>
                  <w:divBdr>
                    <w:top w:val="none" w:sz="0" w:space="0" w:color="auto"/>
                    <w:left w:val="none" w:sz="0" w:space="0" w:color="auto"/>
                    <w:bottom w:val="none" w:sz="0" w:space="0" w:color="auto"/>
                    <w:right w:val="none" w:sz="0" w:space="0" w:color="auto"/>
                  </w:divBdr>
                  <w:divsChild>
                    <w:div w:id="664434511">
                      <w:marLeft w:val="0"/>
                      <w:marRight w:val="0"/>
                      <w:marTop w:val="0"/>
                      <w:marBottom w:val="0"/>
                      <w:divBdr>
                        <w:top w:val="none" w:sz="0" w:space="0" w:color="auto"/>
                        <w:left w:val="none" w:sz="0" w:space="0" w:color="auto"/>
                        <w:bottom w:val="none" w:sz="0" w:space="0" w:color="auto"/>
                        <w:right w:val="none" w:sz="0" w:space="0" w:color="auto"/>
                      </w:divBdr>
                    </w:div>
                  </w:divsChild>
                </w:div>
                <w:div w:id="858742470">
                  <w:marLeft w:val="0"/>
                  <w:marRight w:val="0"/>
                  <w:marTop w:val="0"/>
                  <w:marBottom w:val="0"/>
                  <w:divBdr>
                    <w:top w:val="none" w:sz="0" w:space="0" w:color="auto"/>
                    <w:left w:val="none" w:sz="0" w:space="0" w:color="auto"/>
                    <w:bottom w:val="none" w:sz="0" w:space="0" w:color="auto"/>
                    <w:right w:val="none" w:sz="0" w:space="0" w:color="auto"/>
                  </w:divBdr>
                  <w:divsChild>
                    <w:div w:id="1411386237">
                      <w:marLeft w:val="0"/>
                      <w:marRight w:val="0"/>
                      <w:marTop w:val="0"/>
                      <w:marBottom w:val="0"/>
                      <w:divBdr>
                        <w:top w:val="none" w:sz="0" w:space="0" w:color="auto"/>
                        <w:left w:val="none" w:sz="0" w:space="0" w:color="auto"/>
                        <w:bottom w:val="none" w:sz="0" w:space="0" w:color="auto"/>
                        <w:right w:val="none" w:sz="0" w:space="0" w:color="auto"/>
                      </w:divBdr>
                    </w:div>
                  </w:divsChild>
                </w:div>
                <w:div w:id="892346194">
                  <w:marLeft w:val="0"/>
                  <w:marRight w:val="0"/>
                  <w:marTop w:val="0"/>
                  <w:marBottom w:val="0"/>
                  <w:divBdr>
                    <w:top w:val="none" w:sz="0" w:space="0" w:color="auto"/>
                    <w:left w:val="none" w:sz="0" w:space="0" w:color="auto"/>
                    <w:bottom w:val="none" w:sz="0" w:space="0" w:color="auto"/>
                    <w:right w:val="none" w:sz="0" w:space="0" w:color="auto"/>
                  </w:divBdr>
                  <w:divsChild>
                    <w:div w:id="394160737">
                      <w:marLeft w:val="0"/>
                      <w:marRight w:val="0"/>
                      <w:marTop w:val="0"/>
                      <w:marBottom w:val="0"/>
                      <w:divBdr>
                        <w:top w:val="none" w:sz="0" w:space="0" w:color="auto"/>
                        <w:left w:val="none" w:sz="0" w:space="0" w:color="auto"/>
                        <w:bottom w:val="none" w:sz="0" w:space="0" w:color="auto"/>
                        <w:right w:val="none" w:sz="0" w:space="0" w:color="auto"/>
                      </w:divBdr>
                    </w:div>
                  </w:divsChild>
                </w:div>
                <w:div w:id="957835935">
                  <w:marLeft w:val="0"/>
                  <w:marRight w:val="0"/>
                  <w:marTop w:val="0"/>
                  <w:marBottom w:val="0"/>
                  <w:divBdr>
                    <w:top w:val="none" w:sz="0" w:space="0" w:color="auto"/>
                    <w:left w:val="none" w:sz="0" w:space="0" w:color="auto"/>
                    <w:bottom w:val="none" w:sz="0" w:space="0" w:color="auto"/>
                    <w:right w:val="none" w:sz="0" w:space="0" w:color="auto"/>
                  </w:divBdr>
                  <w:divsChild>
                    <w:div w:id="868834088">
                      <w:marLeft w:val="0"/>
                      <w:marRight w:val="0"/>
                      <w:marTop w:val="0"/>
                      <w:marBottom w:val="0"/>
                      <w:divBdr>
                        <w:top w:val="none" w:sz="0" w:space="0" w:color="auto"/>
                        <w:left w:val="none" w:sz="0" w:space="0" w:color="auto"/>
                        <w:bottom w:val="none" w:sz="0" w:space="0" w:color="auto"/>
                        <w:right w:val="none" w:sz="0" w:space="0" w:color="auto"/>
                      </w:divBdr>
                    </w:div>
                  </w:divsChild>
                </w:div>
                <w:div w:id="988242841">
                  <w:marLeft w:val="0"/>
                  <w:marRight w:val="0"/>
                  <w:marTop w:val="0"/>
                  <w:marBottom w:val="0"/>
                  <w:divBdr>
                    <w:top w:val="none" w:sz="0" w:space="0" w:color="auto"/>
                    <w:left w:val="none" w:sz="0" w:space="0" w:color="auto"/>
                    <w:bottom w:val="none" w:sz="0" w:space="0" w:color="auto"/>
                    <w:right w:val="none" w:sz="0" w:space="0" w:color="auto"/>
                  </w:divBdr>
                  <w:divsChild>
                    <w:div w:id="639190820">
                      <w:marLeft w:val="0"/>
                      <w:marRight w:val="0"/>
                      <w:marTop w:val="0"/>
                      <w:marBottom w:val="0"/>
                      <w:divBdr>
                        <w:top w:val="none" w:sz="0" w:space="0" w:color="auto"/>
                        <w:left w:val="none" w:sz="0" w:space="0" w:color="auto"/>
                        <w:bottom w:val="none" w:sz="0" w:space="0" w:color="auto"/>
                        <w:right w:val="none" w:sz="0" w:space="0" w:color="auto"/>
                      </w:divBdr>
                    </w:div>
                  </w:divsChild>
                </w:div>
                <w:div w:id="1002851869">
                  <w:marLeft w:val="0"/>
                  <w:marRight w:val="0"/>
                  <w:marTop w:val="0"/>
                  <w:marBottom w:val="0"/>
                  <w:divBdr>
                    <w:top w:val="none" w:sz="0" w:space="0" w:color="auto"/>
                    <w:left w:val="none" w:sz="0" w:space="0" w:color="auto"/>
                    <w:bottom w:val="none" w:sz="0" w:space="0" w:color="auto"/>
                    <w:right w:val="none" w:sz="0" w:space="0" w:color="auto"/>
                  </w:divBdr>
                  <w:divsChild>
                    <w:div w:id="1709180763">
                      <w:marLeft w:val="0"/>
                      <w:marRight w:val="0"/>
                      <w:marTop w:val="0"/>
                      <w:marBottom w:val="0"/>
                      <w:divBdr>
                        <w:top w:val="none" w:sz="0" w:space="0" w:color="auto"/>
                        <w:left w:val="none" w:sz="0" w:space="0" w:color="auto"/>
                        <w:bottom w:val="none" w:sz="0" w:space="0" w:color="auto"/>
                        <w:right w:val="none" w:sz="0" w:space="0" w:color="auto"/>
                      </w:divBdr>
                    </w:div>
                  </w:divsChild>
                </w:div>
                <w:div w:id="1009137960">
                  <w:marLeft w:val="0"/>
                  <w:marRight w:val="0"/>
                  <w:marTop w:val="0"/>
                  <w:marBottom w:val="0"/>
                  <w:divBdr>
                    <w:top w:val="none" w:sz="0" w:space="0" w:color="auto"/>
                    <w:left w:val="none" w:sz="0" w:space="0" w:color="auto"/>
                    <w:bottom w:val="none" w:sz="0" w:space="0" w:color="auto"/>
                    <w:right w:val="none" w:sz="0" w:space="0" w:color="auto"/>
                  </w:divBdr>
                  <w:divsChild>
                    <w:div w:id="140272408">
                      <w:marLeft w:val="0"/>
                      <w:marRight w:val="0"/>
                      <w:marTop w:val="0"/>
                      <w:marBottom w:val="0"/>
                      <w:divBdr>
                        <w:top w:val="none" w:sz="0" w:space="0" w:color="auto"/>
                        <w:left w:val="none" w:sz="0" w:space="0" w:color="auto"/>
                        <w:bottom w:val="none" w:sz="0" w:space="0" w:color="auto"/>
                        <w:right w:val="none" w:sz="0" w:space="0" w:color="auto"/>
                      </w:divBdr>
                    </w:div>
                  </w:divsChild>
                </w:div>
                <w:div w:id="1045711852">
                  <w:marLeft w:val="0"/>
                  <w:marRight w:val="0"/>
                  <w:marTop w:val="0"/>
                  <w:marBottom w:val="0"/>
                  <w:divBdr>
                    <w:top w:val="none" w:sz="0" w:space="0" w:color="auto"/>
                    <w:left w:val="none" w:sz="0" w:space="0" w:color="auto"/>
                    <w:bottom w:val="none" w:sz="0" w:space="0" w:color="auto"/>
                    <w:right w:val="none" w:sz="0" w:space="0" w:color="auto"/>
                  </w:divBdr>
                  <w:divsChild>
                    <w:div w:id="1076320177">
                      <w:marLeft w:val="0"/>
                      <w:marRight w:val="0"/>
                      <w:marTop w:val="0"/>
                      <w:marBottom w:val="0"/>
                      <w:divBdr>
                        <w:top w:val="none" w:sz="0" w:space="0" w:color="auto"/>
                        <w:left w:val="none" w:sz="0" w:space="0" w:color="auto"/>
                        <w:bottom w:val="none" w:sz="0" w:space="0" w:color="auto"/>
                        <w:right w:val="none" w:sz="0" w:space="0" w:color="auto"/>
                      </w:divBdr>
                    </w:div>
                  </w:divsChild>
                </w:div>
                <w:div w:id="1070889911">
                  <w:marLeft w:val="0"/>
                  <w:marRight w:val="0"/>
                  <w:marTop w:val="0"/>
                  <w:marBottom w:val="0"/>
                  <w:divBdr>
                    <w:top w:val="none" w:sz="0" w:space="0" w:color="auto"/>
                    <w:left w:val="none" w:sz="0" w:space="0" w:color="auto"/>
                    <w:bottom w:val="none" w:sz="0" w:space="0" w:color="auto"/>
                    <w:right w:val="none" w:sz="0" w:space="0" w:color="auto"/>
                  </w:divBdr>
                  <w:divsChild>
                    <w:div w:id="1000230939">
                      <w:marLeft w:val="0"/>
                      <w:marRight w:val="0"/>
                      <w:marTop w:val="0"/>
                      <w:marBottom w:val="0"/>
                      <w:divBdr>
                        <w:top w:val="none" w:sz="0" w:space="0" w:color="auto"/>
                        <w:left w:val="none" w:sz="0" w:space="0" w:color="auto"/>
                        <w:bottom w:val="none" w:sz="0" w:space="0" w:color="auto"/>
                        <w:right w:val="none" w:sz="0" w:space="0" w:color="auto"/>
                      </w:divBdr>
                    </w:div>
                  </w:divsChild>
                </w:div>
                <w:div w:id="1073233859">
                  <w:marLeft w:val="0"/>
                  <w:marRight w:val="0"/>
                  <w:marTop w:val="0"/>
                  <w:marBottom w:val="0"/>
                  <w:divBdr>
                    <w:top w:val="none" w:sz="0" w:space="0" w:color="auto"/>
                    <w:left w:val="none" w:sz="0" w:space="0" w:color="auto"/>
                    <w:bottom w:val="none" w:sz="0" w:space="0" w:color="auto"/>
                    <w:right w:val="none" w:sz="0" w:space="0" w:color="auto"/>
                  </w:divBdr>
                  <w:divsChild>
                    <w:div w:id="368650011">
                      <w:marLeft w:val="0"/>
                      <w:marRight w:val="0"/>
                      <w:marTop w:val="0"/>
                      <w:marBottom w:val="0"/>
                      <w:divBdr>
                        <w:top w:val="none" w:sz="0" w:space="0" w:color="auto"/>
                        <w:left w:val="none" w:sz="0" w:space="0" w:color="auto"/>
                        <w:bottom w:val="none" w:sz="0" w:space="0" w:color="auto"/>
                        <w:right w:val="none" w:sz="0" w:space="0" w:color="auto"/>
                      </w:divBdr>
                    </w:div>
                  </w:divsChild>
                </w:div>
                <w:div w:id="1076514993">
                  <w:marLeft w:val="0"/>
                  <w:marRight w:val="0"/>
                  <w:marTop w:val="0"/>
                  <w:marBottom w:val="0"/>
                  <w:divBdr>
                    <w:top w:val="none" w:sz="0" w:space="0" w:color="auto"/>
                    <w:left w:val="none" w:sz="0" w:space="0" w:color="auto"/>
                    <w:bottom w:val="none" w:sz="0" w:space="0" w:color="auto"/>
                    <w:right w:val="none" w:sz="0" w:space="0" w:color="auto"/>
                  </w:divBdr>
                  <w:divsChild>
                    <w:div w:id="792402587">
                      <w:marLeft w:val="0"/>
                      <w:marRight w:val="0"/>
                      <w:marTop w:val="0"/>
                      <w:marBottom w:val="0"/>
                      <w:divBdr>
                        <w:top w:val="none" w:sz="0" w:space="0" w:color="auto"/>
                        <w:left w:val="none" w:sz="0" w:space="0" w:color="auto"/>
                        <w:bottom w:val="none" w:sz="0" w:space="0" w:color="auto"/>
                        <w:right w:val="none" w:sz="0" w:space="0" w:color="auto"/>
                      </w:divBdr>
                    </w:div>
                  </w:divsChild>
                </w:div>
                <w:div w:id="1082727207">
                  <w:marLeft w:val="0"/>
                  <w:marRight w:val="0"/>
                  <w:marTop w:val="0"/>
                  <w:marBottom w:val="0"/>
                  <w:divBdr>
                    <w:top w:val="none" w:sz="0" w:space="0" w:color="auto"/>
                    <w:left w:val="none" w:sz="0" w:space="0" w:color="auto"/>
                    <w:bottom w:val="none" w:sz="0" w:space="0" w:color="auto"/>
                    <w:right w:val="none" w:sz="0" w:space="0" w:color="auto"/>
                  </w:divBdr>
                  <w:divsChild>
                    <w:div w:id="1268273803">
                      <w:marLeft w:val="0"/>
                      <w:marRight w:val="0"/>
                      <w:marTop w:val="0"/>
                      <w:marBottom w:val="0"/>
                      <w:divBdr>
                        <w:top w:val="none" w:sz="0" w:space="0" w:color="auto"/>
                        <w:left w:val="none" w:sz="0" w:space="0" w:color="auto"/>
                        <w:bottom w:val="none" w:sz="0" w:space="0" w:color="auto"/>
                        <w:right w:val="none" w:sz="0" w:space="0" w:color="auto"/>
                      </w:divBdr>
                    </w:div>
                  </w:divsChild>
                </w:div>
                <w:div w:id="1125736391">
                  <w:marLeft w:val="0"/>
                  <w:marRight w:val="0"/>
                  <w:marTop w:val="0"/>
                  <w:marBottom w:val="0"/>
                  <w:divBdr>
                    <w:top w:val="none" w:sz="0" w:space="0" w:color="auto"/>
                    <w:left w:val="none" w:sz="0" w:space="0" w:color="auto"/>
                    <w:bottom w:val="none" w:sz="0" w:space="0" w:color="auto"/>
                    <w:right w:val="none" w:sz="0" w:space="0" w:color="auto"/>
                  </w:divBdr>
                  <w:divsChild>
                    <w:div w:id="135994208">
                      <w:marLeft w:val="0"/>
                      <w:marRight w:val="0"/>
                      <w:marTop w:val="0"/>
                      <w:marBottom w:val="0"/>
                      <w:divBdr>
                        <w:top w:val="none" w:sz="0" w:space="0" w:color="auto"/>
                        <w:left w:val="none" w:sz="0" w:space="0" w:color="auto"/>
                        <w:bottom w:val="none" w:sz="0" w:space="0" w:color="auto"/>
                        <w:right w:val="none" w:sz="0" w:space="0" w:color="auto"/>
                      </w:divBdr>
                    </w:div>
                  </w:divsChild>
                </w:div>
                <w:div w:id="1199705269">
                  <w:marLeft w:val="0"/>
                  <w:marRight w:val="0"/>
                  <w:marTop w:val="0"/>
                  <w:marBottom w:val="0"/>
                  <w:divBdr>
                    <w:top w:val="none" w:sz="0" w:space="0" w:color="auto"/>
                    <w:left w:val="none" w:sz="0" w:space="0" w:color="auto"/>
                    <w:bottom w:val="none" w:sz="0" w:space="0" w:color="auto"/>
                    <w:right w:val="none" w:sz="0" w:space="0" w:color="auto"/>
                  </w:divBdr>
                  <w:divsChild>
                    <w:div w:id="339822058">
                      <w:marLeft w:val="0"/>
                      <w:marRight w:val="0"/>
                      <w:marTop w:val="0"/>
                      <w:marBottom w:val="0"/>
                      <w:divBdr>
                        <w:top w:val="none" w:sz="0" w:space="0" w:color="auto"/>
                        <w:left w:val="none" w:sz="0" w:space="0" w:color="auto"/>
                        <w:bottom w:val="none" w:sz="0" w:space="0" w:color="auto"/>
                        <w:right w:val="none" w:sz="0" w:space="0" w:color="auto"/>
                      </w:divBdr>
                    </w:div>
                  </w:divsChild>
                </w:div>
                <w:div w:id="1216238861">
                  <w:marLeft w:val="0"/>
                  <w:marRight w:val="0"/>
                  <w:marTop w:val="0"/>
                  <w:marBottom w:val="0"/>
                  <w:divBdr>
                    <w:top w:val="none" w:sz="0" w:space="0" w:color="auto"/>
                    <w:left w:val="none" w:sz="0" w:space="0" w:color="auto"/>
                    <w:bottom w:val="none" w:sz="0" w:space="0" w:color="auto"/>
                    <w:right w:val="none" w:sz="0" w:space="0" w:color="auto"/>
                  </w:divBdr>
                  <w:divsChild>
                    <w:div w:id="1202405302">
                      <w:marLeft w:val="0"/>
                      <w:marRight w:val="0"/>
                      <w:marTop w:val="0"/>
                      <w:marBottom w:val="0"/>
                      <w:divBdr>
                        <w:top w:val="none" w:sz="0" w:space="0" w:color="auto"/>
                        <w:left w:val="none" w:sz="0" w:space="0" w:color="auto"/>
                        <w:bottom w:val="none" w:sz="0" w:space="0" w:color="auto"/>
                        <w:right w:val="none" w:sz="0" w:space="0" w:color="auto"/>
                      </w:divBdr>
                    </w:div>
                  </w:divsChild>
                </w:div>
                <w:div w:id="1221937584">
                  <w:marLeft w:val="0"/>
                  <w:marRight w:val="0"/>
                  <w:marTop w:val="0"/>
                  <w:marBottom w:val="0"/>
                  <w:divBdr>
                    <w:top w:val="none" w:sz="0" w:space="0" w:color="auto"/>
                    <w:left w:val="none" w:sz="0" w:space="0" w:color="auto"/>
                    <w:bottom w:val="none" w:sz="0" w:space="0" w:color="auto"/>
                    <w:right w:val="none" w:sz="0" w:space="0" w:color="auto"/>
                  </w:divBdr>
                  <w:divsChild>
                    <w:div w:id="663122707">
                      <w:marLeft w:val="0"/>
                      <w:marRight w:val="0"/>
                      <w:marTop w:val="0"/>
                      <w:marBottom w:val="0"/>
                      <w:divBdr>
                        <w:top w:val="none" w:sz="0" w:space="0" w:color="auto"/>
                        <w:left w:val="none" w:sz="0" w:space="0" w:color="auto"/>
                        <w:bottom w:val="none" w:sz="0" w:space="0" w:color="auto"/>
                        <w:right w:val="none" w:sz="0" w:space="0" w:color="auto"/>
                      </w:divBdr>
                    </w:div>
                  </w:divsChild>
                </w:div>
                <w:div w:id="1229266876">
                  <w:marLeft w:val="0"/>
                  <w:marRight w:val="0"/>
                  <w:marTop w:val="0"/>
                  <w:marBottom w:val="0"/>
                  <w:divBdr>
                    <w:top w:val="none" w:sz="0" w:space="0" w:color="auto"/>
                    <w:left w:val="none" w:sz="0" w:space="0" w:color="auto"/>
                    <w:bottom w:val="none" w:sz="0" w:space="0" w:color="auto"/>
                    <w:right w:val="none" w:sz="0" w:space="0" w:color="auto"/>
                  </w:divBdr>
                  <w:divsChild>
                    <w:div w:id="745958710">
                      <w:marLeft w:val="0"/>
                      <w:marRight w:val="0"/>
                      <w:marTop w:val="0"/>
                      <w:marBottom w:val="0"/>
                      <w:divBdr>
                        <w:top w:val="none" w:sz="0" w:space="0" w:color="auto"/>
                        <w:left w:val="none" w:sz="0" w:space="0" w:color="auto"/>
                        <w:bottom w:val="none" w:sz="0" w:space="0" w:color="auto"/>
                        <w:right w:val="none" w:sz="0" w:space="0" w:color="auto"/>
                      </w:divBdr>
                    </w:div>
                  </w:divsChild>
                </w:div>
                <w:div w:id="1233735727">
                  <w:marLeft w:val="0"/>
                  <w:marRight w:val="0"/>
                  <w:marTop w:val="0"/>
                  <w:marBottom w:val="0"/>
                  <w:divBdr>
                    <w:top w:val="none" w:sz="0" w:space="0" w:color="auto"/>
                    <w:left w:val="none" w:sz="0" w:space="0" w:color="auto"/>
                    <w:bottom w:val="none" w:sz="0" w:space="0" w:color="auto"/>
                    <w:right w:val="none" w:sz="0" w:space="0" w:color="auto"/>
                  </w:divBdr>
                  <w:divsChild>
                    <w:div w:id="669917131">
                      <w:marLeft w:val="0"/>
                      <w:marRight w:val="0"/>
                      <w:marTop w:val="0"/>
                      <w:marBottom w:val="0"/>
                      <w:divBdr>
                        <w:top w:val="none" w:sz="0" w:space="0" w:color="auto"/>
                        <w:left w:val="none" w:sz="0" w:space="0" w:color="auto"/>
                        <w:bottom w:val="none" w:sz="0" w:space="0" w:color="auto"/>
                        <w:right w:val="none" w:sz="0" w:space="0" w:color="auto"/>
                      </w:divBdr>
                    </w:div>
                  </w:divsChild>
                </w:div>
                <w:div w:id="1237402116">
                  <w:marLeft w:val="0"/>
                  <w:marRight w:val="0"/>
                  <w:marTop w:val="0"/>
                  <w:marBottom w:val="0"/>
                  <w:divBdr>
                    <w:top w:val="none" w:sz="0" w:space="0" w:color="auto"/>
                    <w:left w:val="none" w:sz="0" w:space="0" w:color="auto"/>
                    <w:bottom w:val="none" w:sz="0" w:space="0" w:color="auto"/>
                    <w:right w:val="none" w:sz="0" w:space="0" w:color="auto"/>
                  </w:divBdr>
                  <w:divsChild>
                    <w:div w:id="112746081">
                      <w:marLeft w:val="0"/>
                      <w:marRight w:val="0"/>
                      <w:marTop w:val="0"/>
                      <w:marBottom w:val="0"/>
                      <w:divBdr>
                        <w:top w:val="none" w:sz="0" w:space="0" w:color="auto"/>
                        <w:left w:val="none" w:sz="0" w:space="0" w:color="auto"/>
                        <w:bottom w:val="none" w:sz="0" w:space="0" w:color="auto"/>
                        <w:right w:val="none" w:sz="0" w:space="0" w:color="auto"/>
                      </w:divBdr>
                    </w:div>
                  </w:divsChild>
                </w:div>
                <w:div w:id="1238788657">
                  <w:marLeft w:val="0"/>
                  <w:marRight w:val="0"/>
                  <w:marTop w:val="0"/>
                  <w:marBottom w:val="0"/>
                  <w:divBdr>
                    <w:top w:val="none" w:sz="0" w:space="0" w:color="auto"/>
                    <w:left w:val="none" w:sz="0" w:space="0" w:color="auto"/>
                    <w:bottom w:val="none" w:sz="0" w:space="0" w:color="auto"/>
                    <w:right w:val="none" w:sz="0" w:space="0" w:color="auto"/>
                  </w:divBdr>
                  <w:divsChild>
                    <w:div w:id="547883237">
                      <w:marLeft w:val="0"/>
                      <w:marRight w:val="0"/>
                      <w:marTop w:val="0"/>
                      <w:marBottom w:val="0"/>
                      <w:divBdr>
                        <w:top w:val="none" w:sz="0" w:space="0" w:color="auto"/>
                        <w:left w:val="none" w:sz="0" w:space="0" w:color="auto"/>
                        <w:bottom w:val="none" w:sz="0" w:space="0" w:color="auto"/>
                        <w:right w:val="none" w:sz="0" w:space="0" w:color="auto"/>
                      </w:divBdr>
                    </w:div>
                  </w:divsChild>
                </w:div>
                <w:div w:id="1283920838">
                  <w:marLeft w:val="0"/>
                  <w:marRight w:val="0"/>
                  <w:marTop w:val="0"/>
                  <w:marBottom w:val="0"/>
                  <w:divBdr>
                    <w:top w:val="none" w:sz="0" w:space="0" w:color="auto"/>
                    <w:left w:val="none" w:sz="0" w:space="0" w:color="auto"/>
                    <w:bottom w:val="none" w:sz="0" w:space="0" w:color="auto"/>
                    <w:right w:val="none" w:sz="0" w:space="0" w:color="auto"/>
                  </w:divBdr>
                  <w:divsChild>
                    <w:div w:id="42875870">
                      <w:marLeft w:val="0"/>
                      <w:marRight w:val="0"/>
                      <w:marTop w:val="0"/>
                      <w:marBottom w:val="0"/>
                      <w:divBdr>
                        <w:top w:val="none" w:sz="0" w:space="0" w:color="auto"/>
                        <w:left w:val="none" w:sz="0" w:space="0" w:color="auto"/>
                        <w:bottom w:val="none" w:sz="0" w:space="0" w:color="auto"/>
                        <w:right w:val="none" w:sz="0" w:space="0" w:color="auto"/>
                      </w:divBdr>
                    </w:div>
                  </w:divsChild>
                </w:div>
                <w:div w:id="1331177266">
                  <w:marLeft w:val="0"/>
                  <w:marRight w:val="0"/>
                  <w:marTop w:val="0"/>
                  <w:marBottom w:val="0"/>
                  <w:divBdr>
                    <w:top w:val="none" w:sz="0" w:space="0" w:color="auto"/>
                    <w:left w:val="none" w:sz="0" w:space="0" w:color="auto"/>
                    <w:bottom w:val="none" w:sz="0" w:space="0" w:color="auto"/>
                    <w:right w:val="none" w:sz="0" w:space="0" w:color="auto"/>
                  </w:divBdr>
                  <w:divsChild>
                    <w:div w:id="643005511">
                      <w:marLeft w:val="0"/>
                      <w:marRight w:val="0"/>
                      <w:marTop w:val="0"/>
                      <w:marBottom w:val="0"/>
                      <w:divBdr>
                        <w:top w:val="none" w:sz="0" w:space="0" w:color="auto"/>
                        <w:left w:val="none" w:sz="0" w:space="0" w:color="auto"/>
                        <w:bottom w:val="none" w:sz="0" w:space="0" w:color="auto"/>
                        <w:right w:val="none" w:sz="0" w:space="0" w:color="auto"/>
                      </w:divBdr>
                    </w:div>
                  </w:divsChild>
                </w:div>
                <w:div w:id="1339500602">
                  <w:marLeft w:val="0"/>
                  <w:marRight w:val="0"/>
                  <w:marTop w:val="0"/>
                  <w:marBottom w:val="0"/>
                  <w:divBdr>
                    <w:top w:val="none" w:sz="0" w:space="0" w:color="auto"/>
                    <w:left w:val="none" w:sz="0" w:space="0" w:color="auto"/>
                    <w:bottom w:val="none" w:sz="0" w:space="0" w:color="auto"/>
                    <w:right w:val="none" w:sz="0" w:space="0" w:color="auto"/>
                  </w:divBdr>
                  <w:divsChild>
                    <w:div w:id="470439773">
                      <w:marLeft w:val="0"/>
                      <w:marRight w:val="0"/>
                      <w:marTop w:val="0"/>
                      <w:marBottom w:val="0"/>
                      <w:divBdr>
                        <w:top w:val="none" w:sz="0" w:space="0" w:color="auto"/>
                        <w:left w:val="none" w:sz="0" w:space="0" w:color="auto"/>
                        <w:bottom w:val="none" w:sz="0" w:space="0" w:color="auto"/>
                        <w:right w:val="none" w:sz="0" w:space="0" w:color="auto"/>
                      </w:divBdr>
                    </w:div>
                    <w:div w:id="946543033">
                      <w:marLeft w:val="0"/>
                      <w:marRight w:val="0"/>
                      <w:marTop w:val="0"/>
                      <w:marBottom w:val="0"/>
                      <w:divBdr>
                        <w:top w:val="none" w:sz="0" w:space="0" w:color="auto"/>
                        <w:left w:val="none" w:sz="0" w:space="0" w:color="auto"/>
                        <w:bottom w:val="none" w:sz="0" w:space="0" w:color="auto"/>
                        <w:right w:val="none" w:sz="0" w:space="0" w:color="auto"/>
                      </w:divBdr>
                    </w:div>
                  </w:divsChild>
                </w:div>
                <w:div w:id="1367946365">
                  <w:marLeft w:val="0"/>
                  <w:marRight w:val="0"/>
                  <w:marTop w:val="0"/>
                  <w:marBottom w:val="0"/>
                  <w:divBdr>
                    <w:top w:val="none" w:sz="0" w:space="0" w:color="auto"/>
                    <w:left w:val="none" w:sz="0" w:space="0" w:color="auto"/>
                    <w:bottom w:val="none" w:sz="0" w:space="0" w:color="auto"/>
                    <w:right w:val="none" w:sz="0" w:space="0" w:color="auto"/>
                  </w:divBdr>
                  <w:divsChild>
                    <w:div w:id="228425275">
                      <w:marLeft w:val="0"/>
                      <w:marRight w:val="0"/>
                      <w:marTop w:val="0"/>
                      <w:marBottom w:val="0"/>
                      <w:divBdr>
                        <w:top w:val="none" w:sz="0" w:space="0" w:color="auto"/>
                        <w:left w:val="none" w:sz="0" w:space="0" w:color="auto"/>
                        <w:bottom w:val="none" w:sz="0" w:space="0" w:color="auto"/>
                        <w:right w:val="none" w:sz="0" w:space="0" w:color="auto"/>
                      </w:divBdr>
                    </w:div>
                    <w:div w:id="824470676">
                      <w:marLeft w:val="0"/>
                      <w:marRight w:val="0"/>
                      <w:marTop w:val="0"/>
                      <w:marBottom w:val="0"/>
                      <w:divBdr>
                        <w:top w:val="none" w:sz="0" w:space="0" w:color="auto"/>
                        <w:left w:val="none" w:sz="0" w:space="0" w:color="auto"/>
                        <w:bottom w:val="none" w:sz="0" w:space="0" w:color="auto"/>
                        <w:right w:val="none" w:sz="0" w:space="0" w:color="auto"/>
                      </w:divBdr>
                    </w:div>
                  </w:divsChild>
                </w:div>
                <w:div w:id="1386640500">
                  <w:marLeft w:val="0"/>
                  <w:marRight w:val="0"/>
                  <w:marTop w:val="0"/>
                  <w:marBottom w:val="0"/>
                  <w:divBdr>
                    <w:top w:val="none" w:sz="0" w:space="0" w:color="auto"/>
                    <w:left w:val="none" w:sz="0" w:space="0" w:color="auto"/>
                    <w:bottom w:val="none" w:sz="0" w:space="0" w:color="auto"/>
                    <w:right w:val="none" w:sz="0" w:space="0" w:color="auto"/>
                  </w:divBdr>
                  <w:divsChild>
                    <w:div w:id="2035568946">
                      <w:marLeft w:val="0"/>
                      <w:marRight w:val="0"/>
                      <w:marTop w:val="0"/>
                      <w:marBottom w:val="0"/>
                      <w:divBdr>
                        <w:top w:val="none" w:sz="0" w:space="0" w:color="auto"/>
                        <w:left w:val="none" w:sz="0" w:space="0" w:color="auto"/>
                        <w:bottom w:val="none" w:sz="0" w:space="0" w:color="auto"/>
                        <w:right w:val="none" w:sz="0" w:space="0" w:color="auto"/>
                      </w:divBdr>
                    </w:div>
                    <w:div w:id="2132243553">
                      <w:marLeft w:val="0"/>
                      <w:marRight w:val="0"/>
                      <w:marTop w:val="0"/>
                      <w:marBottom w:val="0"/>
                      <w:divBdr>
                        <w:top w:val="none" w:sz="0" w:space="0" w:color="auto"/>
                        <w:left w:val="none" w:sz="0" w:space="0" w:color="auto"/>
                        <w:bottom w:val="none" w:sz="0" w:space="0" w:color="auto"/>
                        <w:right w:val="none" w:sz="0" w:space="0" w:color="auto"/>
                      </w:divBdr>
                    </w:div>
                  </w:divsChild>
                </w:div>
                <w:div w:id="1396199737">
                  <w:marLeft w:val="0"/>
                  <w:marRight w:val="0"/>
                  <w:marTop w:val="0"/>
                  <w:marBottom w:val="0"/>
                  <w:divBdr>
                    <w:top w:val="none" w:sz="0" w:space="0" w:color="auto"/>
                    <w:left w:val="none" w:sz="0" w:space="0" w:color="auto"/>
                    <w:bottom w:val="none" w:sz="0" w:space="0" w:color="auto"/>
                    <w:right w:val="none" w:sz="0" w:space="0" w:color="auto"/>
                  </w:divBdr>
                  <w:divsChild>
                    <w:div w:id="1421871417">
                      <w:marLeft w:val="0"/>
                      <w:marRight w:val="0"/>
                      <w:marTop w:val="0"/>
                      <w:marBottom w:val="0"/>
                      <w:divBdr>
                        <w:top w:val="none" w:sz="0" w:space="0" w:color="auto"/>
                        <w:left w:val="none" w:sz="0" w:space="0" w:color="auto"/>
                        <w:bottom w:val="none" w:sz="0" w:space="0" w:color="auto"/>
                        <w:right w:val="none" w:sz="0" w:space="0" w:color="auto"/>
                      </w:divBdr>
                    </w:div>
                  </w:divsChild>
                </w:div>
                <w:div w:id="1453793279">
                  <w:marLeft w:val="0"/>
                  <w:marRight w:val="0"/>
                  <w:marTop w:val="0"/>
                  <w:marBottom w:val="0"/>
                  <w:divBdr>
                    <w:top w:val="none" w:sz="0" w:space="0" w:color="auto"/>
                    <w:left w:val="none" w:sz="0" w:space="0" w:color="auto"/>
                    <w:bottom w:val="none" w:sz="0" w:space="0" w:color="auto"/>
                    <w:right w:val="none" w:sz="0" w:space="0" w:color="auto"/>
                  </w:divBdr>
                  <w:divsChild>
                    <w:div w:id="453643636">
                      <w:marLeft w:val="0"/>
                      <w:marRight w:val="0"/>
                      <w:marTop w:val="0"/>
                      <w:marBottom w:val="0"/>
                      <w:divBdr>
                        <w:top w:val="none" w:sz="0" w:space="0" w:color="auto"/>
                        <w:left w:val="none" w:sz="0" w:space="0" w:color="auto"/>
                        <w:bottom w:val="none" w:sz="0" w:space="0" w:color="auto"/>
                        <w:right w:val="none" w:sz="0" w:space="0" w:color="auto"/>
                      </w:divBdr>
                    </w:div>
                    <w:div w:id="932663484">
                      <w:marLeft w:val="0"/>
                      <w:marRight w:val="0"/>
                      <w:marTop w:val="0"/>
                      <w:marBottom w:val="0"/>
                      <w:divBdr>
                        <w:top w:val="none" w:sz="0" w:space="0" w:color="auto"/>
                        <w:left w:val="none" w:sz="0" w:space="0" w:color="auto"/>
                        <w:bottom w:val="none" w:sz="0" w:space="0" w:color="auto"/>
                        <w:right w:val="none" w:sz="0" w:space="0" w:color="auto"/>
                      </w:divBdr>
                    </w:div>
                  </w:divsChild>
                </w:div>
                <w:div w:id="1476288930">
                  <w:marLeft w:val="0"/>
                  <w:marRight w:val="0"/>
                  <w:marTop w:val="0"/>
                  <w:marBottom w:val="0"/>
                  <w:divBdr>
                    <w:top w:val="none" w:sz="0" w:space="0" w:color="auto"/>
                    <w:left w:val="none" w:sz="0" w:space="0" w:color="auto"/>
                    <w:bottom w:val="none" w:sz="0" w:space="0" w:color="auto"/>
                    <w:right w:val="none" w:sz="0" w:space="0" w:color="auto"/>
                  </w:divBdr>
                  <w:divsChild>
                    <w:div w:id="1127822669">
                      <w:marLeft w:val="0"/>
                      <w:marRight w:val="0"/>
                      <w:marTop w:val="0"/>
                      <w:marBottom w:val="0"/>
                      <w:divBdr>
                        <w:top w:val="none" w:sz="0" w:space="0" w:color="auto"/>
                        <w:left w:val="none" w:sz="0" w:space="0" w:color="auto"/>
                        <w:bottom w:val="none" w:sz="0" w:space="0" w:color="auto"/>
                        <w:right w:val="none" w:sz="0" w:space="0" w:color="auto"/>
                      </w:divBdr>
                    </w:div>
                  </w:divsChild>
                </w:div>
                <w:div w:id="1484933200">
                  <w:marLeft w:val="0"/>
                  <w:marRight w:val="0"/>
                  <w:marTop w:val="0"/>
                  <w:marBottom w:val="0"/>
                  <w:divBdr>
                    <w:top w:val="none" w:sz="0" w:space="0" w:color="auto"/>
                    <w:left w:val="none" w:sz="0" w:space="0" w:color="auto"/>
                    <w:bottom w:val="none" w:sz="0" w:space="0" w:color="auto"/>
                    <w:right w:val="none" w:sz="0" w:space="0" w:color="auto"/>
                  </w:divBdr>
                  <w:divsChild>
                    <w:div w:id="497573680">
                      <w:marLeft w:val="0"/>
                      <w:marRight w:val="0"/>
                      <w:marTop w:val="0"/>
                      <w:marBottom w:val="0"/>
                      <w:divBdr>
                        <w:top w:val="none" w:sz="0" w:space="0" w:color="auto"/>
                        <w:left w:val="none" w:sz="0" w:space="0" w:color="auto"/>
                        <w:bottom w:val="none" w:sz="0" w:space="0" w:color="auto"/>
                        <w:right w:val="none" w:sz="0" w:space="0" w:color="auto"/>
                      </w:divBdr>
                    </w:div>
                  </w:divsChild>
                </w:div>
                <w:div w:id="1539197989">
                  <w:marLeft w:val="0"/>
                  <w:marRight w:val="0"/>
                  <w:marTop w:val="0"/>
                  <w:marBottom w:val="0"/>
                  <w:divBdr>
                    <w:top w:val="none" w:sz="0" w:space="0" w:color="auto"/>
                    <w:left w:val="none" w:sz="0" w:space="0" w:color="auto"/>
                    <w:bottom w:val="none" w:sz="0" w:space="0" w:color="auto"/>
                    <w:right w:val="none" w:sz="0" w:space="0" w:color="auto"/>
                  </w:divBdr>
                  <w:divsChild>
                    <w:div w:id="450049210">
                      <w:marLeft w:val="0"/>
                      <w:marRight w:val="0"/>
                      <w:marTop w:val="0"/>
                      <w:marBottom w:val="0"/>
                      <w:divBdr>
                        <w:top w:val="none" w:sz="0" w:space="0" w:color="auto"/>
                        <w:left w:val="none" w:sz="0" w:space="0" w:color="auto"/>
                        <w:bottom w:val="none" w:sz="0" w:space="0" w:color="auto"/>
                        <w:right w:val="none" w:sz="0" w:space="0" w:color="auto"/>
                      </w:divBdr>
                    </w:div>
                    <w:div w:id="1460224107">
                      <w:marLeft w:val="0"/>
                      <w:marRight w:val="0"/>
                      <w:marTop w:val="0"/>
                      <w:marBottom w:val="0"/>
                      <w:divBdr>
                        <w:top w:val="none" w:sz="0" w:space="0" w:color="auto"/>
                        <w:left w:val="none" w:sz="0" w:space="0" w:color="auto"/>
                        <w:bottom w:val="none" w:sz="0" w:space="0" w:color="auto"/>
                        <w:right w:val="none" w:sz="0" w:space="0" w:color="auto"/>
                      </w:divBdr>
                    </w:div>
                  </w:divsChild>
                </w:div>
                <w:div w:id="1551646315">
                  <w:marLeft w:val="0"/>
                  <w:marRight w:val="0"/>
                  <w:marTop w:val="0"/>
                  <w:marBottom w:val="0"/>
                  <w:divBdr>
                    <w:top w:val="none" w:sz="0" w:space="0" w:color="auto"/>
                    <w:left w:val="none" w:sz="0" w:space="0" w:color="auto"/>
                    <w:bottom w:val="none" w:sz="0" w:space="0" w:color="auto"/>
                    <w:right w:val="none" w:sz="0" w:space="0" w:color="auto"/>
                  </w:divBdr>
                  <w:divsChild>
                    <w:div w:id="1239944402">
                      <w:marLeft w:val="0"/>
                      <w:marRight w:val="0"/>
                      <w:marTop w:val="0"/>
                      <w:marBottom w:val="0"/>
                      <w:divBdr>
                        <w:top w:val="none" w:sz="0" w:space="0" w:color="auto"/>
                        <w:left w:val="none" w:sz="0" w:space="0" w:color="auto"/>
                        <w:bottom w:val="none" w:sz="0" w:space="0" w:color="auto"/>
                        <w:right w:val="none" w:sz="0" w:space="0" w:color="auto"/>
                      </w:divBdr>
                    </w:div>
                  </w:divsChild>
                </w:div>
                <w:div w:id="1554389294">
                  <w:marLeft w:val="0"/>
                  <w:marRight w:val="0"/>
                  <w:marTop w:val="0"/>
                  <w:marBottom w:val="0"/>
                  <w:divBdr>
                    <w:top w:val="none" w:sz="0" w:space="0" w:color="auto"/>
                    <w:left w:val="none" w:sz="0" w:space="0" w:color="auto"/>
                    <w:bottom w:val="none" w:sz="0" w:space="0" w:color="auto"/>
                    <w:right w:val="none" w:sz="0" w:space="0" w:color="auto"/>
                  </w:divBdr>
                  <w:divsChild>
                    <w:div w:id="656375623">
                      <w:marLeft w:val="0"/>
                      <w:marRight w:val="0"/>
                      <w:marTop w:val="0"/>
                      <w:marBottom w:val="0"/>
                      <w:divBdr>
                        <w:top w:val="none" w:sz="0" w:space="0" w:color="auto"/>
                        <w:left w:val="none" w:sz="0" w:space="0" w:color="auto"/>
                        <w:bottom w:val="none" w:sz="0" w:space="0" w:color="auto"/>
                        <w:right w:val="none" w:sz="0" w:space="0" w:color="auto"/>
                      </w:divBdr>
                    </w:div>
                    <w:div w:id="2142963054">
                      <w:marLeft w:val="0"/>
                      <w:marRight w:val="0"/>
                      <w:marTop w:val="0"/>
                      <w:marBottom w:val="0"/>
                      <w:divBdr>
                        <w:top w:val="none" w:sz="0" w:space="0" w:color="auto"/>
                        <w:left w:val="none" w:sz="0" w:space="0" w:color="auto"/>
                        <w:bottom w:val="none" w:sz="0" w:space="0" w:color="auto"/>
                        <w:right w:val="none" w:sz="0" w:space="0" w:color="auto"/>
                      </w:divBdr>
                    </w:div>
                  </w:divsChild>
                </w:div>
                <w:div w:id="1568613777">
                  <w:marLeft w:val="0"/>
                  <w:marRight w:val="0"/>
                  <w:marTop w:val="0"/>
                  <w:marBottom w:val="0"/>
                  <w:divBdr>
                    <w:top w:val="none" w:sz="0" w:space="0" w:color="auto"/>
                    <w:left w:val="none" w:sz="0" w:space="0" w:color="auto"/>
                    <w:bottom w:val="none" w:sz="0" w:space="0" w:color="auto"/>
                    <w:right w:val="none" w:sz="0" w:space="0" w:color="auto"/>
                  </w:divBdr>
                  <w:divsChild>
                    <w:div w:id="1949315812">
                      <w:marLeft w:val="0"/>
                      <w:marRight w:val="0"/>
                      <w:marTop w:val="0"/>
                      <w:marBottom w:val="0"/>
                      <w:divBdr>
                        <w:top w:val="none" w:sz="0" w:space="0" w:color="auto"/>
                        <w:left w:val="none" w:sz="0" w:space="0" w:color="auto"/>
                        <w:bottom w:val="none" w:sz="0" w:space="0" w:color="auto"/>
                        <w:right w:val="none" w:sz="0" w:space="0" w:color="auto"/>
                      </w:divBdr>
                    </w:div>
                  </w:divsChild>
                </w:div>
                <w:div w:id="1577935262">
                  <w:marLeft w:val="0"/>
                  <w:marRight w:val="0"/>
                  <w:marTop w:val="0"/>
                  <w:marBottom w:val="0"/>
                  <w:divBdr>
                    <w:top w:val="none" w:sz="0" w:space="0" w:color="auto"/>
                    <w:left w:val="none" w:sz="0" w:space="0" w:color="auto"/>
                    <w:bottom w:val="none" w:sz="0" w:space="0" w:color="auto"/>
                    <w:right w:val="none" w:sz="0" w:space="0" w:color="auto"/>
                  </w:divBdr>
                  <w:divsChild>
                    <w:div w:id="2039889887">
                      <w:marLeft w:val="0"/>
                      <w:marRight w:val="0"/>
                      <w:marTop w:val="0"/>
                      <w:marBottom w:val="0"/>
                      <w:divBdr>
                        <w:top w:val="none" w:sz="0" w:space="0" w:color="auto"/>
                        <w:left w:val="none" w:sz="0" w:space="0" w:color="auto"/>
                        <w:bottom w:val="none" w:sz="0" w:space="0" w:color="auto"/>
                        <w:right w:val="none" w:sz="0" w:space="0" w:color="auto"/>
                      </w:divBdr>
                    </w:div>
                  </w:divsChild>
                </w:div>
                <w:div w:id="1584684425">
                  <w:marLeft w:val="0"/>
                  <w:marRight w:val="0"/>
                  <w:marTop w:val="0"/>
                  <w:marBottom w:val="0"/>
                  <w:divBdr>
                    <w:top w:val="none" w:sz="0" w:space="0" w:color="auto"/>
                    <w:left w:val="none" w:sz="0" w:space="0" w:color="auto"/>
                    <w:bottom w:val="none" w:sz="0" w:space="0" w:color="auto"/>
                    <w:right w:val="none" w:sz="0" w:space="0" w:color="auto"/>
                  </w:divBdr>
                  <w:divsChild>
                    <w:div w:id="230312727">
                      <w:marLeft w:val="0"/>
                      <w:marRight w:val="0"/>
                      <w:marTop w:val="0"/>
                      <w:marBottom w:val="0"/>
                      <w:divBdr>
                        <w:top w:val="none" w:sz="0" w:space="0" w:color="auto"/>
                        <w:left w:val="none" w:sz="0" w:space="0" w:color="auto"/>
                        <w:bottom w:val="none" w:sz="0" w:space="0" w:color="auto"/>
                        <w:right w:val="none" w:sz="0" w:space="0" w:color="auto"/>
                      </w:divBdr>
                    </w:div>
                  </w:divsChild>
                </w:div>
                <w:div w:id="1620718453">
                  <w:marLeft w:val="0"/>
                  <w:marRight w:val="0"/>
                  <w:marTop w:val="0"/>
                  <w:marBottom w:val="0"/>
                  <w:divBdr>
                    <w:top w:val="none" w:sz="0" w:space="0" w:color="auto"/>
                    <w:left w:val="none" w:sz="0" w:space="0" w:color="auto"/>
                    <w:bottom w:val="none" w:sz="0" w:space="0" w:color="auto"/>
                    <w:right w:val="none" w:sz="0" w:space="0" w:color="auto"/>
                  </w:divBdr>
                  <w:divsChild>
                    <w:div w:id="893125031">
                      <w:marLeft w:val="0"/>
                      <w:marRight w:val="0"/>
                      <w:marTop w:val="0"/>
                      <w:marBottom w:val="0"/>
                      <w:divBdr>
                        <w:top w:val="none" w:sz="0" w:space="0" w:color="auto"/>
                        <w:left w:val="none" w:sz="0" w:space="0" w:color="auto"/>
                        <w:bottom w:val="none" w:sz="0" w:space="0" w:color="auto"/>
                        <w:right w:val="none" w:sz="0" w:space="0" w:color="auto"/>
                      </w:divBdr>
                    </w:div>
                  </w:divsChild>
                </w:div>
                <w:div w:id="1627614393">
                  <w:marLeft w:val="0"/>
                  <w:marRight w:val="0"/>
                  <w:marTop w:val="0"/>
                  <w:marBottom w:val="0"/>
                  <w:divBdr>
                    <w:top w:val="none" w:sz="0" w:space="0" w:color="auto"/>
                    <w:left w:val="none" w:sz="0" w:space="0" w:color="auto"/>
                    <w:bottom w:val="none" w:sz="0" w:space="0" w:color="auto"/>
                    <w:right w:val="none" w:sz="0" w:space="0" w:color="auto"/>
                  </w:divBdr>
                  <w:divsChild>
                    <w:div w:id="219442579">
                      <w:marLeft w:val="0"/>
                      <w:marRight w:val="0"/>
                      <w:marTop w:val="0"/>
                      <w:marBottom w:val="0"/>
                      <w:divBdr>
                        <w:top w:val="none" w:sz="0" w:space="0" w:color="auto"/>
                        <w:left w:val="none" w:sz="0" w:space="0" w:color="auto"/>
                        <w:bottom w:val="none" w:sz="0" w:space="0" w:color="auto"/>
                        <w:right w:val="none" w:sz="0" w:space="0" w:color="auto"/>
                      </w:divBdr>
                    </w:div>
                    <w:div w:id="1019821119">
                      <w:marLeft w:val="0"/>
                      <w:marRight w:val="0"/>
                      <w:marTop w:val="0"/>
                      <w:marBottom w:val="0"/>
                      <w:divBdr>
                        <w:top w:val="none" w:sz="0" w:space="0" w:color="auto"/>
                        <w:left w:val="none" w:sz="0" w:space="0" w:color="auto"/>
                        <w:bottom w:val="none" w:sz="0" w:space="0" w:color="auto"/>
                        <w:right w:val="none" w:sz="0" w:space="0" w:color="auto"/>
                      </w:divBdr>
                    </w:div>
                  </w:divsChild>
                </w:div>
                <w:div w:id="1687367426">
                  <w:marLeft w:val="0"/>
                  <w:marRight w:val="0"/>
                  <w:marTop w:val="0"/>
                  <w:marBottom w:val="0"/>
                  <w:divBdr>
                    <w:top w:val="none" w:sz="0" w:space="0" w:color="auto"/>
                    <w:left w:val="none" w:sz="0" w:space="0" w:color="auto"/>
                    <w:bottom w:val="none" w:sz="0" w:space="0" w:color="auto"/>
                    <w:right w:val="none" w:sz="0" w:space="0" w:color="auto"/>
                  </w:divBdr>
                  <w:divsChild>
                    <w:div w:id="1867870659">
                      <w:marLeft w:val="0"/>
                      <w:marRight w:val="0"/>
                      <w:marTop w:val="0"/>
                      <w:marBottom w:val="0"/>
                      <w:divBdr>
                        <w:top w:val="none" w:sz="0" w:space="0" w:color="auto"/>
                        <w:left w:val="none" w:sz="0" w:space="0" w:color="auto"/>
                        <w:bottom w:val="none" w:sz="0" w:space="0" w:color="auto"/>
                        <w:right w:val="none" w:sz="0" w:space="0" w:color="auto"/>
                      </w:divBdr>
                    </w:div>
                  </w:divsChild>
                </w:div>
                <w:div w:id="1687752373">
                  <w:marLeft w:val="0"/>
                  <w:marRight w:val="0"/>
                  <w:marTop w:val="0"/>
                  <w:marBottom w:val="0"/>
                  <w:divBdr>
                    <w:top w:val="none" w:sz="0" w:space="0" w:color="auto"/>
                    <w:left w:val="none" w:sz="0" w:space="0" w:color="auto"/>
                    <w:bottom w:val="none" w:sz="0" w:space="0" w:color="auto"/>
                    <w:right w:val="none" w:sz="0" w:space="0" w:color="auto"/>
                  </w:divBdr>
                  <w:divsChild>
                    <w:div w:id="1323507577">
                      <w:marLeft w:val="0"/>
                      <w:marRight w:val="0"/>
                      <w:marTop w:val="0"/>
                      <w:marBottom w:val="0"/>
                      <w:divBdr>
                        <w:top w:val="none" w:sz="0" w:space="0" w:color="auto"/>
                        <w:left w:val="none" w:sz="0" w:space="0" w:color="auto"/>
                        <w:bottom w:val="none" w:sz="0" w:space="0" w:color="auto"/>
                        <w:right w:val="none" w:sz="0" w:space="0" w:color="auto"/>
                      </w:divBdr>
                    </w:div>
                    <w:div w:id="1612594129">
                      <w:marLeft w:val="0"/>
                      <w:marRight w:val="0"/>
                      <w:marTop w:val="0"/>
                      <w:marBottom w:val="0"/>
                      <w:divBdr>
                        <w:top w:val="none" w:sz="0" w:space="0" w:color="auto"/>
                        <w:left w:val="none" w:sz="0" w:space="0" w:color="auto"/>
                        <w:bottom w:val="none" w:sz="0" w:space="0" w:color="auto"/>
                        <w:right w:val="none" w:sz="0" w:space="0" w:color="auto"/>
                      </w:divBdr>
                    </w:div>
                  </w:divsChild>
                </w:div>
                <w:div w:id="1715152351">
                  <w:marLeft w:val="0"/>
                  <w:marRight w:val="0"/>
                  <w:marTop w:val="0"/>
                  <w:marBottom w:val="0"/>
                  <w:divBdr>
                    <w:top w:val="none" w:sz="0" w:space="0" w:color="auto"/>
                    <w:left w:val="none" w:sz="0" w:space="0" w:color="auto"/>
                    <w:bottom w:val="none" w:sz="0" w:space="0" w:color="auto"/>
                    <w:right w:val="none" w:sz="0" w:space="0" w:color="auto"/>
                  </w:divBdr>
                  <w:divsChild>
                    <w:div w:id="636299810">
                      <w:marLeft w:val="0"/>
                      <w:marRight w:val="0"/>
                      <w:marTop w:val="0"/>
                      <w:marBottom w:val="0"/>
                      <w:divBdr>
                        <w:top w:val="none" w:sz="0" w:space="0" w:color="auto"/>
                        <w:left w:val="none" w:sz="0" w:space="0" w:color="auto"/>
                        <w:bottom w:val="none" w:sz="0" w:space="0" w:color="auto"/>
                        <w:right w:val="none" w:sz="0" w:space="0" w:color="auto"/>
                      </w:divBdr>
                    </w:div>
                  </w:divsChild>
                </w:div>
                <w:div w:id="1729648882">
                  <w:marLeft w:val="0"/>
                  <w:marRight w:val="0"/>
                  <w:marTop w:val="0"/>
                  <w:marBottom w:val="0"/>
                  <w:divBdr>
                    <w:top w:val="none" w:sz="0" w:space="0" w:color="auto"/>
                    <w:left w:val="none" w:sz="0" w:space="0" w:color="auto"/>
                    <w:bottom w:val="none" w:sz="0" w:space="0" w:color="auto"/>
                    <w:right w:val="none" w:sz="0" w:space="0" w:color="auto"/>
                  </w:divBdr>
                  <w:divsChild>
                    <w:div w:id="99573889">
                      <w:marLeft w:val="0"/>
                      <w:marRight w:val="0"/>
                      <w:marTop w:val="0"/>
                      <w:marBottom w:val="0"/>
                      <w:divBdr>
                        <w:top w:val="none" w:sz="0" w:space="0" w:color="auto"/>
                        <w:left w:val="none" w:sz="0" w:space="0" w:color="auto"/>
                        <w:bottom w:val="none" w:sz="0" w:space="0" w:color="auto"/>
                        <w:right w:val="none" w:sz="0" w:space="0" w:color="auto"/>
                      </w:divBdr>
                    </w:div>
                  </w:divsChild>
                </w:div>
                <w:div w:id="1744258538">
                  <w:marLeft w:val="0"/>
                  <w:marRight w:val="0"/>
                  <w:marTop w:val="0"/>
                  <w:marBottom w:val="0"/>
                  <w:divBdr>
                    <w:top w:val="none" w:sz="0" w:space="0" w:color="auto"/>
                    <w:left w:val="none" w:sz="0" w:space="0" w:color="auto"/>
                    <w:bottom w:val="none" w:sz="0" w:space="0" w:color="auto"/>
                    <w:right w:val="none" w:sz="0" w:space="0" w:color="auto"/>
                  </w:divBdr>
                  <w:divsChild>
                    <w:div w:id="1396201544">
                      <w:marLeft w:val="0"/>
                      <w:marRight w:val="0"/>
                      <w:marTop w:val="0"/>
                      <w:marBottom w:val="0"/>
                      <w:divBdr>
                        <w:top w:val="none" w:sz="0" w:space="0" w:color="auto"/>
                        <w:left w:val="none" w:sz="0" w:space="0" w:color="auto"/>
                        <w:bottom w:val="none" w:sz="0" w:space="0" w:color="auto"/>
                        <w:right w:val="none" w:sz="0" w:space="0" w:color="auto"/>
                      </w:divBdr>
                    </w:div>
                    <w:div w:id="1857839783">
                      <w:marLeft w:val="0"/>
                      <w:marRight w:val="0"/>
                      <w:marTop w:val="0"/>
                      <w:marBottom w:val="0"/>
                      <w:divBdr>
                        <w:top w:val="none" w:sz="0" w:space="0" w:color="auto"/>
                        <w:left w:val="none" w:sz="0" w:space="0" w:color="auto"/>
                        <w:bottom w:val="none" w:sz="0" w:space="0" w:color="auto"/>
                        <w:right w:val="none" w:sz="0" w:space="0" w:color="auto"/>
                      </w:divBdr>
                    </w:div>
                  </w:divsChild>
                </w:div>
                <w:div w:id="1765688229">
                  <w:marLeft w:val="0"/>
                  <w:marRight w:val="0"/>
                  <w:marTop w:val="0"/>
                  <w:marBottom w:val="0"/>
                  <w:divBdr>
                    <w:top w:val="none" w:sz="0" w:space="0" w:color="auto"/>
                    <w:left w:val="none" w:sz="0" w:space="0" w:color="auto"/>
                    <w:bottom w:val="none" w:sz="0" w:space="0" w:color="auto"/>
                    <w:right w:val="none" w:sz="0" w:space="0" w:color="auto"/>
                  </w:divBdr>
                  <w:divsChild>
                    <w:div w:id="1408502234">
                      <w:marLeft w:val="0"/>
                      <w:marRight w:val="0"/>
                      <w:marTop w:val="0"/>
                      <w:marBottom w:val="0"/>
                      <w:divBdr>
                        <w:top w:val="none" w:sz="0" w:space="0" w:color="auto"/>
                        <w:left w:val="none" w:sz="0" w:space="0" w:color="auto"/>
                        <w:bottom w:val="none" w:sz="0" w:space="0" w:color="auto"/>
                        <w:right w:val="none" w:sz="0" w:space="0" w:color="auto"/>
                      </w:divBdr>
                    </w:div>
                  </w:divsChild>
                </w:div>
                <w:div w:id="1781341358">
                  <w:marLeft w:val="0"/>
                  <w:marRight w:val="0"/>
                  <w:marTop w:val="0"/>
                  <w:marBottom w:val="0"/>
                  <w:divBdr>
                    <w:top w:val="none" w:sz="0" w:space="0" w:color="auto"/>
                    <w:left w:val="none" w:sz="0" w:space="0" w:color="auto"/>
                    <w:bottom w:val="none" w:sz="0" w:space="0" w:color="auto"/>
                    <w:right w:val="none" w:sz="0" w:space="0" w:color="auto"/>
                  </w:divBdr>
                  <w:divsChild>
                    <w:div w:id="1275940338">
                      <w:marLeft w:val="0"/>
                      <w:marRight w:val="0"/>
                      <w:marTop w:val="0"/>
                      <w:marBottom w:val="0"/>
                      <w:divBdr>
                        <w:top w:val="none" w:sz="0" w:space="0" w:color="auto"/>
                        <w:left w:val="none" w:sz="0" w:space="0" w:color="auto"/>
                        <w:bottom w:val="none" w:sz="0" w:space="0" w:color="auto"/>
                        <w:right w:val="none" w:sz="0" w:space="0" w:color="auto"/>
                      </w:divBdr>
                    </w:div>
                  </w:divsChild>
                </w:div>
                <w:div w:id="1988897587">
                  <w:marLeft w:val="0"/>
                  <w:marRight w:val="0"/>
                  <w:marTop w:val="0"/>
                  <w:marBottom w:val="0"/>
                  <w:divBdr>
                    <w:top w:val="none" w:sz="0" w:space="0" w:color="auto"/>
                    <w:left w:val="none" w:sz="0" w:space="0" w:color="auto"/>
                    <w:bottom w:val="none" w:sz="0" w:space="0" w:color="auto"/>
                    <w:right w:val="none" w:sz="0" w:space="0" w:color="auto"/>
                  </w:divBdr>
                  <w:divsChild>
                    <w:div w:id="1589733226">
                      <w:marLeft w:val="0"/>
                      <w:marRight w:val="0"/>
                      <w:marTop w:val="0"/>
                      <w:marBottom w:val="0"/>
                      <w:divBdr>
                        <w:top w:val="none" w:sz="0" w:space="0" w:color="auto"/>
                        <w:left w:val="none" w:sz="0" w:space="0" w:color="auto"/>
                        <w:bottom w:val="none" w:sz="0" w:space="0" w:color="auto"/>
                        <w:right w:val="none" w:sz="0" w:space="0" w:color="auto"/>
                      </w:divBdr>
                    </w:div>
                  </w:divsChild>
                </w:div>
                <w:div w:id="2023898165">
                  <w:marLeft w:val="0"/>
                  <w:marRight w:val="0"/>
                  <w:marTop w:val="0"/>
                  <w:marBottom w:val="0"/>
                  <w:divBdr>
                    <w:top w:val="none" w:sz="0" w:space="0" w:color="auto"/>
                    <w:left w:val="none" w:sz="0" w:space="0" w:color="auto"/>
                    <w:bottom w:val="none" w:sz="0" w:space="0" w:color="auto"/>
                    <w:right w:val="none" w:sz="0" w:space="0" w:color="auto"/>
                  </w:divBdr>
                  <w:divsChild>
                    <w:div w:id="1437365916">
                      <w:marLeft w:val="0"/>
                      <w:marRight w:val="0"/>
                      <w:marTop w:val="0"/>
                      <w:marBottom w:val="0"/>
                      <w:divBdr>
                        <w:top w:val="none" w:sz="0" w:space="0" w:color="auto"/>
                        <w:left w:val="none" w:sz="0" w:space="0" w:color="auto"/>
                        <w:bottom w:val="none" w:sz="0" w:space="0" w:color="auto"/>
                        <w:right w:val="none" w:sz="0" w:space="0" w:color="auto"/>
                      </w:divBdr>
                    </w:div>
                  </w:divsChild>
                </w:div>
                <w:div w:id="2034915876">
                  <w:marLeft w:val="0"/>
                  <w:marRight w:val="0"/>
                  <w:marTop w:val="0"/>
                  <w:marBottom w:val="0"/>
                  <w:divBdr>
                    <w:top w:val="none" w:sz="0" w:space="0" w:color="auto"/>
                    <w:left w:val="none" w:sz="0" w:space="0" w:color="auto"/>
                    <w:bottom w:val="none" w:sz="0" w:space="0" w:color="auto"/>
                    <w:right w:val="none" w:sz="0" w:space="0" w:color="auto"/>
                  </w:divBdr>
                  <w:divsChild>
                    <w:div w:id="1188907506">
                      <w:marLeft w:val="0"/>
                      <w:marRight w:val="0"/>
                      <w:marTop w:val="0"/>
                      <w:marBottom w:val="0"/>
                      <w:divBdr>
                        <w:top w:val="none" w:sz="0" w:space="0" w:color="auto"/>
                        <w:left w:val="none" w:sz="0" w:space="0" w:color="auto"/>
                        <w:bottom w:val="none" w:sz="0" w:space="0" w:color="auto"/>
                        <w:right w:val="none" w:sz="0" w:space="0" w:color="auto"/>
                      </w:divBdr>
                    </w:div>
                  </w:divsChild>
                </w:div>
                <w:div w:id="2067221907">
                  <w:marLeft w:val="0"/>
                  <w:marRight w:val="0"/>
                  <w:marTop w:val="0"/>
                  <w:marBottom w:val="0"/>
                  <w:divBdr>
                    <w:top w:val="none" w:sz="0" w:space="0" w:color="auto"/>
                    <w:left w:val="none" w:sz="0" w:space="0" w:color="auto"/>
                    <w:bottom w:val="none" w:sz="0" w:space="0" w:color="auto"/>
                    <w:right w:val="none" w:sz="0" w:space="0" w:color="auto"/>
                  </w:divBdr>
                  <w:divsChild>
                    <w:div w:id="1693846325">
                      <w:marLeft w:val="0"/>
                      <w:marRight w:val="0"/>
                      <w:marTop w:val="0"/>
                      <w:marBottom w:val="0"/>
                      <w:divBdr>
                        <w:top w:val="none" w:sz="0" w:space="0" w:color="auto"/>
                        <w:left w:val="none" w:sz="0" w:space="0" w:color="auto"/>
                        <w:bottom w:val="none" w:sz="0" w:space="0" w:color="auto"/>
                        <w:right w:val="none" w:sz="0" w:space="0" w:color="auto"/>
                      </w:divBdr>
                    </w:div>
                  </w:divsChild>
                </w:div>
                <w:div w:id="2086142853">
                  <w:marLeft w:val="0"/>
                  <w:marRight w:val="0"/>
                  <w:marTop w:val="0"/>
                  <w:marBottom w:val="0"/>
                  <w:divBdr>
                    <w:top w:val="none" w:sz="0" w:space="0" w:color="auto"/>
                    <w:left w:val="none" w:sz="0" w:space="0" w:color="auto"/>
                    <w:bottom w:val="none" w:sz="0" w:space="0" w:color="auto"/>
                    <w:right w:val="none" w:sz="0" w:space="0" w:color="auto"/>
                  </w:divBdr>
                  <w:divsChild>
                    <w:div w:id="1607927498">
                      <w:marLeft w:val="0"/>
                      <w:marRight w:val="0"/>
                      <w:marTop w:val="0"/>
                      <w:marBottom w:val="0"/>
                      <w:divBdr>
                        <w:top w:val="none" w:sz="0" w:space="0" w:color="auto"/>
                        <w:left w:val="none" w:sz="0" w:space="0" w:color="auto"/>
                        <w:bottom w:val="none" w:sz="0" w:space="0" w:color="auto"/>
                        <w:right w:val="none" w:sz="0" w:space="0" w:color="auto"/>
                      </w:divBdr>
                    </w:div>
                  </w:divsChild>
                </w:div>
                <w:div w:id="2133792074">
                  <w:marLeft w:val="0"/>
                  <w:marRight w:val="0"/>
                  <w:marTop w:val="0"/>
                  <w:marBottom w:val="0"/>
                  <w:divBdr>
                    <w:top w:val="none" w:sz="0" w:space="0" w:color="auto"/>
                    <w:left w:val="none" w:sz="0" w:space="0" w:color="auto"/>
                    <w:bottom w:val="none" w:sz="0" w:space="0" w:color="auto"/>
                    <w:right w:val="none" w:sz="0" w:space="0" w:color="auto"/>
                  </w:divBdr>
                  <w:divsChild>
                    <w:div w:id="748817435">
                      <w:marLeft w:val="0"/>
                      <w:marRight w:val="0"/>
                      <w:marTop w:val="0"/>
                      <w:marBottom w:val="0"/>
                      <w:divBdr>
                        <w:top w:val="none" w:sz="0" w:space="0" w:color="auto"/>
                        <w:left w:val="none" w:sz="0" w:space="0" w:color="auto"/>
                        <w:bottom w:val="none" w:sz="0" w:space="0" w:color="auto"/>
                        <w:right w:val="none" w:sz="0" w:space="0" w:color="auto"/>
                      </w:divBdr>
                    </w:div>
                    <w:div w:id="2053269084">
                      <w:marLeft w:val="0"/>
                      <w:marRight w:val="0"/>
                      <w:marTop w:val="0"/>
                      <w:marBottom w:val="0"/>
                      <w:divBdr>
                        <w:top w:val="none" w:sz="0" w:space="0" w:color="auto"/>
                        <w:left w:val="none" w:sz="0" w:space="0" w:color="auto"/>
                        <w:bottom w:val="none" w:sz="0" w:space="0" w:color="auto"/>
                        <w:right w:val="none" w:sz="0" w:space="0" w:color="auto"/>
                      </w:divBdr>
                    </w:div>
                  </w:divsChild>
                </w:div>
                <w:div w:id="2140949217">
                  <w:marLeft w:val="0"/>
                  <w:marRight w:val="0"/>
                  <w:marTop w:val="0"/>
                  <w:marBottom w:val="0"/>
                  <w:divBdr>
                    <w:top w:val="none" w:sz="0" w:space="0" w:color="auto"/>
                    <w:left w:val="none" w:sz="0" w:space="0" w:color="auto"/>
                    <w:bottom w:val="none" w:sz="0" w:space="0" w:color="auto"/>
                    <w:right w:val="none" w:sz="0" w:space="0" w:color="auto"/>
                  </w:divBdr>
                  <w:divsChild>
                    <w:div w:id="1370763297">
                      <w:marLeft w:val="0"/>
                      <w:marRight w:val="0"/>
                      <w:marTop w:val="0"/>
                      <w:marBottom w:val="0"/>
                      <w:divBdr>
                        <w:top w:val="none" w:sz="0" w:space="0" w:color="auto"/>
                        <w:left w:val="none" w:sz="0" w:space="0" w:color="auto"/>
                        <w:bottom w:val="none" w:sz="0" w:space="0" w:color="auto"/>
                        <w:right w:val="none" w:sz="0" w:space="0" w:color="auto"/>
                      </w:divBdr>
                    </w:div>
                  </w:divsChild>
                </w:div>
                <w:div w:id="2144106396">
                  <w:marLeft w:val="0"/>
                  <w:marRight w:val="0"/>
                  <w:marTop w:val="0"/>
                  <w:marBottom w:val="0"/>
                  <w:divBdr>
                    <w:top w:val="none" w:sz="0" w:space="0" w:color="auto"/>
                    <w:left w:val="none" w:sz="0" w:space="0" w:color="auto"/>
                    <w:bottom w:val="none" w:sz="0" w:space="0" w:color="auto"/>
                    <w:right w:val="none" w:sz="0" w:space="0" w:color="auto"/>
                  </w:divBdr>
                  <w:divsChild>
                    <w:div w:id="820999255">
                      <w:marLeft w:val="0"/>
                      <w:marRight w:val="0"/>
                      <w:marTop w:val="0"/>
                      <w:marBottom w:val="0"/>
                      <w:divBdr>
                        <w:top w:val="none" w:sz="0" w:space="0" w:color="auto"/>
                        <w:left w:val="none" w:sz="0" w:space="0" w:color="auto"/>
                        <w:bottom w:val="none" w:sz="0" w:space="0" w:color="auto"/>
                        <w:right w:val="none" w:sz="0" w:space="0" w:color="auto"/>
                      </w:divBdr>
                    </w:div>
                    <w:div w:id="1320577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734446">
          <w:marLeft w:val="0"/>
          <w:marRight w:val="0"/>
          <w:marTop w:val="0"/>
          <w:marBottom w:val="0"/>
          <w:divBdr>
            <w:top w:val="none" w:sz="0" w:space="0" w:color="auto"/>
            <w:left w:val="none" w:sz="0" w:space="0" w:color="auto"/>
            <w:bottom w:val="none" w:sz="0" w:space="0" w:color="auto"/>
            <w:right w:val="none" w:sz="0" w:space="0" w:color="auto"/>
          </w:divBdr>
        </w:div>
      </w:divsChild>
    </w:div>
    <w:div w:id="1792480617">
      <w:bodyDiv w:val="1"/>
      <w:marLeft w:val="0"/>
      <w:marRight w:val="0"/>
      <w:marTop w:val="0"/>
      <w:marBottom w:val="0"/>
      <w:divBdr>
        <w:top w:val="none" w:sz="0" w:space="0" w:color="auto"/>
        <w:left w:val="none" w:sz="0" w:space="0" w:color="auto"/>
        <w:bottom w:val="none" w:sz="0" w:space="0" w:color="auto"/>
        <w:right w:val="none" w:sz="0" w:space="0" w:color="auto"/>
      </w:divBdr>
    </w:div>
    <w:div w:id="1823080796">
      <w:bodyDiv w:val="1"/>
      <w:marLeft w:val="0"/>
      <w:marRight w:val="0"/>
      <w:marTop w:val="0"/>
      <w:marBottom w:val="0"/>
      <w:divBdr>
        <w:top w:val="none" w:sz="0" w:space="0" w:color="auto"/>
        <w:left w:val="none" w:sz="0" w:space="0" w:color="auto"/>
        <w:bottom w:val="none" w:sz="0" w:space="0" w:color="auto"/>
        <w:right w:val="none" w:sz="0" w:space="0" w:color="auto"/>
      </w:divBdr>
    </w:div>
    <w:div w:id="1842623313">
      <w:bodyDiv w:val="1"/>
      <w:marLeft w:val="0"/>
      <w:marRight w:val="0"/>
      <w:marTop w:val="0"/>
      <w:marBottom w:val="0"/>
      <w:divBdr>
        <w:top w:val="none" w:sz="0" w:space="0" w:color="auto"/>
        <w:left w:val="none" w:sz="0" w:space="0" w:color="auto"/>
        <w:bottom w:val="none" w:sz="0" w:space="0" w:color="auto"/>
        <w:right w:val="none" w:sz="0" w:space="0" w:color="auto"/>
      </w:divBdr>
    </w:div>
    <w:div w:id="1872843664">
      <w:bodyDiv w:val="1"/>
      <w:marLeft w:val="0"/>
      <w:marRight w:val="0"/>
      <w:marTop w:val="0"/>
      <w:marBottom w:val="0"/>
      <w:divBdr>
        <w:top w:val="none" w:sz="0" w:space="0" w:color="auto"/>
        <w:left w:val="none" w:sz="0" w:space="0" w:color="auto"/>
        <w:bottom w:val="none" w:sz="0" w:space="0" w:color="auto"/>
        <w:right w:val="none" w:sz="0" w:space="0" w:color="auto"/>
      </w:divBdr>
      <w:divsChild>
        <w:div w:id="368995832">
          <w:marLeft w:val="0"/>
          <w:marRight w:val="0"/>
          <w:marTop w:val="0"/>
          <w:marBottom w:val="0"/>
          <w:divBdr>
            <w:top w:val="none" w:sz="0" w:space="0" w:color="auto"/>
            <w:left w:val="none" w:sz="0" w:space="0" w:color="auto"/>
            <w:bottom w:val="none" w:sz="0" w:space="0" w:color="auto"/>
            <w:right w:val="none" w:sz="0" w:space="0" w:color="auto"/>
          </w:divBdr>
        </w:div>
        <w:div w:id="989209362">
          <w:marLeft w:val="0"/>
          <w:marRight w:val="0"/>
          <w:marTop w:val="0"/>
          <w:marBottom w:val="0"/>
          <w:divBdr>
            <w:top w:val="none" w:sz="0" w:space="0" w:color="auto"/>
            <w:left w:val="none" w:sz="0" w:space="0" w:color="auto"/>
            <w:bottom w:val="none" w:sz="0" w:space="0" w:color="auto"/>
            <w:right w:val="none" w:sz="0" w:space="0" w:color="auto"/>
          </w:divBdr>
        </w:div>
        <w:div w:id="1336804219">
          <w:marLeft w:val="0"/>
          <w:marRight w:val="0"/>
          <w:marTop w:val="0"/>
          <w:marBottom w:val="0"/>
          <w:divBdr>
            <w:top w:val="none" w:sz="0" w:space="0" w:color="auto"/>
            <w:left w:val="none" w:sz="0" w:space="0" w:color="auto"/>
            <w:bottom w:val="none" w:sz="0" w:space="0" w:color="auto"/>
            <w:right w:val="none" w:sz="0" w:space="0" w:color="auto"/>
          </w:divBdr>
        </w:div>
        <w:div w:id="1900902477">
          <w:marLeft w:val="0"/>
          <w:marRight w:val="0"/>
          <w:marTop w:val="0"/>
          <w:marBottom w:val="0"/>
          <w:divBdr>
            <w:top w:val="none" w:sz="0" w:space="0" w:color="auto"/>
            <w:left w:val="none" w:sz="0" w:space="0" w:color="auto"/>
            <w:bottom w:val="none" w:sz="0" w:space="0" w:color="auto"/>
            <w:right w:val="none" w:sz="0" w:space="0" w:color="auto"/>
          </w:divBdr>
        </w:div>
        <w:div w:id="2037153309">
          <w:marLeft w:val="0"/>
          <w:marRight w:val="0"/>
          <w:marTop w:val="0"/>
          <w:marBottom w:val="0"/>
          <w:divBdr>
            <w:top w:val="none" w:sz="0" w:space="0" w:color="auto"/>
            <w:left w:val="none" w:sz="0" w:space="0" w:color="auto"/>
            <w:bottom w:val="none" w:sz="0" w:space="0" w:color="auto"/>
            <w:right w:val="none" w:sz="0" w:space="0" w:color="auto"/>
          </w:divBdr>
        </w:div>
      </w:divsChild>
    </w:div>
    <w:div w:id="1876116322">
      <w:bodyDiv w:val="1"/>
      <w:marLeft w:val="0"/>
      <w:marRight w:val="0"/>
      <w:marTop w:val="0"/>
      <w:marBottom w:val="0"/>
      <w:divBdr>
        <w:top w:val="none" w:sz="0" w:space="0" w:color="auto"/>
        <w:left w:val="none" w:sz="0" w:space="0" w:color="auto"/>
        <w:bottom w:val="none" w:sz="0" w:space="0" w:color="auto"/>
        <w:right w:val="none" w:sz="0" w:space="0" w:color="auto"/>
      </w:divBdr>
    </w:div>
    <w:div w:id="1955012677">
      <w:bodyDiv w:val="1"/>
      <w:marLeft w:val="0"/>
      <w:marRight w:val="0"/>
      <w:marTop w:val="0"/>
      <w:marBottom w:val="0"/>
      <w:divBdr>
        <w:top w:val="none" w:sz="0" w:space="0" w:color="auto"/>
        <w:left w:val="none" w:sz="0" w:space="0" w:color="auto"/>
        <w:bottom w:val="none" w:sz="0" w:space="0" w:color="auto"/>
        <w:right w:val="none" w:sz="0" w:space="0" w:color="auto"/>
      </w:divBdr>
    </w:div>
    <w:div w:id="1962033732">
      <w:bodyDiv w:val="1"/>
      <w:marLeft w:val="0"/>
      <w:marRight w:val="0"/>
      <w:marTop w:val="0"/>
      <w:marBottom w:val="0"/>
      <w:divBdr>
        <w:top w:val="none" w:sz="0" w:space="0" w:color="auto"/>
        <w:left w:val="none" w:sz="0" w:space="0" w:color="auto"/>
        <w:bottom w:val="none" w:sz="0" w:space="0" w:color="auto"/>
        <w:right w:val="none" w:sz="0" w:space="0" w:color="auto"/>
      </w:divBdr>
    </w:div>
    <w:div w:id="1963145690">
      <w:bodyDiv w:val="1"/>
      <w:marLeft w:val="0"/>
      <w:marRight w:val="0"/>
      <w:marTop w:val="0"/>
      <w:marBottom w:val="0"/>
      <w:divBdr>
        <w:top w:val="none" w:sz="0" w:space="0" w:color="auto"/>
        <w:left w:val="none" w:sz="0" w:space="0" w:color="auto"/>
        <w:bottom w:val="none" w:sz="0" w:space="0" w:color="auto"/>
        <w:right w:val="none" w:sz="0" w:space="0" w:color="auto"/>
      </w:divBdr>
    </w:div>
    <w:div w:id="1972634575">
      <w:bodyDiv w:val="1"/>
      <w:marLeft w:val="0"/>
      <w:marRight w:val="0"/>
      <w:marTop w:val="0"/>
      <w:marBottom w:val="0"/>
      <w:divBdr>
        <w:top w:val="none" w:sz="0" w:space="0" w:color="auto"/>
        <w:left w:val="none" w:sz="0" w:space="0" w:color="auto"/>
        <w:bottom w:val="none" w:sz="0" w:space="0" w:color="auto"/>
        <w:right w:val="none" w:sz="0" w:space="0" w:color="auto"/>
      </w:divBdr>
    </w:div>
    <w:div w:id="2026900083">
      <w:bodyDiv w:val="1"/>
      <w:marLeft w:val="0"/>
      <w:marRight w:val="0"/>
      <w:marTop w:val="0"/>
      <w:marBottom w:val="0"/>
      <w:divBdr>
        <w:top w:val="none" w:sz="0" w:space="0" w:color="auto"/>
        <w:left w:val="none" w:sz="0" w:space="0" w:color="auto"/>
        <w:bottom w:val="none" w:sz="0" w:space="0" w:color="auto"/>
        <w:right w:val="none" w:sz="0" w:space="0" w:color="auto"/>
      </w:divBdr>
    </w:div>
    <w:div w:id="2034569710">
      <w:bodyDiv w:val="1"/>
      <w:marLeft w:val="0"/>
      <w:marRight w:val="0"/>
      <w:marTop w:val="0"/>
      <w:marBottom w:val="0"/>
      <w:divBdr>
        <w:top w:val="none" w:sz="0" w:space="0" w:color="auto"/>
        <w:left w:val="none" w:sz="0" w:space="0" w:color="auto"/>
        <w:bottom w:val="none" w:sz="0" w:space="0" w:color="auto"/>
        <w:right w:val="none" w:sz="0" w:space="0" w:color="auto"/>
      </w:divBdr>
    </w:div>
    <w:div w:id="2088844693">
      <w:bodyDiv w:val="1"/>
      <w:marLeft w:val="0"/>
      <w:marRight w:val="0"/>
      <w:marTop w:val="0"/>
      <w:marBottom w:val="0"/>
      <w:divBdr>
        <w:top w:val="none" w:sz="0" w:space="0" w:color="auto"/>
        <w:left w:val="none" w:sz="0" w:space="0" w:color="auto"/>
        <w:bottom w:val="none" w:sz="0" w:space="0" w:color="auto"/>
        <w:right w:val="none" w:sz="0" w:space="0" w:color="auto"/>
      </w:divBdr>
    </w:div>
    <w:div w:id="20990534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footer" Target="footer3.xml"/><Relationship Id="rId42" Type="http://schemas.openxmlformats.org/officeDocument/2006/relationships/image" Target="media/image23.png"/><Relationship Id="rId63" Type="http://schemas.openxmlformats.org/officeDocument/2006/relationships/image" Target="media/image44.png"/><Relationship Id="rId84" Type="http://schemas.openxmlformats.org/officeDocument/2006/relationships/image" Target="media/image62.png"/><Relationship Id="rId138" Type="http://schemas.openxmlformats.org/officeDocument/2006/relationships/image" Target="media/image100.png"/><Relationship Id="rId159" Type="http://schemas.openxmlformats.org/officeDocument/2006/relationships/image" Target="media/image119.png"/><Relationship Id="rId170" Type="http://schemas.openxmlformats.org/officeDocument/2006/relationships/image" Target="media/image130.svg"/><Relationship Id="rId107" Type="http://schemas.openxmlformats.org/officeDocument/2006/relationships/chart" Target="charts/chart4.xml"/><Relationship Id="rId11" Type="http://schemas.openxmlformats.org/officeDocument/2006/relationships/endnotes" Target="endnotes.xml"/><Relationship Id="rId32" Type="http://schemas.openxmlformats.org/officeDocument/2006/relationships/image" Target="media/image13.jpeg"/><Relationship Id="rId53" Type="http://schemas.openxmlformats.org/officeDocument/2006/relationships/image" Target="media/image34.svg"/><Relationship Id="rId74" Type="http://schemas.openxmlformats.org/officeDocument/2006/relationships/image" Target="media/image55.svg"/><Relationship Id="rId128" Type="http://schemas.openxmlformats.org/officeDocument/2006/relationships/image" Target="media/image94.jpeg"/><Relationship Id="rId149" Type="http://schemas.openxmlformats.org/officeDocument/2006/relationships/image" Target="media/image110.svg"/><Relationship Id="rId5" Type="http://schemas.openxmlformats.org/officeDocument/2006/relationships/customXml" Target="../customXml/item5.xml"/><Relationship Id="rId95" Type="http://schemas.openxmlformats.org/officeDocument/2006/relationships/image" Target="media/image71.jpeg"/><Relationship Id="rId160" Type="http://schemas.openxmlformats.org/officeDocument/2006/relationships/image" Target="media/image120.svg"/><Relationship Id="rId22" Type="http://schemas.openxmlformats.org/officeDocument/2006/relationships/footer" Target="footer4.xml"/><Relationship Id="rId43" Type="http://schemas.openxmlformats.org/officeDocument/2006/relationships/image" Target="media/image24.jpeg"/><Relationship Id="rId64" Type="http://schemas.openxmlformats.org/officeDocument/2006/relationships/image" Target="media/image45.svg"/><Relationship Id="rId118" Type="http://schemas.openxmlformats.org/officeDocument/2006/relationships/image" Target="media/image84.svg"/><Relationship Id="rId139" Type="http://schemas.openxmlformats.org/officeDocument/2006/relationships/image" Target="media/image101.svg"/><Relationship Id="rId85" Type="http://schemas.openxmlformats.org/officeDocument/2006/relationships/image" Target="media/image63.png"/><Relationship Id="rId150" Type="http://schemas.openxmlformats.org/officeDocument/2006/relationships/hyperlink" Target="https://cms.aip-prisma.or.id/uploaded_file/Market_Brief_Disability_Inclusion_web.pdf" TargetMode="External"/><Relationship Id="rId171" Type="http://schemas.openxmlformats.org/officeDocument/2006/relationships/image" Target="media/image131.png"/><Relationship Id="rId12" Type="http://schemas.openxmlformats.org/officeDocument/2006/relationships/image" Target="media/image1.png"/><Relationship Id="rId33" Type="http://schemas.openxmlformats.org/officeDocument/2006/relationships/image" Target="media/image14.jpeg"/><Relationship Id="rId108" Type="http://schemas.openxmlformats.org/officeDocument/2006/relationships/chart" Target="charts/chart5.xml"/><Relationship Id="rId129" Type="http://schemas.openxmlformats.org/officeDocument/2006/relationships/hyperlink" Target="https://www.linkedin.com/feed/hashtag/?keywords=smallholder&amp;highlightedUpdateUrns=urn%3Ali%3Aactivity%3A7205841355909074944" TargetMode="External"/><Relationship Id="rId54" Type="http://schemas.openxmlformats.org/officeDocument/2006/relationships/image" Target="media/image35.png"/><Relationship Id="rId75" Type="http://schemas.openxmlformats.org/officeDocument/2006/relationships/image" Target="media/image56.png"/><Relationship Id="rId96" Type="http://schemas.openxmlformats.org/officeDocument/2006/relationships/image" Target="media/image72.png"/><Relationship Id="rId140" Type="http://schemas.openxmlformats.org/officeDocument/2006/relationships/image" Target="media/image102.jpg"/><Relationship Id="rId161" Type="http://schemas.openxmlformats.org/officeDocument/2006/relationships/image" Target="media/image121.png"/><Relationship Id="rId6" Type="http://schemas.openxmlformats.org/officeDocument/2006/relationships/numbering" Target="numbering.xml"/><Relationship Id="rId23" Type="http://schemas.openxmlformats.org/officeDocument/2006/relationships/image" Target="media/image5.jpeg"/><Relationship Id="rId28" Type="http://schemas.openxmlformats.org/officeDocument/2006/relationships/image" Target="media/image9.jpg"/><Relationship Id="rId49" Type="http://schemas.openxmlformats.org/officeDocument/2006/relationships/image" Target="media/image30.jpeg"/><Relationship Id="rId114" Type="http://schemas.openxmlformats.org/officeDocument/2006/relationships/image" Target="media/image80.svg"/><Relationship Id="rId119" Type="http://schemas.openxmlformats.org/officeDocument/2006/relationships/image" Target="media/image85.png"/><Relationship Id="rId44" Type="http://schemas.openxmlformats.org/officeDocument/2006/relationships/image" Target="media/image25.png"/><Relationship Id="rId60" Type="http://schemas.openxmlformats.org/officeDocument/2006/relationships/image" Target="media/image41.svg"/><Relationship Id="rId65" Type="http://schemas.openxmlformats.org/officeDocument/2006/relationships/image" Target="media/image46.png"/><Relationship Id="rId81" Type="http://schemas.openxmlformats.org/officeDocument/2006/relationships/footer" Target="footer5.xml"/><Relationship Id="rId86" Type="http://schemas.openxmlformats.org/officeDocument/2006/relationships/image" Target="media/image64.svg"/><Relationship Id="rId130" Type="http://schemas.openxmlformats.org/officeDocument/2006/relationships/hyperlink" Target="https://www.linkedin.com/feed/hashtag/?keywords=feed&amp;highlightedUpdateUrns=urn%3Ali%3Aactivity%3A7205841355909074944" TargetMode="External"/><Relationship Id="rId135" Type="http://schemas.openxmlformats.org/officeDocument/2006/relationships/image" Target="media/image99.jpeg"/><Relationship Id="rId151" Type="http://schemas.openxmlformats.org/officeDocument/2006/relationships/image" Target="media/image111.png"/><Relationship Id="rId156" Type="http://schemas.openxmlformats.org/officeDocument/2006/relationships/image" Target="media/image116.svg"/><Relationship Id="rId177" Type="http://schemas.openxmlformats.org/officeDocument/2006/relationships/fontTable" Target="fontTable.xml"/><Relationship Id="rId172" Type="http://schemas.openxmlformats.org/officeDocument/2006/relationships/image" Target="media/image132.svg"/><Relationship Id="rId13" Type="http://schemas.openxmlformats.org/officeDocument/2006/relationships/image" Target="media/image2.svg"/><Relationship Id="rId18" Type="http://schemas.openxmlformats.org/officeDocument/2006/relationships/footer" Target="footer1.xml"/><Relationship Id="rId39" Type="http://schemas.openxmlformats.org/officeDocument/2006/relationships/image" Target="media/image20.svg"/><Relationship Id="rId109" Type="http://schemas.openxmlformats.org/officeDocument/2006/relationships/image" Target="media/image75.pn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svg"/><Relationship Id="rId76" Type="http://schemas.openxmlformats.org/officeDocument/2006/relationships/image" Target="media/image57.svg"/><Relationship Id="rId97" Type="http://schemas.openxmlformats.org/officeDocument/2006/relationships/image" Target="media/image73.jpg"/><Relationship Id="rId104" Type="http://schemas.openxmlformats.org/officeDocument/2006/relationships/chart" Target="charts/chart2.xml"/><Relationship Id="rId120" Type="http://schemas.openxmlformats.org/officeDocument/2006/relationships/image" Target="media/image86.svg"/><Relationship Id="rId125" Type="http://schemas.openxmlformats.org/officeDocument/2006/relationships/image" Target="media/image91.jpeg"/><Relationship Id="rId141" Type="http://schemas.openxmlformats.org/officeDocument/2006/relationships/image" Target="media/image103.jpg"/><Relationship Id="rId146" Type="http://schemas.openxmlformats.org/officeDocument/2006/relationships/image" Target="media/image107.png"/><Relationship Id="rId167" Type="http://schemas.openxmlformats.org/officeDocument/2006/relationships/image" Target="media/image127.png"/><Relationship Id="rId7" Type="http://schemas.openxmlformats.org/officeDocument/2006/relationships/styles" Target="styles.xml"/><Relationship Id="rId71" Type="http://schemas.openxmlformats.org/officeDocument/2006/relationships/image" Target="media/image52.png"/><Relationship Id="rId92" Type="http://schemas.openxmlformats.org/officeDocument/2006/relationships/image" Target="media/image69.png"/><Relationship Id="rId162" Type="http://schemas.openxmlformats.org/officeDocument/2006/relationships/image" Target="media/image122.svg"/><Relationship Id="rId2" Type="http://schemas.openxmlformats.org/officeDocument/2006/relationships/customXml" Target="../customXml/item2.xml"/><Relationship Id="rId29" Type="http://schemas.openxmlformats.org/officeDocument/2006/relationships/image" Target="media/image10.jpg"/><Relationship Id="rId24" Type="http://schemas.openxmlformats.org/officeDocument/2006/relationships/chart" Target="charts/chart1.xml"/><Relationship Id="rId40" Type="http://schemas.openxmlformats.org/officeDocument/2006/relationships/image" Target="media/image21.png"/><Relationship Id="rId45" Type="http://schemas.openxmlformats.org/officeDocument/2006/relationships/image" Target="media/image26.svg"/><Relationship Id="rId66" Type="http://schemas.openxmlformats.org/officeDocument/2006/relationships/image" Target="media/image47.svg"/><Relationship Id="rId87" Type="http://schemas.openxmlformats.org/officeDocument/2006/relationships/image" Target="media/image65.png"/><Relationship Id="rId110" Type="http://schemas.openxmlformats.org/officeDocument/2006/relationships/image" Target="media/image76.svg"/><Relationship Id="rId115" Type="http://schemas.openxmlformats.org/officeDocument/2006/relationships/image" Target="media/image81.png"/><Relationship Id="rId131" Type="http://schemas.openxmlformats.org/officeDocument/2006/relationships/image" Target="media/image95.jpeg"/><Relationship Id="rId136" Type="http://schemas.openxmlformats.org/officeDocument/2006/relationships/hyperlink" Target="https://cms.aip-prisma.or.id/uploaded_file/PRISMA_Accessibility_Guideline_EN_-_print_ver.pdf" TargetMode="External"/><Relationship Id="rId157" Type="http://schemas.openxmlformats.org/officeDocument/2006/relationships/image" Target="media/image117.png"/><Relationship Id="rId178" Type="http://schemas.openxmlformats.org/officeDocument/2006/relationships/theme" Target="theme/theme1.xml"/><Relationship Id="rId61" Type="http://schemas.openxmlformats.org/officeDocument/2006/relationships/image" Target="media/image42.png"/><Relationship Id="rId82" Type="http://schemas.openxmlformats.org/officeDocument/2006/relationships/header" Target="header4.xml"/><Relationship Id="rId152" Type="http://schemas.openxmlformats.org/officeDocument/2006/relationships/image" Target="media/image112.svg"/><Relationship Id="rId173" Type="http://schemas.openxmlformats.org/officeDocument/2006/relationships/image" Target="media/image133.png"/><Relationship Id="rId19" Type="http://schemas.openxmlformats.org/officeDocument/2006/relationships/footer" Target="footer2.xml"/><Relationship Id="rId14" Type="http://schemas.openxmlformats.org/officeDocument/2006/relationships/image" Target="media/image3.emf"/><Relationship Id="rId30" Type="http://schemas.openxmlformats.org/officeDocument/2006/relationships/image" Target="media/image11.png"/><Relationship Id="rId35" Type="http://schemas.openxmlformats.org/officeDocument/2006/relationships/image" Target="media/image16.sv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footer" Target="footer7.xml"/><Relationship Id="rId105" Type="http://schemas.openxmlformats.org/officeDocument/2006/relationships/image" Target="media/image74.png"/><Relationship Id="rId126" Type="http://schemas.openxmlformats.org/officeDocument/2006/relationships/image" Target="media/image92.jpeg"/><Relationship Id="rId147" Type="http://schemas.openxmlformats.org/officeDocument/2006/relationships/image" Target="media/image108.png"/><Relationship Id="rId168" Type="http://schemas.openxmlformats.org/officeDocument/2006/relationships/image" Target="media/image128.svg"/><Relationship Id="rId8" Type="http://schemas.openxmlformats.org/officeDocument/2006/relationships/settings" Target="settings.xml"/><Relationship Id="rId51" Type="http://schemas.openxmlformats.org/officeDocument/2006/relationships/image" Target="media/image32.svg"/><Relationship Id="rId72" Type="http://schemas.openxmlformats.org/officeDocument/2006/relationships/image" Target="media/image53.svg"/><Relationship Id="rId93" Type="http://schemas.openxmlformats.org/officeDocument/2006/relationships/hyperlink" Target="https://cms.aip-prisma.or.id/uploaded_file/PRISMA_booklet_Agribusiness_(A5)_Eng.pdf" TargetMode="External"/><Relationship Id="rId98" Type="http://schemas.openxmlformats.org/officeDocument/2006/relationships/header" Target="header5.xml"/><Relationship Id="rId121" Type="http://schemas.openxmlformats.org/officeDocument/2006/relationships/image" Target="media/image87.png"/><Relationship Id="rId142" Type="http://schemas.openxmlformats.org/officeDocument/2006/relationships/image" Target="media/image104.jpg"/><Relationship Id="rId163" Type="http://schemas.openxmlformats.org/officeDocument/2006/relationships/image" Target="media/image123.png"/><Relationship Id="rId3" Type="http://schemas.openxmlformats.org/officeDocument/2006/relationships/customXml" Target="../customXml/item3.xml"/><Relationship Id="rId25" Type="http://schemas.openxmlformats.org/officeDocument/2006/relationships/image" Target="media/image6.png"/><Relationship Id="rId46" Type="http://schemas.openxmlformats.org/officeDocument/2006/relationships/image" Target="media/image27.png"/><Relationship Id="rId67" Type="http://schemas.openxmlformats.org/officeDocument/2006/relationships/image" Target="media/image48.jpeg"/><Relationship Id="rId116" Type="http://schemas.openxmlformats.org/officeDocument/2006/relationships/image" Target="media/image82.svg"/><Relationship Id="rId137" Type="http://schemas.openxmlformats.org/officeDocument/2006/relationships/hyperlink" Target="https://www.aip-prisma.or.id/en/web-news/DisabilityInclusion" TargetMode="External"/><Relationship Id="rId158" Type="http://schemas.openxmlformats.org/officeDocument/2006/relationships/image" Target="media/image118.svg"/><Relationship Id="rId20" Type="http://schemas.openxmlformats.org/officeDocument/2006/relationships/header" Target="header3.xml"/><Relationship Id="rId41" Type="http://schemas.openxmlformats.org/officeDocument/2006/relationships/image" Target="media/image22.svg"/><Relationship Id="rId62" Type="http://schemas.openxmlformats.org/officeDocument/2006/relationships/image" Target="media/image43.svg"/><Relationship Id="rId83" Type="http://schemas.openxmlformats.org/officeDocument/2006/relationships/footer" Target="footer6.xml"/><Relationship Id="rId88" Type="http://schemas.openxmlformats.org/officeDocument/2006/relationships/image" Target="media/image66.svg"/><Relationship Id="rId111" Type="http://schemas.openxmlformats.org/officeDocument/2006/relationships/image" Target="media/image77.png"/><Relationship Id="rId132" Type="http://schemas.openxmlformats.org/officeDocument/2006/relationships/image" Target="media/image96.png"/><Relationship Id="rId153" Type="http://schemas.openxmlformats.org/officeDocument/2006/relationships/image" Target="media/image113.png"/><Relationship Id="rId174" Type="http://schemas.openxmlformats.org/officeDocument/2006/relationships/image" Target="media/image134.svg"/><Relationship Id="rId15" Type="http://schemas.openxmlformats.org/officeDocument/2006/relationships/image" Target="media/image4.png"/><Relationship Id="rId36" Type="http://schemas.openxmlformats.org/officeDocument/2006/relationships/image" Target="media/image17.png"/><Relationship Id="rId57" Type="http://schemas.openxmlformats.org/officeDocument/2006/relationships/image" Target="media/image38.svg"/><Relationship Id="rId106" Type="http://schemas.openxmlformats.org/officeDocument/2006/relationships/chart" Target="charts/chart3.xml"/><Relationship Id="rId127" Type="http://schemas.openxmlformats.org/officeDocument/2006/relationships/image" Target="media/image93.jpeg"/><Relationship Id="rId10" Type="http://schemas.openxmlformats.org/officeDocument/2006/relationships/footnotes" Target="footnotes.xml"/><Relationship Id="rId31" Type="http://schemas.openxmlformats.org/officeDocument/2006/relationships/image" Target="media/image12.svg"/><Relationship Id="rId52" Type="http://schemas.openxmlformats.org/officeDocument/2006/relationships/image" Target="media/image33.png"/><Relationship Id="rId73" Type="http://schemas.openxmlformats.org/officeDocument/2006/relationships/image" Target="media/image54.png"/><Relationship Id="rId78" Type="http://schemas.openxmlformats.org/officeDocument/2006/relationships/image" Target="media/image59.svg"/><Relationship Id="rId94" Type="http://schemas.openxmlformats.org/officeDocument/2006/relationships/image" Target="media/image70.png"/><Relationship Id="rId99" Type="http://schemas.openxmlformats.org/officeDocument/2006/relationships/header" Target="header6.xml"/><Relationship Id="rId101" Type="http://schemas.openxmlformats.org/officeDocument/2006/relationships/footer" Target="footer8.xml"/><Relationship Id="rId122" Type="http://schemas.openxmlformats.org/officeDocument/2006/relationships/image" Target="media/image88.svg"/><Relationship Id="rId143" Type="http://schemas.openxmlformats.org/officeDocument/2006/relationships/image" Target="media/image105.JPG"/><Relationship Id="rId148" Type="http://schemas.openxmlformats.org/officeDocument/2006/relationships/image" Target="media/image109.png"/><Relationship Id="rId164" Type="http://schemas.openxmlformats.org/officeDocument/2006/relationships/image" Target="media/image124.svg"/><Relationship Id="rId169" Type="http://schemas.openxmlformats.org/officeDocument/2006/relationships/image" Target="media/image129.png"/><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7.jpg"/><Relationship Id="rId47" Type="http://schemas.openxmlformats.org/officeDocument/2006/relationships/image" Target="media/image28.svg"/><Relationship Id="rId68" Type="http://schemas.openxmlformats.org/officeDocument/2006/relationships/image" Target="media/image49.jpeg"/><Relationship Id="rId89" Type="http://schemas.openxmlformats.org/officeDocument/2006/relationships/image" Target="media/image67.jpeg"/><Relationship Id="rId112" Type="http://schemas.openxmlformats.org/officeDocument/2006/relationships/image" Target="media/image78.svg"/><Relationship Id="rId133" Type="http://schemas.openxmlformats.org/officeDocument/2006/relationships/image" Target="media/image97.jpg"/><Relationship Id="rId154" Type="http://schemas.openxmlformats.org/officeDocument/2006/relationships/image" Target="media/image114.svg"/><Relationship Id="rId175" Type="http://schemas.openxmlformats.org/officeDocument/2006/relationships/image" Target="media/image135.png"/><Relationship Id="rId16" Type="http://schemas.openxmlformats.org/officeDocument/2006/relationships/header" Target="header1.xml"/><Relationship Id="rId37" Type="http://schemas.openxmlformats.org/officeDocument/2006/relationships/image" Target="media/image18.svg"/><Relationship Id="rId58" Type="http://schemas.openxmlformats.org/officeDocument/2006/relationships/image" Target="media/image39.png"/><Relationship Id="rId79" Type="http://schemas.openxmlformats.org/officeDocument/2006/relationships/image" Target="media/image60.png"/><Relationship Id="rId102" Type="http://schemas.openxmlformats.org/officeDocument/2006/relationships/header" Target="header7.xml"/><Relationship Id="rId123" Type="http://schemas.openxmlformats.org/officeDocument/2006/relationships/image" Target="media/image89.png"/><Relationship Id="rId144" Type="http://schemas.openxmlformats.org/officeDocument/2006/relationships/image" Target="media/image106.jpg"/><Relationship Id="rId90" Type="http://schemas.openxmlformats.org/officeDocument/2006/relationships/image" Target="media/image68.jpeg"/><Relationship Id="rId165" Type="http://schemas.openxmlformats.org/officeDocument/2006/relationships/image" Target="media/image125.png"/><Relationship Id="rId27" Type="http://schemas.openxmlformats.org/officeDocument/2006/relationships/image" Target="media/image8.jpg"/><Relationship Id="rId48" Type="http://schemas.openxmlformats.org/officeDocument/2006/relationships/image" Target="media/image29.jpeg"/><Relationship Id="rId69" Type="http://schemas.openxmlformats.org/officeDocument/2006/relationships/image" Target="media/image50.png"/><Relationship Id="rId113" Type="http://schemas.openxmlformats.org/officeDocument/2006/relationships/image" Target="media/image79.png"/><Relationship Id="rId134" Type="http://schemas.openxmlformats.org/officeDocument/2006/relationships/image" Target="media/image98.jpeg"/><Relationship Id="rId80" Type="http://schemas.openxmlformats.org/officeDocument/2006/relationships/image" Target="media/image61.svg"/><Relationship Id="rId155" Type="http://schemas.openxmlformats.org/officeDocument/2006/relationships/image" Target="media/image115.png"/><Relationship Id="rId176" Type="http://schemas.openxmlformats.org/officeDocument/2006/relationships/image" Target="media/image136.svg"/><Relationship Id="rId17" Type="http://schemas.openxmlformats.org/officeDocument/2006/relationships/header" Target="header2.xml"/><Relationship Id="rId38" Type="http://schemas.openxmlformats.org/officeDocument/2006/relationships/image" Target="media/image19.png"/><Relationship Id="rId59" Type="http://schemas.openxmlformats.org/officeDocument/2006/relationships/image" Target="media/image40.png"/><Relationship Id="rId103" Type="http://schemas.openxmlformats.org/officeDocument/2006/relationships/footer" Target="footer9.xml"/><Relationship Id="rId124" Type="http://schemas.openxmlformats.org/officeDocument/2006/relationships/image" Target="media/image90.jpeg"/><Relationship Id="rId70" Type="http://schemas.openxmlformats.org/officeDocument/2006/relationships/image" Target="media/image51.svg"/><Relationship Id="rId91" Type="http://schemas.openxmlformats.org/officeDocument/2006/relationships/hyperlink" Target="https://cms.aip-prisma.or.id/uploaded_file/Guidebook_for_marketing_team_and_agronomist_-_EN.pdf" TargetMode="External"/><Relationship Id="rId145" Type="http://schemas.openxmlformats.org/officeDocument/2006/relationships/footer" Target="footer10.xml"/><Relationship Id="rId166" Type="http://schemas.openxmlformats.org/officeDocument/2006/relationships/image" Target="media/image126.svg"/><Relationship Id="rId1" Type="http://schemas.openxmlformats.org/officeDocument/2006/relationships/customXml" Target="../customXml/item1.xml"/></Relationships>
</file>

<file path=word/charts/_rels/chart1.xml.rels><?xml version="1.0" encoding="UTF-8" standalone="yes"?>
<Relationships xmlns="http://schemas.openxmlformats.org/package/2006/relationships"><Relationship Id="rId3" Type="http://schemas.openxmlformats.org/officeDocument/2006/relationships/oleObject" Target="https://palladiumgroupaus-my.sharepoint.com/personal/zulkarnaen_nasution_thepalladiumgroup_com/Documents/RML%20SHARED/AGGREGATION%20-%20REPORT/RML/PRIP/Y24S1/achievement%20slide/grafik%20outreach.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palladiumgroupaus-my.sharepoint.com/personal/zulkarnaen_nasution_thepalladiumgroup_com/Documents/RML%20SHARED/AGGREGATION%20-%20REPORT/RML/PRIP/Y24S1/achievement%20slide/grafik%20outreach.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palladiumgroupaus-my.sharepoint.com/personal/okie_primatyo_thepalladiumgroup_com/Documents/MIS%20PRISMA%202/VFM%20Calculation/Y24S1/7.%20Summary%20of%20VfMs%20and%20Graphs%20Y24S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palladiumgroupaus-my.sharepoint.com/personal/okie_primatyo_thepalladiumgroup_com/Documents/MIS%20PRISMA%202/VFM%20Calculation/Y24S1/7.%20Summary%20of%20VfMs%20and%20Graphs%20Y24S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palladiumgroupaus-my.sharepoint.com/personal/okie_primatyo_thepalladiumgroup_com/Documents/MIS%20PRISMA%202/VFM%20Calculation/Y24S1/7.%20Summary%20of%20VfMs%20and%20Graphs%20Y24S1.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bg1"/>
                </a:solidFill>
                <a:latin typeface="+mn-lt"/>
                <a:ea typeface="+mn-ea"/>
                <a:cs typeface="+mn-cs"/>
              </a:defRPr>
            </a:pPr>
            <a:r>
              <a:rPr lang="en-US"/>
              <a:t>PRISMA Incremental Outreach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bg1"/>
              </a:solidFill>
              <a:latin typeface="+mn-lt"/>
              <a:ea typeface="+mn-ea"/>
              <a:cs typeface="+mn-cs"/>
            </a:defRPr>
          </a:pPr>
          <a:endParaRPr lang="en-US"/>
        </a:p>
      </c:txPr>
    </c:title>
    <c:autoTitleDeleted val="0"/>
    <c:plotArea>
      <c:layout/>
      <c:lineChart>
        <c:grouping val="standard"/>
        <c:varyColors val="0"/>
        <c:ser>
          <c:idx val="0"/>
          <c:order val="0"/>
          <c:spPr>
            <a:ln w="28575" cap="rnd">
              <a:solidFill>
                <a:srgbClr val="2790A5"/>
              </a:solidFill>
              <a:round/>
            </a:ln>
            <a:effectLst/>
          </c:spPr>
          <c:marker>
            <c:symbol val="circle"/>
            <c:size val="5"/>
            <c:spPr>
              <a:solidFill>
                <a:srgbClr val="F47931"/>
              </a:solidFill>
              <a:ln w="9525">
                <a:solidFill>
                  <a:srgbClr val="2790A5">
                    <a:alpha val="0"/>
                  </a:srgbClr>
                </a:solidFill>
              </a:ln>
              <a:effectLst/>
            </c:spPr>
          </c:marker>
          <c:dPt>
            <c:idx val="8"/>
            <c:marker>
              <c:symbol val="circle"/>
              <c:size val="5"/>
              <c:spPr>
                <a:solidFill>
                  <a:srgbClr val="F47931"/>
                </a:solidFill>
                <a:ln w="6350">
                  <a:solidFill>
                    <a:srgbClr val="2790A5">
                      <a:alpha val="0"/>
                    </a:srgbClr>
                  </a:solidFill>
                </a:ln>
                <a:effectLst/>
              </c:spPr>
            </c:marker>
            <c:bubble3D val="0"/>
            <c:extLst>
              <c:ext xmlns:c16="http://schemas.microsoft.com/office/drawing/2014/chart" uri="{C3380CC4-5D6E-409C-BE32-E72D297353CC}">
                <c16:uniqueId val="{00000000-DC31-6E4E-B216-AAB660D27A5E}"/>
              </c:ext>
            </c:extLst>
          </c:dPt>
          <c:dLbls>
            <c:dLbl>
              <c:idx val="0"/>
              <c:delete val="1"/>
              <c:extLst>
                <c:ext xmlns:c15="http://schemas.microsoft.com/office/drawing/2012/chart" uri="{CE6537A1-D6FC-4f65-9D91-7224C49458BB}"/>
                <c:ext xmlns:c16="http://schemas.microsoft.com/office/drawing/2014/chart" uri="{C3380CC4-5D6E-409C-BE32-E72D297353CC}">
                  <c16:uniqueId val="{00000001-DC31-6E4E-B216-AAB660D27A5E}"/>
                </c:ext>
              </c:extLst>
            </c:dLbl>
            <c:dLbl>
              <c:idx val="1"/>
              <c:delete val="1"/>
              <c:extLst>
                <c:ext xmlns:c15="http://schemas.microsoft.com/office/drawing/2012/chart" uri="{CE6537A1-D6FC-4f65-9D91-7224C49458BB}"/>
                <c:ext xmlns:c16="http://schemas.microsoft.com/office/drawing/2014/chart" uri="{C3380CC4-5D6E-409C-BE32-E72D297353CC}">
                  <c16:uniqueId val="{00000002-DC31-6E4E-B216-AAB660D27A5E}"/>
                </c:ext>
              </c:extLst>
            </c:dLbl>
            <c:dLbl>
              <c:idx val="2"/>
              <c:delete val="1"/>
              <c:extLst>
                <c:ext xmlns:c15="http://schemas.microsoft.com/office/drawing/2012/chart" uri="{CE6537A1-D6FC-4f65-9D91-7224C49458BB}"/>
                <c:ext xmlns:c16="http://schemas.microsoft.com/office/drawing/2014/chart" uri="{C3380CC4-5D6E-409C-BE32-E72D297353CC}">
                  <c16:uniqueId val="{00000003-DC31-6E4E-B216-AAB660D27A5E}"/>
                </c:ext>
              </c:extLst>
            </c:dLbl>
            <c:dLbl>
              <c:idx val="3"/>
              <c:delete val="1"/>
              <c:extLst>
                <c:ext xmlns:c15="http://schemas.microsoft.com/office/drawing/2012/chart" uri="{CE6537A1-D6FC-4f65-9D91-7224C49458BB}"/>
                <c:ext xmlns:c16="http://schemas.microsoft.com/office/drawing/2014/chart" uri="{C3380CC4-5D6E-409C-BE32-E72D297353CC}">
                  <c16:uniqueId val="{00000004-DC31-6E4E-B216-AAB660D27A5E}"/>
                </c:ext>
              </c:extLst>
            </c:dLbl>
            <c:dLbl>
              <c:idx val="4"/>
              <c:delete val="1"/>
              <c:extLst>
                <c:ext xmlns:c15="http://schemas.microsoft.com/office/drawing/2012/chart" uri="{CE6537A1-D6FC-4f65-9D91-7224C49458BB}"/>
                <c:ext xmlns:c16="http://schemas.microsoft.com/office/drawing/2014/chart" uri="{C3380CC4-5D6E-409C-BE32-E72D297353CC}">
                  <c16:uniqueId val="{00000005-DC31-6E4E-B216-AAB660D27A5E}"/>
                </c:ext>
              </c:extLst>
            </c:dLbl>
            <c:dLbl>
              <c:idx val="5"/>
              <c:delete val="1"/>
              <c:extLst>
                <c:ext xmlns:c15="http://schemas.microsoft.com/office/drawing/2012/chart" uri="{CE6537A1-D6FC-4f65-9D91-7224C49458BB}"/>
                <c:ext xmlns:c16="http://schemas.microsoft.com/office/drawing/2014/chart" uri="{C3380CC4-5D6E-409C-BE32-E72D297353CC}">
                  <c16:uniqueId val="{00000006-DC31-6E4E-B216-AAB660D27A5E}"/>
                </c:ext>
              </c:extLst>
            </c:dLbl>
            <c:dLbl>
              <c:idx val="6"/>
              <c:delete val="1"/>
              <c:extLst>
                <c:ext xmlns:c15="http://schemas.microsoft.com/office/drawing/2012/chart" uri="{CE6537A1-D6FC-4f65-9D91-7224C49458BB}"/>
                <c:ext xmlns:c16="http://schemas.microsoft.com/office/drawing/2014/chart" uri="{C3380CC4-5D6E-409C-BE32-E72D297353CC}">
                  <c16:uniqueId val="{00000007-DC31-6E4E-B216-AAB660D27A5E}"/>
                </c:ext>
              </c:extLst>
            </c:dLbl>
            <c:dLbl>
              <c:idx val="7"/>
              <c:delete val="1"/>
              <c:extLst>
                <c:ext xmlns:c15="http://schemas.microsoft.com/office/drawing/2012/chart" uri="{CE6537A1-D6FC-4f65-9D91-7224C49458BB}"/>
                <c:ext xmlns:c16="http://schemas.microsoft.com/office/drawing/2014/chart" uri="{C3380CC4-5D6E-409C-BE32-E72D297353CC}">
                  <c16:uniqueId val="{00000008-DC31-6E4E-B216-AAB660D27A5E}"/>
                </c:ext>
              </c:extLst>
            </c:dLbl>
            <c:dLbl>
              <c:idx val="8"/>
              <c:delete val="1"/>
              <c:extLst>
                <c:ext xmlns:c15="http://schemas.microsoft.com/office/drawing/2012/chart" uri="{CE6537A1-D6FC-4f65-9D91-7224C49458BB}"/>
                <c:ext xmlns:c16="http://schemas.microsoft.com/office/drawing/2014/chart" uri="{C3380CC4-5D6E-409C-BE32-E72D297353CC}">
                  <c16:uniqueId val="{00000000-DC31-6E4E-B216-AAB660D27A5E}"/>
                </c:ext>
              </c:extLst>
            </c:dLbl>
            <c:dLbl>
              <c:idx val="9"/>
              <c:delete val="1"/>
              <c:extLst>
                <c:ext xmlns:c15="http://schemas.microsoft.com/office/drawing/2012/chart" uri="{CE6537A1-D6FC-4f65-9D91-7224C49458BB}"/>
                <c:ext xmlns:c16="http://schemas.microsoft.com/office/drawing/2014/chart" uri="{C3380CC4-5D6E-409C-BE32-E72D297353CC}">
                  <c16:uniqueId val="{00000009-DC31-6E4E-B216-AAB660D27A5E}"/>
                </c:ext>
              </c:extLst>
            </c:dLbl>
            <c:dLbl>
              <c:idx val="10"/>
              <c:layout>
                <c:manualLayout>
                  <c:x val="-4.7770761149442426E-2"/>
                  <c:y val="8.5624155024785945E-2"/>
                </c:manualLayout>
              </c:layout>
              <c:numFmt formatCode="_(* #,##0_);_(* \(#,##0\);_(* &quot;-&quot;??_);_(@_)" sourceLinked="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C31-6E4E-B216-AAB660D27A5E}"/>
                </c:ext>
              </c:extLst>
            </c:dLbl>
            <c:dLbl>
              <c:idx val="11"/>
              <c:layout>
                <c:manualLayout>
                  <c:x val="-2.1590247491106513E-2"/>
                  <c:y val="8.0120150596317413E-2"/>
                </c:manualLayout>
              </c:layout>
              <c:numFmt formatCode="_(* #,##0_);_(* \(#,##0\);_(* &quot;-&quot;??_);_(@_)" sourceLinked="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C31-6E4E-B216-AAB660D27A5E}"/>
                </c:ext>
              </c:extLst>
            </c:dLbl>
            <c:dLbl>
              <c:idx val="12"/>
              <c:layout>
                <c:manualLayout>
                  <c:x val="2.7777777777777779E-3"/>
                  <c:y val="-6.9468578140481144E-2"/>
                </c:manualLayout>
              </c:layout>
              <c:numFmt formatCode="_(* #,##0_);_(* \(#,##0\);_(* &quot;-&quot;??_);_(@_)" sourceLinked="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C31-6E4E-B216-AAB660D27A5E}"/>
                </c:ext>
              </c:extLst>
            </c:dLbl>
            <c:numFmt formatCode="#\ ##0,\ \k" sourceLinked="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Sheet1!$A$12:$A$24</c:f>
              <c:strCache>
                <c:ptCount val="13"/>
                <c:pt idx="0">
                  <c:v>Phase 1</c:v>
                </c:pt>
                <c:pt idx="1">
                  <c:v>19S1</c:v>
                </c:pt>
                <c:pt idx="2">
                  <c:v>19S2</c:v>
                </c:pt>
                <c:pt idx="3">
                  <c:v>20S1</c:v>
                </c:pt>
                <c:pt idx="4">
                  <c:v>20S2</c:v>
                </c:pt>
                <c:pt idx="5">
                  <c:v>21S1</c:v>
                </c:pt>
                <c:pt idx="6">
                  <c:v>21S2</c:v>
                </c:pt>
                <c:pt idx="7">
                  <c:v>22S1</c:v>
                </c:pt>
                <c:pt idx="8">
                  <c:v>22S2</c:v>
                </c:pt>
                <c:pt idx="9">
                  <c:v>23S1</c:v>
                </c:pt>
                <c:pt idx="10">
                  <c:v>23S2</c:v>
                </c:pt>
                <c:pt idx="11">
                  <c:v>24S1</c:v>
                </c:pt>
                <c:pt idx="12">
                  <c:v>24S2</c:v>
                </c:pt>
              </c:strCache>
            </c:strRef>
          </c:cat>
          <c:val>
            <c:numRef>
              <c:f>Sheet1!$B$12:$B$24</c:f>
              <c:numCache>
                <c:formatCode>_(* #,##0_);_(* \(#,##0\);_(* "-"??_);_(@_)</c:formatCode>
                <c:ptCount val="13"/>
                <c:pt idx="0">
                  <c:v>345001</c:v>
                </c:pt>
                <c:pt idx="1">
                  <c:v>355723</c:v>
                </c:pt>
                <c:pt idx="2">
                  <c:v>385976.11715020676</c:v>
                </c:pt>
                <c:pt idx="3">
                  <c:v>410858.01075922931</c:v>
                </c:pt>
                <c:pt idx="4">
                  <c:v>424830.3207592293</c:v>
                </c:pt>
                <c:pt idx="5">
                  <c:v>473700.3207592293</c:v>
                </c:pt>
                <c:pt idx="6">
                  <c:v>589375.72044322931</c:v>
                </c:pt>
                <c:pt idx="7">
                  <c:v>763054.79329755995</c:v>
                </c:pt>
                <c:pt idx="8">
                  <c:v>1224574.1832975601</c:v>
                </c:pt>
                <c:pt idx="9">
                  <c:v>1359059.1832975601</c:v>
                </c:pt>
                <c:pt idx="10">
                  <c:v>1455785.7186812547</c:v>
                </c:pt>
                <c:pt idx="11">
                  <c:v>1482778.2286812547</c:v>
                </c:pt>
                <c:pt idx="12">
                  <c:v>1487364.0686812548</c:v>
                </c:pt>
              </c:numCache>
            </c:numRef>
          </c:val>
          <c:smooth val="0"/>
          <c:extLst>
            <c:ext xmlns:c16="http://schemas.microsoft.com/office/drawing/2014/chart" uri="{C3380CC4-5D6E-409C-BE32-E72D297353CC}">
              <c16:uniqueId val="{0000000D-DC31-6E4E-B216-AAB660D27A5E}"/>
            </c:ext>
          </c:extLst>
        </c:ser>
        <c:dLbls>
          <c:showLegendKey val="0"/>
          <c:showVal val="1"/>
          <c:showCatName val="0"/>
          <c:showSerName val="0"/>
          <c:showPercent val="0"/>
          <c:showBubbleSize val="0"/>
        </c:dLbls>
        <c:marker val="1"/>
        <c:smooth val="0"/>
        <c:axId val="2099300320"/>
        <c:axId val="2099304640"/>
      </c:lineChart>
      <c:catAx>
        <c:axId val="209930032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crossAx val="2099304640"/>
        <c:crosses val="autoZero"/>
        <c:auto val="1"/>
        <c:lblAlgn val="ctr"/>
        <c:lblOffset val="100"/>
        <c:noMultiLvlLbl val="0"/>
      </c:catAx>
      <c:valAx>
        <c:axId val="2099304640"/>
        <c:scaling>
          <c:orientation val="minMax"/>
        </c:scaling>
        <c:delete val="0"/>
        <c:axPos val="l"/>
        <c:majorGridlines>
          <c:spPr>
            <a:ln w="9525" cap="flat" cmpd="sng" algn="ctr">
              <a:solidFill>
                <a:schemeClr val="bg1">
                  <a:alpha val="1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crossAx val="2099300320"/>
        <c:crosses val="autoZero"/>
        <c:crossBetween val="between"/>
      </c:valAx>
      <c:spPr>
        <a:noFill/>
        <a:ln>
          <a:solidFill>
            <a:schemeClr val="bg1">
              <a:alpha val="0"/>
            </a:schemeClr>
          </a:solidFill>
        </a:ln>
        <a:effectLst/>
      </c:spPr>
    </c:plotArea>
    <c:plotVisOnly val="1"/>
    <c:dispBlanksAs val="gap"/>
    <c:showDLblsOverMax val="0"/>
  </c:chart>
  <c:spPr>
    <a:solidFill>
      <a:srgbClr val="252E65"/>
    </a:solidFill>
    <a:ln w="9525" cap="flat" cmpd="sng" algn="ctr">
      <a:solidFill>
        <a:schemeClr val="tx1">
          <a:lumMod val="15000"/>
          <a:lumOff val="85000"/>
        </a:schemeClr>
      </a:solidFill>
      <a:round/>
    </a:ln>
    <a:effectLst/>
  </c:spPr>
  <c:txPr>
    <a:bodyPr/>
    <a:lstStyle/>
    <a:p>
      <a:pPr>
        <a:defRPr>
          <a:solidFill>
            <a:schemeClr val="bg1"/>
          </a:solidFill>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bg1"/>
                </a:solidFill>
                <a:latin typeface="+mn-lt"/>
                <a:ea typeface="+mn-ea"/>
                <a:cs typeface="+mn-cs"/>
              </a:defRPr>
            </a:pPr>
            <a:r>
              <a:rPr lang="en-US"/>
              <a:t>PRISMA Incremental Outreach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bg1"/>
              </a:solidFill>
              <a:latin typeface="+mn-lt"/>
              <a:ea typeface="+mn-ea"/>
              <a:cs typeface="+mn-cs"/>
            </a:defRPr>
          </a:pPr>
          <a:endParaRPr lang="en-US"/>
        </a:p>
      </c:txPr>
    </c:title>
    <c:autoTitleDeleted val="0"/>
    <c:plotArea>
      <c:layout/>
      <c:lineChart>
        <c:grouping val="standard"/>
        <c:varyColors val="0"/>
        <c:ser>
          <c:idx val="0"/>
          <c:order val="0"/>
          <c:spPr>
            <a:ln w="28575" cap="rnd">
              <a:solidFill>
                <a:srgbClr val="2790A5"/>
              </a:solidFill>
              <a:round/>
            </a:ln>
            <a:effectLst/>
          </c:spPr>
          <c:marker>
            <c:symbol val="circle"/>
            <c:size val="5"/>
            <c:spPr>
              <a:solidFill>
                <a:srgbClr val="F47931"/>
              </a:solidFill>
              <a:ln w="9525">
                <a:solidFill>
                  <a:srgbClr val="2790A5">
                    <a:alpha val="0"/>
                  </a:srgbClr>
                </a:solidFill>
              </a:ln>
              <a:effectLst/>
            </c:spPr>
          </c:marker>
          <c:dPt>
            <c:idx val="8"/>
            <c:marker>
              <c:symbol val="circle"/>
              <c:size val="5"/>
              <c:spPr>
                <a:solidFill>
                  <a:srgbClr val="F47931"/>
                </a:solidFill>
                <a:ln w="6350">
                  <a:solidFill>
                    <a:srgbClr val="2790A5">
                      <a:alpha val="0"/>
                    </a:srgbClr>
                  </a:solidFill>
                </a:ln>
                <a:effectLst/>
              </c:spPr>
            </c:marker>
            <c:bubble3D val="0"/>
            <c:extLst>
              <c:ext xmlns:c16="http://schemas.microsoft.com/office/drawing/2014/chart" uri="{C3380CC4-5D6E-409C-BE32-E72D297353CC}">
                <c16:uniqueId val="{00000000-7F62-4DED-AC22-7457A234FA31}"/>
              </c:ext>
            </c:extLst>
          </c:dPt>
          <c:dLbls>
            <c:dLbl>
              <c:idx val="0"/>
              <c:delete val="1"/>
              <c:extLst>
                <c:ext xmlns:c15="http://schemas.microsoft.com/office/drawing/2012/chart" uri="{CE6537A1-D6FC-4f65-9D91-7224C49458BB}"/>
                <c:ext xmlns:c16="http://schemas.microsoft.com/office/drawing/2014/chart" uri="{C3380CC4-5D6E-409C-BE32-E72D297353CC}">
                  <c16:uniqueId val="{00000001-7F62-4DED-AC22-7457A234FA31}"/>
                </c:ext>
              </c:extLst>
            </c:dLbl>
            <c:dLbl>
              <c:idx val="1"/>
              <c:delete val="1"/>
              <c:extLst>
                <c:ext xmlns:c15="http://schemas.microsoft.com/office/drawing/2012/chart" uri="{CE6537A1-D6FC-4f65-9D91-7224C49458BB}"/>
                <c:ext xmlns:c16="http://schemas.microsoft.com/office/drawing/2014/chart" uri="{C3380CC4-5D6E-409C-BE32-E72D297353CC}">
                  <c16:uniqueId val="{00000002-7F62-4DED-AC22-7457A234FA31}"/>
                </c:ext>
              </c:extLst>
            </c:dLbl>
            <c:dLbl>
              <c:idx val="2"/>
              <c:delete val="1"/>
              <c:extLst>
                <c:ext xmlns:c15="http://schemas.microsoft.com/office/drawing/2012/chart" uri="{CE6537A1-D6FC-4f65-9D91-7224C49458BB}"/>
                <c:ext xmlns:c16="http://schemas.microsoft.com/office/drawing/2014/chart" uri="{C3380CC4-5D6E-409C-BE32-E72D297353CC}">
                  <c16:uniqueId val="{00000003-7F62-4DED-AC22-7457A234FA31}"/>
                </c:ext>
              </c:extLst>
            </c:dLbl>
            <c:dLbl>
              <c:idx val="3"/>
              <c:delete val="1"/>
              <c:extLst>
                <c:ext xmlns:c15="http://schemas.microsoft.com/office/drawing/2012/chart" uri="{CE6537A1-D6FC-4f65-9D91-7224C49458BB}"/>
                <c:ext xmlns:c16="http://schemas.microsoft.com/office/drawing/2014/chart" uri="{C3380CC4-5D6E-409C-BE32-E72D297353CC}">
                  <c16:uniqueId val="{00000004-7F62-4DED-AC22-7457A234FA31}"/>
                </c:ext>
              </c:extLst>
            </c:dLbl>
            <c:dLbl>
              <c:idx val="4"/>
              <c:delete val="1"/>
              <c:extLst>
                <c:ext xmlns:c15="http://schemas.microsoft.com/office/drawing/2012/chart" uri="{CE6537A1-D6FC-4f65-9D91-7224C49458BB}"/>
                <c:ext xmlns:c16="http://schemas.microsoft.com/office/drawing/2014/chart" uri="{C3380CC4-5D6E-409C-BE32-E72D297353CC}">
                  <c16:uniqueId val="{00000005-7F62-4DED-AC22-7457A234FA31}"/>
                </c:ext>
              </c:extLst>
            </c:dLbl>
            <c:dLbl>
              <c:idx val="5"/>
              <c:delete val="1"/>
              <c:extLst>
                <c:ext xmlns:c15="http://schemas.microsoft.com/office/drawing/2012/chart" uri="{CE6537A1-D6FC-4f65-9D91-7224C49458BB}"/>
                <c:ext xmlns:c16="http://schemas.microsoft.com/office/drawing/2014/chart" uri="{C3380CC4-5D6E-409C-BE32-E72D297353CC}">
                  <c16:uniqueId val="{00000006-7F62-4DED-AC22-7457A234FA31}"/>
                </c:ext>
              </c:extLst>
            </c:dLbl>
            <c:dLbl>
              <c:idx val="6"/>
              <c:delete val="1"/>
              <c:extLst>
                <c:ext xmlns:c15="http://schemas.microsoft.com/office/drawing/2012/chart" uri="{CE6537A1-D6FC-4f65-9D91-7224C49458BB}"/>
                <c:ext xmlns:c16="http://schemas.microsoft.com/office/drawing/2014/chart" uri="{C3380CC4-5D6E-409C-BE32-E72D297353CC}">
                  <c16:uniqueId val="{00000007-7F62-4DED-AC22-7457A234FA31}"/>
                </c:ext>
              </c:extLst>
            </c:dLbl>
            <c:dLbl>
              <c:idx val="7"/>
              <c:delete val="1"/>
              <c:extLst>
                <c:ext xmlns:c15="http://schemas.microsoft.com/office/drawing/2012/chart" uri="{CE6537A1-D6FC-4f65-9D91-7224C49458BB}"/>
                <c:ext xmlns:c16="http://schemas.microsoft.com/office/drawing/2014/chart" uri="{C3380CC4-5D6E-409C-BE32-E72D297353CC}">
                  <c16:uniqueId val="{00000008-7F62-4DED-AC22-7457A234FA31}"/>
                </c:ext>
              </c:extLst>
            </c:dLbl>
            <c:dLbl>
              <c:idx val="8"/>
              <c:delete val="1"/>
              <c:extLst>
                <c:ext xmlns:c15="http://schemas.microsoft.com/office/drawing/2012/chart" uri="{CE6537A1-D6FC-4f65-9D91-7224C49458BB}"/>
                <c:ext xmlns:c16="http://schemas.microsoft.com/office/drawing/2014/chart" uri="{C3380CC4-5D6E-409C-BE32-E72D297353CC}">
                  <c16:uniqueId val="{00000000-7F62-4DED-AC22-7457A234FA31}"/>
                </c:ext>
              </c:extLst>
            </c:dLbl>
            <c:dLbl>
              <c:idx val="9"/>
              <c:delete val="1"/>
              <c:extLst>
                <c:ext xmlns:c15="http://schemas.microsoft.com/office/drawing/2012/chart" uri="{CE6537A1-D6FC-4f65-9D91-7224C49458BB}"/>
                <c:ext xmlns:c16="http://schemas.microsoft.com/office/drawing/2014/chart" uri="{C3380CC4-5D6E-409C-BE32-E72D297353CC}">
                  <c16:uniqueId val="{00000009-7F62-4DED-AC22-7457A234FA31}"/>
                </c:ext>
              </c:extLst>
            </c:dLbl>
            <c:dLbl>
              <c:idx val="10"/>
              <c:layout>
                <c:manualLayout>
                  <c:x val="-4.7770761149442426E-2"/>
                  <c:y val="8.5624155024785945E-2"/>
                </c:manualLayout>
              </c:layout>
              <c:numFmt formatCode="_(* #,##0_);_(* \(#,##0\);_(* &quot;-&quot;??_);_(@_)" sourceLinked="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F62-4DED-AC22-7457A234FA31}"/>
                </c:ext>
              </c:extLst>
            </c:dLbl>
            <c:dLbl>
              <c:idx val="11"/>
              <c:layout>
                <c:manualLayout>
                  <c:x val="-2.1590247491106513E-2"/>
                  <c:y val="8.0120150596317413E-2"/>
                </c:manualLayout>
              </c:layout>
              <c:numFmt formatCode="_(* #,##0_);_(* \(#,##0\);_(* &quot;-&quot;??_);_(@_)" sourceLinked="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F62-4DED-AC22-7457A234FA31}"/>
                </c:ext>
              </c:extLst>
            </c:dLbl>
            <c:dLbl>
              <c:idx val="12"/>
              <c:layout>
                <c:manualLayout>
                  <c:x val="2.7777777777777779E-3"/>
                  <c:y val="-6.9468578140481144E-2"/>
                </c:manualLayout>
              </c:layout>
              <c:numFmt formatCode="_(* #,##0_);_(* \(#,##0\);_(* &quot;-&quot;??_);_(@_)" sourceLinked="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F62-4DED-AC22-7457A234FA31}"/>
                </c:ext>
              </c:extLst>
            </c:dLbl>
            <c:numFmt formatCode="#\ ##0,\ \k" sourceLinked="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Sheet1!$A$12:$A$24</c:f>
              <c:strCache>
                <c:ptCount val="13"/>
                <c:pt idx="0">
                  <c:v>Phase 1</c:v>
                </c:pt>
                <c:pt idx="1">
                  <c:v>19S1</c:v>
                </c:pt>
                <c:pt idx="2">
                  <c:v>19S2</c:v>
                </c:pt>
                <c:pt idx="3">
                  <c:v>20S1</c:v>
                </c:pt>
                <c:pt idx="4">
                  <c:v>20S2</c:v>
                </c:pt>
                <c:pt idx="5">
                  <c:v>21S1</c:v>
                </c:pt>
                <c:pt idx="6">
                  <c:v>21S2</c:v>
                </c:pt>
                <c:pt idx="7">
                  <c:v>22S1</c:v>
                </c:pt>
                <c:pt idx="8">
                  <c:v>22S2</c:v>
                </c:pt>
                <c:pt idx="9">
                  <c:v>23S1</c:v>
                </c:pt>
                <c:pt idx="10">
                  <c:v>23S2</c:v>
                </c:pt>
                <c:pt idx="11">
                  <c:v>24S1</c:v>
                </c:pt>
                <c:pt idx="12">
                  <c:v>24S2</c:v>
                </c:pt>
              </c:strCache>
            </c:strRef>
          </c:cat>
          <c:val>
            <c:numRef>
              <c:f>Sheet1!$B$12:$B$24</c:f>
              <c:numCache>
                <c:formatCode>_(* #,##0_);_(* \(#,##0\);_(* "-"??_);_(@_)</c:formatCode>
                <c:ptCount val="13"/>
                <c:pt idx="0">
                  <c:v>345001</c:v>
                </c:pt>
                <c:pt idx="1">
                  <c:v>355723</c:v>
                </c:pt>
                <c:pt idx="2">
                  <c:v>385976.11715020676</c:v>
                </c:pt>
                <c:pt idx="3">
                  <c:v>410858.01075922931</c:v>
                </c:pt>
                <c:pt idx="4">
                  <c:v>424830.3207592293</c:v>
                </c:pt>
                <c:pt idx="5">
                  <c:v>473700.3207592293</c:v>
                </c:pt>
                <c:pt idx="6">
                  <c:v>589375.72044322931</c:v>
                </c:pt>
                <c:pt idx="7">
                  <c:v>763054.79329755995</c:v>
                </c:pt>
                <c:pt idx="8">
                  <c:v>1224574.1832975601</c:v>
                </c:pt>
                <c:pt idx="9">
                  <c:v>1359059.1832975601</c:v>
                </c:pt>
                <c:pt idx="10">
                  <c:v>1455785.7186812547</c:v>
                </c:pt>
                <c:pt idx="11">
                  <c:v>1482778.2286812547</c:v>
                </c:pt>
                <c:pt idx="12">
                  <c:v>1487364.0686812548</c:v>
                </c:pt>
              </c:numCache>
            </c:numRef>
          </c:val>
          <c:smooth val="0"/>
          <c:extLst>
            <c:ext xmlns:c16="http://schemas.microsoft.com/office/drawing/2014/chart" uri="{C3380CC4-5D6E-409C-BE32-E72D297353CC}">
              <c16:uniqueId val="{0000000D-7F62-4DED-AC22-7457A234FA31}"/>
            </c:ext>
          </c:extLst>
        </c:ser>
        <c:dLbls>
          <c:showLegendKey val="0"/>
          <c:showVal val="1"/>
          <c:showCatName val="0"/>
          <c:showSerName val="0"/>
          <c:showPercent val="0"/>
          <c:showBubbleSize val="0"/>
        </c:dLbls>
        <c:marker val="1"/>
        <c:smooth val="0"/>
        <c:axId val="2099300320"/>
        <c:axId val="2099304640"/>
      </c:lineChart>
      <c:catAx>
        <c:axId val="209930032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crossAx val="2099304640"/>
        <c:crosses val="autoZero"/>
        <c:auto val="1"/>
        <c:lblAlgn val="ctr"/>
        <c:lblOffset val="100"/>
        <c:noMultiLvlLbl val="0"/>
      </c:catAx>
      <c:valAx>
        <c:axId val="2099304640"/>
        <c:scaling>
          <c:orientation val="minMax"/>
        </c:scaling>
        <c:delete val="0"/>
        <c:axPos val="l"/>
        <c:majorGridlines>
          <c:spPr>
            <a:ln w="9525" cap="flat" cmpd="sng" algn="ctr">
              <a:solidFill>
                <a:schemeClr val="bg1">
                  <a:alpha val="1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crossAx val="2099300320"/>
        <c:crosses val="autoZero"/>
        <c:crossBetween val="between"/>
      </c:valAx>
      <c:spPr>
        <a:noFill/>
        <a:ln>
          <a:solidFill>
            <a:schemeClr val="bg1">
              <a:alpha val="0"/>
            </a:schemeClr>
          </a:solidFill>
        </a:ln>
        <a:effectLst/>
      </c:spPr>
    </c:plotArea>
    <c:plotVisOnly val="1"/>
    <c:dispBlanksAs val="gap"/>
    <c:showDLblsOverMax val="0"/>
  </c:chart>
  <c:spPr>
    <a:solidFill>
      <a:srgbClr val="252E65"/>
    </a:solidFill>
    <a:ln w="9525" cap="flat" cmpd="sng" algn="ctr">
      <a:solidFill>
        <a:schemeClr val="tx1">
          <a:lumMod val="15000"/>
          <a:lumOff val="85000"/>
        </a:schemeClr>
      </a:solidFill>
      <a:round/>
    </a:ln>
    <a:effectLst/>
  </c:spPr>
  <c:txPr>
    <a:bodyPr/>
    <a:lstStyle/>
    <a:p>
      <a:pPr>
        <a:defRPr>
          <a:solidFill>
            <a:schemeClr val="bg1"/>
          </a:solidFill>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lineChart>
        <c:grouping val="standard"/>
        <c:varyColors val="0"/>
        <c:ser>
          <c:idx val="0"/>
          <c:order val="0"/>
          <c:spPr>
            <a:ln w="28575" cap="rnd">
              <a:solidFill>
                <a:schemeClr val="accent6"/>
              </a:solidFill>
              <a:round/>
            </a:ln>
            <a:effectLst/>
          </c:spPr>
          <c:marker>
            <c:symbol val="circle"/>
            <c:size val="5"/>
            <c:spPr>
              <a:solidFill>
                <a:schemeClr val="accent6"/>
              </a:solidFill>
              <a:ln w="9525">
                <a:solidFill>
                  <a:schemeClr val="accent6"/>
                </a:solidFill>
              </a:ln>
              <a:effectLst/>
            </c:spPr>
          </c:marker>
          <c:dLbls>
            <c:dLbl>
              <c:idx val="8"/>
              <c:layout>
                <c:manualLayout>
                  <c:x val="-7.2463193329335152E-2"/>
                  <c:y val="-3.81608710763673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8FB-4D14-AE00-FAFBBC1B3DA1}"/>
                </c:ext>
              </c:extLst>
            </c:dLbl>
            <c:dLbl>
              <c:idx val="15"/>
              <c:layout>
                <c:manualLayout>
                  <c:x val="-4.6376811594203052E-2"/>
                  <c:y val="-8.74214948996584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8FB-4D14-AE00-FAFBBC1B3DA1}"/>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Sheet1!$B$2:$V$2</c:f>
              <c:strCache>
                <c:ptCount val="21"/>
                <c:pt idx="0">
                  <c:v>Y14S1</c:v>
                </c:pt>
                <c:pt idx="1">
                  <c:v>Y14S2</c:v>
                </c:pt>
                <c:pt idx="2">
                  <c:v>Y15S1</c:v>
                </c:pt>
                <c:pt idx="3">
                  <c:v>Y15S2</c:v>
                </c:pt>
                <c:pt idx="4">
                  <c:v>Y16S1</c:v>
                </c:pt>
                <c:pt idx="5">
                  <c:v>Y16S2</c:v>
                </c:pt>
                <c:pt idx="6">
                  <c:v>Y17S1</c:v>
                </c:pt>
                <c:pt idx="7">
                  <c:v>Y17S2</c:v>
                </c:pt>
                <c:pt idx="8">
                  <c:v>Y18S1</c:v>
                </c:pt>
                <c:pt idx="9">
                  <c:v>Y18S2</c:v>
                </c:pt>
                <c:pt idx="10">
                  <c:v>Y19S1</c:v>
                </c:pt>
                <c:pt idx="11">
                  <c:v>Y19S2</c:v>
                </c:pt>
                <c:pt idx="12">
                  <c:v>Y20S1</c:v>
                </c:pt>
                <c:pt idx="13">
                  <c:v>Y20S2</c:v>
                </c:pt>
                <c:pt idx="14">
                  <c:v>Y21S1</c:v>
                </c:pt>
                <c:pt idx="15">
                  <c:v>Y21S2</c:v>
                </c:pt>
                <c:pt idx="16">
                  <c:v>Y22S1</c:v>
                </c:pt>
                <c:pt idx="17">
                  <c:v>Y22S2</c:v>
                </c:pt>
                <c:pt idx="18">
                  <c:v>Y23S1</c:v>
                </c:pt>
                <c:pt idx="19">
                  <c:v>Y23S2</c:v>
                </c:pt>
                <c:pt idx="20">
                  <c:v>Y24S1</c:v>
                </c:pt>
              </c:strCache>
            </c:strRef>
          </c:cat>
          <c:val>
            <c:numRef>
              <c:f>Sheet1!$B$3:$V$3</c:f>
              <c:numCache>
                <c:formatCode>_(* #,##0.00_);_(* \(#,##0.00\);_(* "-"??_);_(@_)</c:formatCode>
                <c:ptCount val="21"/>
                <c:pt idx="0">
                  <c:v>0</c:v>
                </c:pt>
                <c:pt idx="1">
                  <c:v>3.8931142082635289E-2</c:v>
                </c:pt>
                <c:pt idx="2">
                  <c:v>6.5033621556878654E-2</c:v>
                </c:pt>
                <c:pt idx="3">
                  <c:v>6.1715886868107472E-2</c:v>
                </c:pt>
                <c:pt idx="4">
                  <c:v>7.0167951550297425E-2</c:v>
                </c:pt>
                <c:pt idx="5">
                  <c:v>0.17780324117609483</c:v>
                </c:pt>
                <c:pt idx="6">
                  <c:v>0.28148051433193239</c:v>
                </c:pt>
                <c:pt idx="7">
                  <c:v>0.46933728607558023</c:v>
                </c:pt>
                <c:pt idx="8">
                  <c:v>0.6557055573605397</c:v>
                </c:pt>
                <c:pt idx="9">
                  <c:v>1.7766799097004775</c:v>
                </c:pt>
                <c:pt idx="10">
                  <c:v>1.8501291775836695</c:v>
                </c:pt>
                <c:pt idx="11">
                  <c:v>1.8904226703515208</c:v>
                </c:pt>
                <c:pt idx="12">
                  <c:v>1.7993212343468898</c:v>
                </c:pt>
                <c:pt idx="13">
                  <c:v>1.7376777129526408</c:v>
                </c:pt>
                <c:pt idx="14">
                  <c:v>1.7155560901013787</c:v>
                </c:pt>
                <c:pt idx="15">
                  <c:v>1.7589130764828995</c:v>
                </c:pt>
                <c:pt idx="16">
                  <c:v>2.5537933906847701</c:v>
                </c:pt>
                <c:pt idx="17">
                  <c:v>2.6842549385804859</c:v>
                </c:pt>
                <c:pt idx="18">
                  <c:v>2.8128544858059099</c:v>
                </c:pt>
                <c:pt idx="19">
                  <c:v>3.0054276453815114</c:v>
                </c:pt>
                <c:pt idx="20">
                  <c:v>3.1263402594906142</c:v>
                </c:pt>
              </c:numCache>
            </c:numRef>
          </c:val>
          <c:smooth val="0"/>
          <c:extLst>
            <c:ext xmlns:c16="http://schemas.microsoft.com/office/drawing/2014/chart" uri="{C3380CC4-5D6E-409C-BE32-E72D297353CC}">
              <c16:uniqueId val="{00000002-48FB-4D14-AE00-FAFBBC1B3DA1}"/>
            </c:ext>
          </c:extLst>
        </c:ser>
        <c:dLbls>
          <c:dLblPos val="t"/>
          <c:showLegendKey val="0"/>
          <c:showVal val="1"/>
          <c:showCatName val="0"/>
          <c:showSerName val="0"/>
          <c:showPercent val="0"/>
          <c:showBubbleSize val="0"/>
        </c:dLbls>
        <c:marker val="1"/>
        <c:smooth val="0"/>
        <c:axId val="362319151"/>
        <c:axId val="221976751"/>
      </c:lineChart>
      <c:catAx>
        <c:axId val="362319151"/>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sz="800"/>
                  <a:t>Period</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21976751"/>
        <c:crosses val="autoZero"/>
        <c:auto val="1"/>
        <c:lblAlgn val="ctr"/>
        <c:lblOffset val="100"/>
        <c:noMultiLvlLbl val="0"/>
      </c:catAx>
      <c:valAx>
        <c:axId val="2219767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sz="800"/>
                  <a:t>Investment Leverage Sector</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23191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lineChart>
        <c:grouping val="standard"/>
        <c:varyColors val="0"/>
        <c:ser>
          <c:idx val="0"/>
          <c:order val="0"/>
          <c:spPr>
            <a:ln w="28575" cap="rnd">
              <a:solidFill>
                <a:schemeClr val="accent6"/>
              </a:solidFill>
              <a:round/>
            </a:ln>
            <a:effectLst/>
          </c:spPr>
          <c:marker>
            <c:symbol val="circle"/>
            <c:size val="5"/>
            <c:spPr>
              <a:solidFill>
                <a:schemeClr val="accent6"/>
              </a:solidFill>
              <a:ln w="9525">
                <a:solidFill>
                  <a:schemeClr val="accent6"/>
                </a:solidFill>
              </a:ln>
              <a:effectLst/>
            </c:spPr>
          </c:marker>
          <c:dLbls>
            <c:dLbl>
              <c:idx val="16"/>
              <c:layout>
                <c:manualLayout>
                  <c:x val="-6.4901973309783326E-2"/>
                  <c:y val="-4.970662579562565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E82-46A1-A76E-980061095E2D}"/>
                </c:ext>
              </c:extLst>
            </c:dLbl>
            <c:dLbl>
              <c:idx val="17"/>
              <c:layout>
                <c:manualLayout>
                  <c:x val="-6.2481677953079913E-2"/>
                  <c:y val="-4.97066257956255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E82-46A1-A76E-980061095E2D}"/>
                </c:ext>
              </c:extLst>
            </c:dLbl>
            <c:dLbl>
              <c:idx val="18"/>
              <c:layout>
                <c:manualLayout>
                  <c:x val="-4.2873831031695044E-2"/>
                  <c:y val="-9.347464838330890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E82-46A1-A76E-980061095E2D}"/>
                </c:ext>
              </c:extLst>
            </c:dLbl>
            <c:dLbl>
              <c:idx val="19"/>
              <c:layout>
                <c:manualLayout>
                  <c:x val="-3.2884057604612014E-2"/>
                  <c:y val="-0.1611161378370012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E82-46A1-A76E-980061095E2D}"/>
                </c:ext>
              </c:extLst>
            </c:dLbl>
            <c:dLbl>
              <c:idx val="20"/>
              <c:layout>
                <c:manualLayout>
                  <c:x val="-7.3928916537153878E-3"/>
                  <c:y val="-7.755900380596952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E82-46A1-A76E-980061095E2D}"/>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Sheet1!$B$5:$V$5</c:f>
              <c:strCache>
                <c:ptCount val="21"/>
                <c:pt idx="0">
                  <c:v>Y14S1</c:v>
                </c:pt>
                <c:pt idx="1">
                  <c:v>Y14S2</c:v>
                </c:pt>
                <c:pt idx="2">
                  <c:v>Y15S1</c:v>
                </c:pt>
                <c:pt idx="3">
                  <c:v>Y15S2</c:v>
                </c:pt>
                <c:pt idx="4">
                  <c:v>Y16S1</c:v>
                </c:pt>
                <c:pt idx="5">
                  <c:v>Y16S2</c:v>
                </c:pt>
                <c:pt idx="6">
                  <c:v>Y17S1</c:v>
                </c:pt>
                <c:pt idx="7">
                  <c:v>Y17S2</c:v>
                </c:pt>
                <c:pt idx="8">
                  <c:v>Y18S1</c:v>
                </c:pt>
                <c:pt idx="9">
                  <c:v>Y18S2</c:v>
                </c:pt>
                <c:pt idx="10">
                  <c:v>Y19S1</c:v>
                </c:pt>
                <c:pt idx="11">
                  <c:v>Y19S2</c:v>
                </c:pt>
                <c:pt idx="12">
                  <c:v>Y20S1</c:v>
                </c:pt>
                <c:pt idx="13">
                  <c:v>Y20S2</c:v>
                </c:pt>
                <c:pt idx="14">
                  <c:v>Y21S1</c:v>
                </c:pt>
                <c:pt idx="15">
                  <c:v>Y21S2</c:v>
                </c:pt>
                <c:pt idx="16">
                  <c:v>Y22S1</c:v>
                </c:pt>
                <c:pt idx="17">
                  <c:v>Y22S2</c:v>
                </c:pt>
                <c:pt idx="18">
                  <c:v>Y23S1</c:v>
                </c:pt>
                <c:pt idx="19">
                  <c:v>Y23S2</c:v>
                </c:pt>
                <c:pt idx="20">
                  <c:v>Y24S1</c:v>
                </c:pt>
              </c:strCache>
            </c:strRef>
          </c:cat>
          <c:val>
            <c:numRef>
              <c:f>Sheet1!$B$6:$V$6</c:f>
              <c:numCache>
                <c:formatCode>_(* #,##0.00_);_(* \(#,##0.00\);_(* "-"??_);_(@_)</c:formatCode>
                <c:ptCount val="21"/>
                <c:pt idx="0">
                  <c:v>0.15115610097987447</c:v>
                </c:pt>
                <c:pt idx="1">
                  <c:v>7.450173995684109E-2</c:v>
                </c:pt>
                <c:pt idx="2">
                  <c:v>7.1921914280403745E-2</c:v>
                </c:pt>
                <c:pt idx="3">
                  <c:v>0.22313060986443811</c:v>
                </c:pt>
                <c:pt idx="4">
                  <c:v>0.21032533805028461</c:v>
                </c:pt>
                <c:pt idx="5">
                  <c:v>0.50474073768759165</c:v>
                </c:pt>
                <c:pt idx="6">
                  <c:v>0.67184257593934105</c:v>
                </c:pt>
                <c:pt idx="7">
                  <c:v>1.9966622767121449</c:v>
                </c:pt>
                <c:pt idx="8">
                  <c:v>3.3536276172222839</c:v>
                </c:pt>
                <c:pt idx="9">
                  <c:v>3.6591763380942313</c:v>
                </c:pt>
                <c:pt idx="10">
                  <c:v>3.7202230357542958</c:v>
                </c:pt>
                <c:pt idx="11">
                  <c:v>3.6291070486864951</c:v>
                </c:pt>
                <c:pt idx="12">
                  <c:v>3.5694887458853537</c:v>
                </c:pt>
                <c:pt idx="13">
                  <c:v>3.464602484096019</c:v>
                </c:pt>
                <c:pt idx="14">
                  <c:v>3.3852043382532315</c:v>
                </c:pt>
                <c:pt idx="15">
                  <c:v>3.8899030519689797</c:v>
                </c:pt>
                <c:pt idx="16">
                  <c:v>5.6900635120282264</c:v>
                </c:pt>
                <c:pt idx="17">
                  <c:v>9.6076459628674566</c:v>
                </c:pt>
                <c:pt idx="18">
                  <c:v>9.5916247696918848</c:v>
                </c:pt>
                <c:pt idx="19">
                  <c:v>9.6477018734540358</c:v>
                </c:pt>
                <c:pt idx="20">
                  <c:v>9.4876741665116864</c:v>
                </c:pt>
              </c:numCache>
            </c:numRef>
          </c:val>
          <c:smooth val="0"/>
          <c:extLst>
            <c:ext xmlns:c16="http://schemas.microsoft.com/office/drawing/2014/chart" uri="{C3380CC4-5D6E-409C-BE32-E72D297353CC}">
              <c16:uniqueId val="{00000005-DE82-46A1-A76E-980061095E2D}"/>
            </c:ext>
          </c:extLst>
        </c:ser>
        <c:dLbls>
          <c:dLblPos val="t"/>
          <c:showLegendKey val="0"/>
          <c:showVal val="1"/>
          <c:showCatName val="0"/>
          <c:showSerName val="0"/>
          <c:showPercent val="0"/>
          <c:showBubbleSize val="0"/>
        </c:dLbls>
        <c:marker val="1"/>
        <c:smooth val="0"/>
        <c:axId val="362319151"/>
        <c:axId val="221976751"/>
      </c:lineChart>
      <c:catAx>
        <c:axId val="362319151"/>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900"/>
                  <a:t>Period</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21976751"/>
        <c:crosses val="autoZero"/>
        <c:auto val="1"/>
        <c:lblAlgn val="ctr"/>
        <c:lblOffset val="100"/>
        <c:noMultiLvlLbl val="0"/>
      </c:catAx>
      <c:valAx>
        <c:axId val="2219767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sz="800"/>
                  <a:t>Social</a:t>
                </a:r>
                <a:r>
                  <a:rPr lang="en-US" sz="800" baseline="0"/>
                  <a:t> Return on Investment</a:t>
                </a:r>
                <a:endParaRPr lang="en-US" sz="800"/>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23191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lineChart>
        <c:grouping val="standard"/>
        <c:varyColors val="0"/>
        <c:ser>
          <c:idx val="0"/>
          <c:order val="0"/>
          <c:spPr>
            <a:ln w="28575" cap="rnd">
              <a:solidFill>
                <a:schemeClr val="accent6"/>
              </a:solidFill>
              <a:round/>
            </a:ln>
            <a:effectLst/>
          </c:spPr>
          <c:marker>
            <c:symbol val="circle"/>
            <c:size val="5"/>
            <c:spPr>
              <a:solidFill>
                <a:schemeClr val="accent6"/>
              </a:solidFill>
              <a:ln w="9525">
                <a:solidFill>
                  <a:schemeClr val="accent6"/>
                </a:solidFill>
              </a:ln>
              <a:effectLst/>
            </c:spPr>
          </c:marker>
          <c:dLbls>
            <c:dLbl>
              <c:idx val="1"/>
              <c:layout>
                <c:manualLayout>
                  <c:x val="1.325132230811574E-3"/>
                  <c:y val="-4.21809836584497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B0E-4DCA-AF7B-09DD3C4AF7C6}"/>
                </c:ext>
              </c:extLst>
            </c:dLbl>
            <c:dLbl>
              <c:idx val="2"/>
              <c:layout>
                <c:manualLayout>
                  <c:x val="1.5914797884307014E-2"/>
                  <c:y val="-3.41407826534246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B0E-4DCA-AF7B-09DD3C4AF7C6}"/>
                </c:ext>
              </c:extLst>
            </c:dLbl>
            <c:dLbl>
              <c:idx val="3"/>
              <c:layout>
                <c:manualLayout>
                  <c:x val="2.564124165330393E-2"/>
                  <c:y val="-5.82613856685000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B0E-4DCA-AF7B-09DD3C4AF7C6}"/>
                </c:ext>
              </c:extLst>
            </c:dLbl>
            <c:dLbl>
              <c:idx val="4"/>
              <c:layout>
                <c:manualLayout>
                  <c:x val="2.1756791039417946E-2"/>
                  <c:y val="-4.62010841609622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B0E-4DCA-AF7B-09DD3C4AF7C6}"/>
                </c:ext>
              </c:extLst>
            </c:dLbl>
            <c:dLbl>
              <c:idx val="5"/>
              <c:layout>
                <c:manualLayout>
                  <c:x val="-1.9580594978819227E-2"/>
                  <c:y val="-6.630158667352517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B0E-4DCA-AF7B-09DD3C4AF7C6}"/>
                </c:ext>
              </c:extLst>
            </c:dLbl>
            <c:dLbl>
              <c:idx val="6"/>
              <c:layout>
                <c:manualLayout>
                  <c:x val="-9.8541512098221772E-3"/>
                  <c:y val="-6.22814861710126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B0E-4DCA-AF7B-09DD3C4AF7C6}"/>
                </c:ext>
              </c:extLst>
            </c:dLbl>
            <c:dLbl>
              <c:idx val="9"/>
              <c:layout>
                <c:manualLayout>
                  <c:x val="-5.3819450116020427E-2"/>
                  <c:y val="4.14905441854319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B0E-4DCA-AF7B-09DD3C4AF7C6}"/>
                </c:ext>
              </c:extLst>
            </c:dLbl>
            <c:dLbl>
              <c:idx val="11"/>
              <c:layout>
                <c:manualLayout>
                  <c:x val="-5.1378937608393828E-2"/>
                  <c:y val="4.54392115102097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B0E-4DCA-AF7B-09DD3C4AF7C6}"/>
                </c:ext>
              </c:extLst>
            </c:dLbl>
            <c:dLbl>
              <c:idx val="13"/>
              <c:layout>
                <c:manualLayout>
                  <c:x val="-1.4929018558464386E-2"/>
                  <c:y val="3.75418768606540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B0E-4DCA-AF7B-09DD3C4AF7C6}"/>
                </c:ext>
              </c:extLst>
            </c:dLbl>
            <c:dLbl>
              <c:idx val="15"/>
              <c:layout>
                <c:manualLayout>
                  <c:x val="-1.7149558432855469E-3"/>
                  <c:y val="4.22411268943140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B0E-4DCA-AF7B-09DD3C4AF7C6}"/>
                </c:ext>
              </c:extLst>
            </c:dLbl>
            <c:dLbl>
              <c:idx val="16"/>
              <c:layout>
                <c:manualLayout>
                  <c:x val="-7.3867740969616583E-2"/>
                  <c:y val="-5.45867042022411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B0E-4DCA-AF7B-09DD3C4AF7C6}"/>
                </c:ext>
              </c:extLst>
            </c:dLbl>
            <c:dLbl>
              <c:idx val="17"/>
              <c:layout>
                <c:manualLayout>
                  <c:x val="-6.3010351481722932E-2"/>
                  <c:y val="-0.1252436654803713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B0E-4DCA-AF7B-09DD3C4AF7C6}"/>
                </c:ext>
              </c:extLst>
            </c:dLbl>
            <c:dLbl>
              <c:idx val="18"/>
              <c:layout>
                <c:manualLayout>
                  <c:x val="-5.9877168158253398E-2"/>
                  <c:y val="-0.1655522379646867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B0E-4DCA-AF7B-09DD3C4AF7C6}"/>
                </c:ext>
              </c:extLst>
            </c:dLbl>
            <c:dLbl>
              <c:idx val="19"/>
              <c:layout>
                <c:manualLayout>
                  <c:x val="-2.4116138477730344E-2"/>
                  <c:y val="-0.1968284735933162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B0E-4DCA-AF7B-09DD3C4AF7C6}"/>
                </c:ext>
              </c:extLst>
            </c:dLbl>
            <c:dLbl>
              <c:idx val="20"/>
              <c:layout>
                <c:manualLayout>
                  <c:x val="-2.8499871319976645E-4"/>
                  <c:y val="-0.1053589965601088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B0E-4DCA-AF7B-09DD3C4AF7C6}"/>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Sheet1!$B$8:$V$8</c:f>
              <c:strCache>
                <c:ptCount val="21"/>
                <c:pt idx="0">
                  <c:v>Y14S1</c:v>
                </c:pt>
                <c:pt idx="1">
                  <c:v>Y14S2</c:v>
                </c:pt>
                <c:pt idx="2">
                  <c:v>Y15S1</c:v>
                </c:pt>
                <c:pt idx="3">
                  <c:v>Y15S2</c:v>
                </c:pt>
                <c:pt idx="4">
                  <c:v>Y16S1</c:v>
                </c:pt>
                <c:pt idx="5">
                  <c:v>Y16S2</c:v>
                </c:pt>
                <c:pt idx="6">
                  <c:v>Y17S1</c:v>
                </c:pt>
                <c:pt idx="7">
                  <c:v>Y17S2</c:v>
                </c:pt>
                <c:pt idx="8">
                  <c:v>Y18S1</c:v>
                </c:pt>
                <c:pt idx="9">
                  <c:v>Y18S2</c:v>
                </c:pt>
                <c:pt idx="10">
                  <c:v>Y19S1</c:v>
                </c:pt>
                <c:pt idx="11">
                  <c:v>Y19S2</c:v>
                </c:pt>
                <c:pt idx="12">
                  <c:v>Y20S1</c:v>
                </c:pt>
                <c:pt idx="13">
                  <c:v>Y20S2</c:v>
                </c:pt>
                <c:pt idx="14">
                  <c:v>Y21S1</c:v>
                </c:pt>
                <c:pt idx="15">
                  <c:v>Y21S2</c:v>
                </c:pt>
                <c:pt idx="16">
                  <c:v>Y22S1</c:v>
                </c:pt>
                <c:pt idx="17">
                  <c:v>Y22S2</c:v>
                </c:pt>
                <c:pt idx="18">
                  <c:v>Y23S1</c:v>
                </c:pt>
                <c:pt idx="19">
                  <c:v>Y23S2</c:v>
                </c:pt>
                <c:pt idx="20">
                  <c:v>Y24S1</c:v>
                </c:pt>
              </c:strCache>
            </c:strRef>
          </c:cat>
          <c:val>
            <c:numRef>
              <c:f>Sheet1!$B$9:$V$9</c:f>
              <c:numCache>
                <c:formatCode>_(* #,##0.00_);_(* \(#,##0.00\);_(* "-"??_);_(@_)</c:formatCode>
                <c:ptCount val="21"/>
                <c:pt idx="0">
                  <c:v>635.10502968571427</c:v>
                </c:pt>
                <c:pt idx="1">
                  <c:v>1300.7034448787063</c:v>
                </c:pt>
                <c:pt idx="2">
                  <c:v>1245.4955719007091</c:v>
                </c:pt>
                <c:pt idx="3">
                  <c:v>1061.4105825088611</c:v>
                </c:pt>
                <c:pt idx="4">
                  <c:v>932.42784150612169</c:v>
                </c:pt>
                <c:pt idx="5">
                  <c:v>642.28400197375777</c:v>
                </c:pt>
                <c:pt idx="6">
                  <c:v>461.56856347436218</c:v>
                </c:pt>
                <c:pt idx="7">
                  <c:v>277.87708905681609</c:v>
                </c:pt>
                <c:pt idx="8">
                  <c:v>204.65773545838479</c:v>
                </c:pt>
                <c:pt idx="9">
                  <c:v>153.91429239045686</c:v>
                </c:pt>
                <c:pt idx="10">
                  <c:v>156.55523371838643</c:v>
                </c:pt>
                <c:pt idx="11">
                  <c:v>155.02084676450298</c:v>
                </c:pt>
                <c:pt idx="12">
                  <c:v>154.90374916602596</c:v>
                </c:pt>
                <c:pt idx="13">
                  <c:v>156.49052525885597</c:v>
                </c:pt>
                <c:pt idx="14">
                  <c:v>147.06704732612897</c:v>
                </c:pt>
                <c:pt idx="15">
                  <c:v>122.983298679135</c:v>
                </c:pt>
                <c:pt idx="16">
                  <c:v>101.12931768375383</c:v>
                </c:pt>
                <c:pt idx="17">
                  <c:v>66.797398918756159</c:v>
                </c:pt>
                <c:pt idx="18">
                  <c:v>63.901454561101822</c:v>
                </c:pt>
                <c:pt idx="19">
                  <c:v>64.216441620610482</c:v>
                </c:pt>
                <c:pt idx="20">
                  <c:v>65.911468819785938</c:v>
                </c:pt>
              </c:numCache>
            </c:numRef>
          </c:val>
          <c:smooth val="0"/>
          <c:extLst>
            <c:ext xmlns:c16="http://schemas.microsoft.com/office/drawing/2014/chart" uri="{C3380CC4-5D6E-409C-BE32-E72D297353CC}">
              <c16:uniqueId val="{0000000F-0B0E-4DCA-AF7B-09DD3C4AF7C6}"/>
            </c:ext>
          </c:extLst>
        </c:ser>
        <c:dLbls>
          <c:dLblPos val="t"/>
          <c:showLegendKey val="0"/>
          <c:showVal val="1"/>
          <c:showCatName val="0"/>
          <c:showSerName val="0"/>
          <c:showPercent val="0"/>
          <c:showBubbleSize val="0"/>
        </c:dLbls>
        <c:marker val="1"/>
        <c:smooth val="0"/>
        <c:axId val="362319151"/>
        <c:axId val="221976751"/>
      </c:lineChart>
      <c:catAx>
        <c:axId val="362319151"/>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sz="800"/>
                  <a:t>Period</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21976751"/>
        <c:crosses val="autoZero"/>
        <c:auto val="1"/>
        <c:lblAlgn val="ctr"/>
        <c:lblOffset val="100"/>
        <c:noMultiLvlLbl val="0"/>
      </c:catAx>
      <c:valAx>
        <c:axId val="2219767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sz="800"/>
                  <a:t>AUD</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23191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Reversed" id="26">
  <a:schemeClr val="accent6"/>
</cs:colorStyle>
</file>

<file path=word/charts/colors4.xml><?xml version="1.0" encoding="utf-8"?>
<cs:colorStyle xmlns:cs="http://schemas.microsoft.com/office/drawing/2012/chartStyle" xmlns:a="http://schemas.openxmlformats.org/drawingml/2006/main" meth="withinLinearReversed" id="26">
  <a:schemeClr val="accent6"/>
</cs:colorStyle>
</file>

<file path=word/charts/colors5.xml><?xml version="1.0" encoding="utf-8"?>
<cs:colorStyle xmlns:cs="http://schemas.microsoft.com/office/drawing/2012/chartStyle" xmlns:a="http://schemas.openxmlformats.org/drawingml/2006/main" meth="withinLinearReversed" id="26">
  <a:schemeClr val="accent6"/>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Palladium">
      <a:dk1>
        <a:srgbClr val="000000"/>
      </a:dk1>
      <a:lt1>
        <a:sysClr val="window" lastClr="FFFFFF"/>
      </a:lt1>
      <a:dk2>
        <a:srgbClr val="000000"/>
      </a:dk2>
      <a:lt2>
        <a:srgbClr val="FFFFFF"/>
      </a:lt2>
      <a:accent1>
        <a:srgbClr val="05C3DE"/>
      </a:accent1>
      <a:accent2>
        <a:srgbClr val="64A70B"/>
      </a:accent2>
      <a:accent3>
        <a:srgbClr val="FFB500"/>
      </a:accent3>
      <a:accent4>
        <a:srgbClr val="E57200"/>
      </a:accent4>
      <a:accent5>
        <a:srgbClr val="BA0C2F"/>
      </a:accent5>
      <a:accent6>
        <a:srgbClr val="8D6E97"/>
      </a:accent6>
      <a:hlink>
        <a:srgbClr val="000000"/>
      </a:hlink>
      <a:folHlink>
        <a:srgbClr val="000000"/>
      </a:folHlink>
    </a:clrScheme>
    <a:fontScheme name="GRM">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288E9E0A66ABB4BA82BECA5696FD96B" ma:contentTypeVersion="15" ma:contentTypeDescription="Create a new document." ma:contentTypeScope="" ma:versionID="ce49fd1659927bff624b1955bd26317f">
  <xsd:schema xmlns:xsd="http://www.w3.org/2001/XMLSchema" xmlns:xs="http://www.w3.org/2001/XMLSchema" xmlns:p="http://schemas.microsoft.com/office/2006/metadata/properties" xmlns:ns2="cb89dd6b-1136-4820-8a51-770be1fa3b41" xmlns:ns3="af1ee99e-6340-4cab-9300-a90d88156b4e" targetNamespace="http://schemas.microsoft.com/office/2006/metadata/properties" ma:root="true" ma:fieldsID="82912aafec6675a379d10bc28dad6fb6" ns2:_="" ns3:_="">
    <xsd:import namespace="cb89dd6b-1136-4820-8a51-770be1fa3b41"/>
    <xsd:import namespace="af1ee99e-6340-4cab-9300-a90d88156b4e"/>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DateTaken" minOccurs="0"/>
                <xsd:element ref="ns2:MediaServiceGenerationTime" minOccurs="0"/>
                <xsd:element ref="ns2:MediaServiceEventHashCode" minOccurs="0"/>
                <xsd:element ref="ns2:MediaServiceObjectDetectorVersions" minOccurs="0"/>
                <xsd:element ref="ns3:SharedWithUsers" minOccurs="0"/>
                <xsd:element ref="ns3:SharedWithDetails" minOccurs="0"/>
                <xsd:element ref="ns2:MediaServiceOCR" minOccurs="0"/>
                <xsd:element ref="ns2:MediaServiceLocation"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89dd6b-1136-4820-8a51-770be1fa3b41"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822da0a8-ca36-4ce9-9eaa-25e2c66f0d7d"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f1ee99e-6340-4cab-9300-a90d88156b4e"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d61aae67-2e67-432b-90e1-dbd10bbf05a5}" ma:internalName="TaxCatchAll" ma:showField="CatchAllData" ma:web="af1ee99e-6340-4cab-9300-a90d88156b4e">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SharedWithUsers xmlns="af1ee99e-6340-4cab-9300-a90d88156b4e">
      <UserInfo>
        <DisplayName>Azizah Kusumaningrum, Nurul</DisplayName>
        <AccountId>164</AccountId>
        <AccountType/>
      </UserInfo>
      <UserInfo>
        <DisplayName>Roberts, Corinne</DisplayName>
        <AccountId>10</AccountId>
        <AccountType/>
      </UserInfo>
      <UserInfo>
        <DisplayName>Sadewa, Sadewa</DisplayName>
        <AccountId>13</AccountId>
        <AccountType/>
      </UserInfo>
      <UserInfo>
        <DisplayName>Ahmed, Nasir</DisplayName>
        <AccountId>20</AccountId>
        <AccountType/>
      </UserInfo>
      <UserInfo>
        <DisplayName>Ambarini, Ayu</DisplayName>
        <AccountId>57</AccountId>
        <AccountType/>
      </UserInfo>
      <UserInfo>
        <DisplayName>valentino.aipprisma</DisplayName>
        <AccountId>230</AccountId>
        <AccountType/>
      </UserInfo>
    </SharedWithUsers>
    <TaxCatchAll xmlns="af1ee99e-6340-4cab-9300-a90d88156b4e" xsi:nil="true"/>
    <lcf76f155ced4ddcb4097134ff3c332f xmlns="cb89dd6b-1136-4820-8a51-770be1fa3b4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5B364CD-ACE6-4150-8F15-1B4DF67C92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b89dd6b-1136-4820-8a51-770be1fa3b41"/>
    <ds:schemaRef ds:uri="af1ee99e-6340-4cab-9300-a90d88156b4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59CEF2E-4832-40C0-B1F3-AA744F4A0D91}">
  <ds:schemaRefs>
    <ds:schemaRef ds:uri="http://schemas.microsoft.com/sharepoint/v3/contenttype/forms"/>
  </ds:schemaRefs>
</ds:datastoreItem>
</file>

<file path=customXml/itemProps4.xml><?xml version="1.0" encoding="utf-8"?>
<ds:datastoreItem xmlns:ds="http://schemas.openxmlformats.org/officeDocument/2006/customXml" ds:itemID="{842B745D-C8F2-4038-9432-9F70C9DCD807}">
  <ds:schemaRefs>
    <ds:schemaRef ds:uri="http://schemas.openxmlformats.org/officeDocument/2006/bibliography"/>
  </ds:schemaRefs>
</ds:datastoreItem>
</file>

<file path=customXml/itemProps5.xml><?xml version="1.0" encoding="utf-8"?>
<ds:datastoreItem xmlns:ds="http://schemas.openxmlformats.org/officeDocument/2006/customXml" ds:itemID="{BC39D68D-3670-4138-B1B3-AA7EA0FD9ABC}">
  <ds:schemaRefs>
    <ds:schemaRef ds:uri="http://purl.org/dc/elements/1.1/"/>
    <ds:schemaRef ds:uri="http://purl.org/dc/terms/"/>
    <ds:schemaRef ds:uri="http://schemas.microsoft.com/office/2006/metadata/properties"/>
    <ds:schemaRef ds:uri="cb89dd6b-1136-4820-8a51-770be1fa3b41"/>
    <ds:schemaRef ds:uri="http://purl.org/dc/dcmitype/"/>
    <ds:schemaRef ds:uri="af1ee99e-6340-4cab-9300-a90d88156b4e"/>
    <ds:schemaRef ds:uri="http://schemas.microsoft.com/office/2006/documentManagement/types"/>
    <ds:schemaRef ds:uri="http://schemas.microsoft.com/office/infopath/2007/PartnerControls"/>
    <ds:schemaRef ds:uri="http://schemas.openxmlformats.org/package/2006/metadata/core-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167</Pages>
  <Words>37377</Words>
  <Characters>224267</Characters>
  <Application>Microsoft Office Word</Application>
  <DocSecurity>4</DocSecurity>
  <Lines>7733</Lines>
  <Paragraphs>2315</Paragraphs>
  <ScaleCrop>false</ScaleCrop>
  <Company/>
  <LinksUpToDate>false</LinksUpToDate>
  <CharactersWithSpaces>259329</CharactersWithSpaces>
  <SharedDoc>false</SharedDoc>
  <HLinks>
    <vt:vector size="252" baseType="variant">
      <vt:variant>
        <vt:i4>7995482</vt:i4>
      </vt:variant>
      <vt:variant>
        <vt:i4>240</vt:i4>
      </vt:variant>
      <vt:variant>
        <vt:i4>0</vt:i4>
      </vt:variant>
      <vt:variant>
        <vt:i4>5</vt:i4>
      </vt:variant>
      <vt:variant>
        <vt:lpwstr>https://cms.aip-prisma.or.id/uploaded_file/Market_Brief_Disability_Inclusion_web.pdf</vt:lpwstr>
      </vt:variant>
      <vt:variant>
        <vt:lpwstr/>
      </vt:variant>
      <vt:variant>
        <vt:i4>4718621</vt:i4>
      </vt:variant>
      <vt:variant>
        <vt:i4>237</vt:i4>
      </vt:variant>
      <vt:variant>
        <vt:i4>0</vt:i4>
      </vt:variant>
      <vt:variant>
        <vt:i4>5</vt:i4>
      </vt:variant>
      <vt:variant>
        <vt:lpwstr>https://www.aip-prisma.or.id/en/web-news/DisabilityInclusion</vt:lpwstr>
      </vt:variant>
      <vt:variant>
        <vt:lpwstr/>
      </vt:variant>
      <vt:variant>
        <vt:i4>1441914</vt:i4>
      </vt:variant>
      <vt:variant>
        <vt:i4>234</vt:i4>
      </vt:variant>
      <vt:variant>
        <vt:i4>0</vt:i4>
      </vt:variant>
      <vt:variant>
        <vt:i4>5</vt:i4>
      </vt:variant>
      <vt:variant>
        <vt:lpwstr>https://cms.aip-prisma.or.id/uploaded_file/PRISMA_Accessibility_Guideline_EN_-_print_ver.pdf</vt:lpwstr>
      </vt:variant>
      <vt:variant>
        <vt:lpwstr/>
      </vt:variant>
      <vt:variant>
        <vt:i4>4784140</vt:i4>
      </vt:variant>
      <vt:variant>
        <vt:i4>231</vt:i4>
      </vt:variant>
      <vt:variant>
        <vt:i4>0</vt:i4>
      </vt:variant>
      <vt:variant>
        <vt:i4>5</vt:i4>
      </vt:variant>
      <vt:variant>
        <vt:lpwstr>https://www.linkedin.com/feed/hashtag/?keywords=feed&amp;highlightedUpdateUrns=urn%3Ali%3Aactivity%3A7205841355909074944</vt:lpwstr>
      </vt:variant>
      <vt:variant>
        <vt:lpwstr/>
      </vt:variant>
      <vt:variant>
        <vt:i4>7012479</vt:i4>
      </vt:variant>
      <vt:variant>
        <vt:i4>228</vt:i4>
      </vt:variant>
      <vt:variant>
        <vt:i4>0</vt:i4>
      </vt:variant>
      <vt:variant>
        <vt:i4>5</vt:i4>
      </vt:variant>
      <vt:variant>
        <vt:lpwstr>https://www.linkedin.com/feed/hashtag/?keywords=smallholder&amp;highlightedUpdateUrns=urn%3Ali%3Aactivity%3A7205841355909074944</vt:lpwstr>
      </vt:variant>
      <vt:variant>
        <vt:lpwstr/>
      </vt:variant>
      <vt:variant>
        <vt:i4>2621563</vt:i4>
      </vt:variant>
      <vt:variant>
        <vt:i4>225</vt:i4>
      </vt:variant>
      <vt:variant>
        <vt:i4>0</vt:i4>
      </vt:variant>
      <vt:variant>
        <vt:i4>5</vt:i4>
      </vt:variant>
      <vt:variant>
        <vt:lpwstr>https://www.linkedin.com/feed/hashtag/?keywords=prisma&amp;highlightedUpdateUrns=urn%3Ali%3Aactivity%3A7205841355909074944</vt:lpwstr>
      </vt:variant>
      <vt:variant>
        <vt:lpwstr/>
      </vt:variant>
      <vt:variant>
        <vt:i4>6946842</vt:i4>
      </vt:variant>
      <vt:variant>
        <vt:i4>210</vt:i4>
      </vt:variant>
      <vt:variant>
        <vt:i4>0</vt:i4>
      </vt:variant>
      <vt:variant>
        <vt:i4>5</vt:i4>
      </vt:variant>
      <vt:variant>
        <vt:lpwstr>https://cms.aip-prisma.or.id/uploaded_file/PRISMA_booklet_Agribusiness_(A5)_Eng.pdf</vt:lpwstr>
      </vt:variant>
      <vt:variant>
        <vt:lpwstr/>
      </vt:variant>
      <vt:variant>
        <vt:i4>1114201</vt:i4>
      </vt:variant>
      <vt:variant>
        <vt:i4>207</vt:i4>
      </vt:variant>
      <vt:variant>
        <vt:i4>0</vt:i4>
      </vt:variant>
      <vt:variant>
        <vt:i4>5</vt:i4>
      </vt:variant>
      <vt:variant>
        <vt:lpwstr>https://cms.aip-prisma.or.id/uploaded_file/Guidebook_for_marketing_team_and_agronomist_-_EN.pdf</vt:lpwstr>
      </vt:variant>
      <vt:variant>
        <vt:lpwstr/>
      </vt:variant>
      <vt:variant>
        <vt:i4>1179701</vt:i4>
      </vt:variant>
      <vt:variant>
        <vt:i4>200</vt:i4>
      </vt:variant>
      <vt:variant>
        <vt:i4>0</vt:i4>
      </vt:variant>
      <vt:variant>
        <vt:i4>5</vt:i4>
      </vt:variant>
      <vt:variant>
        <vt:lpwstr/>
      </vt:variant>
      <vt:variant>
        <vt:lpwstr>_Toc180155196</vt:lpwstr>
      </vt:variant>
      <vt:variant>
        <vt:i4>1179701</vt:i4>
      </vt:variant>
      <vt:variant>
        <vt:i4>194</vt:i4>
      </vt:variant>
      <vt:variant>
        <vt:i4>0</vt:i4>
      </vt:variant>
      <vt:variant>
        <vt:i4>5</vt:i4>
      </vt:variant>
      <vt:variant>
        <vt:lpwstr/>
      </vt:variant>
      <vt:variant>
        <vt:lpwstr>_Toc180155195</vt:lpwstr>
      </vt:variant>
      <vt:variant>
        <vt:i4>1179701</vt:i4>
      </vt:variant>
      <vt:variant>
        <vt:i4>188</vt:i4>
      </vt:variant>
      <vt:variant>
        <vt:i4>0</vt:i4>
      </vt:variant>
      <vt:variant>
        <vt:i4>5</vt:i4>
      </vt:variant>
      <vt:variant>
        <vt:lpwstr/>
      </vt:variant>
      <vt:variant>
        <vt:lpwstr>_Toc180155194</vt:lpwstr>
      </vt:variant>
      <vt:variant>
        <vt:i4>1179701</vt:i4>
      </vt:variant>
      <vt:variant>
        <vt:i4>182</vt:i4>
      </vt:variant>
      <vt:variant>
        <vt:i4>0</vt:i4>
      </vt:variant>
      <vt:variant>
        <vt:i4>5</vt:i4>
      </vt:variant>
      <vt:variant>
        <vt:lpwstr/>
      </vt:variant>
      <vt:variant>
        <vt:lpwstr>_Toc180155193</vt:lpwstr>
      </vt:variant>
      <vt:variant>
        <vt:i4>1179701</vt:i4>
      </vt:variant>
      <vt:variant>
        <vt:i4>176</vt:i4>
      </vt:variant>
      <vt:variant>
        <vt:i4>0</vt:i4>
      </vt:variant>
      <vt:variant>
        <vt:i4>5</vt:i4>
      </vt:variant>
      <vt:variant>
        <vt:lpwstr/>
      </vt:variant>
      <vt:variant>
        <vt:lpwstr>_Toc180155191</vt:lpwstr>
      </vt:variant>
      <vt:variant>
        <vt:i4>1179701</vt:i4>
      </vt:variant>
      <vt:variant>
        <vt:i4>170</vt:i4>
      </vt:variant>
      <vt:variant>
        <vt:i4>0</vt:i4>
      </vt:variant>
      <vt:variant>
        <vt:i4>5</vt:i4>
      </vt:variant>
      <vt:variant>
        <vt:lpwstr/>
      </vt:variant>
      <vt:variant>
        <vt:lpwstr>_Toc180155190</vt:lpwstr>
      </vt:variant>
      <vt:variant>
        <vt:i4>1245237</vt:i4>
      </vt:variant>
      <vt:variant>
        <vt:i4>164</vt:i4>
      </vt:variant>
      <vt:variant>
        <vt:i4>0</vt:i4>
      </vt:variant>
      <vt:variant>
        <vt:i4>5</vt:i4>
      </vt:variant>
      <vt:variant>
        <vt:lpwstr/>
      </vt:variant>
      <vt:variant>
        <vt:lpwstr>_Toc180155189</vt:lpwstr>
      </vt:variant>
      <vt:variant>
        <vt:i4>1245237</vt:i4>
      </vt:variant>
      <vt:variant>
        <vt:i4>158</vt:i4>
      </vt:variant>
      <vt:variant>
        <vt:i4>0</vt:i4>
      </vt:variant>
      <vt:variant>
        <vt:i4>5</vt:i4>
      </vt:variant>
      <vt:variant>
        <vt:lpwstr/>
      </vt:variant>
      <vt:variant>
        <vt:lpwstr>_Toc180155182</vt:lpwstr>
      </vt:variant>
      <vt:variant>
        <vt:i4>1835061</vt:i4>
      </vt:variant>
      <vt:variant>
        <vt:i4>152</vt:i4>
      </vt:variant>
      <vt:variant>
        <vt:i4>0</vt:i4>
      </vt:variant>
      <vt:variant>
        <vt:i4>5</vt:i4>
      </vt:variant>
      <vt:variant>
        <vt:lpwstr/>
      </vt:variant>
      <vt:variant>
        <vt:lpwstr>_Toc180155177</vt:lpwstr>
      </vt:variant>
      <vt:variant>
        <vt:i4>1835061</vt:i4>
      </vt:variant>
      <vt:variant>
        <vt:i4>146</vt:i4>
      </vt:variant>
      <vt:variant>
        <vt:i4>0</vt:i4>
      </vt:variant>
      <vt:variant>
        <vt:i4>5</vt:i4>
      </vt:variant>
      <vt:variant>
        <vt:lpwstr/>
      </vt:variant>
      <vt:variant>
        <vt:lpwstr>_Toc180155176</vt:lpwstr>
      </vt:variant>
      <vt:variant>
        <vt:i4>1835061</vt:i4>
      </vt:variant>
      <vt:variant>
        <vt:i4>140</vt:i4>
      </vt:variant>
      <vt:variant>
        <vt:i4>0</vt:i4>
      </vt:variant>
      <vt:variant>
        <vt:i4>5</vt:i4>
      </vt:variant>
      <vt:variant>
        <vt:lpwstr/>
      </vt:variant>
      <vt:variant>
        <vt:lpwstr>_Toc180155175</vt:lpwstr>
      </vt:variant>
      <vt:variant>
        <vt:i4>1835061</vt:i4>
      </vt:variant>
      <vt:variant>
        <vt:i4>134</vt:i4>
      </vt:variant>
      <vt:variant>
        <vt:i4>0</vt:i4>
      </vt:variant>
      <vt:variant>
        <vt:i4>5</vt:i4>
      </vt:variant>
      <vt:variant>
        <vt:lpwstr/>
      </vt:variant>
      <vt:variant>
        <vt:lpwstr>_Toc180155173</vt:lpwstr>
      </vt:variant>
      <vt:variant>
        <vt:i4>1835061</vt:i4>
      </vt:variant>
      <vt:variant>
        <vt:i4>128</vt:i4>
      </vt:variant>
      <vt:variant>
        <vt:i4>0</vt:i4>
      </vt:variant>
      <vt:variant>
        <vt:i4>5</vt:i4>
      </vt:variant>
      <vt:variant>
        <vt:lpwstr/>
      </vt:variant>
      <vt:variant>
        <vt:lpwstr>_Toc180155171</vt:lpwstr>
      </vt:variant>
      <vt:variant>
        <vt:i4>1835061</vt:i4>
      </vt:variant>
      <vt:variant>
        <vt:i4>122</vt:i4>
      </vt:variant>
      <vt:variant>
        <vt:i4>0</vt:i4>
      </vt:variant>
      <vt:variant>
        <vt:i4>5</vt:i4>
      </vt:variant>
      <vt:variant>
        <vt:lpwstr/>
      </vt:variant>
      <vt:variant>
        <vt:lpwstr>_Toc180155170</vt:lpwstr>
      </vt:variant>
      <vt:variant>
        <vt:i4>1900597</vt:i4>
      </vt:variant>
      <vt:variant>
        <vt:i4>116</vt:i4>
      </vt:variant>
      <vt:variant>
        <vt:i4>0</vt:i4>
      </vt:variant>
      <vt:variant>
        <vt:i4>5</vt:i4>
      </vt:variant>
      <vt:variant>
        <vt:lpwstr/>
      </vt:variant>
      <vt:variant>
        <vt:lpwstr>_Toc180155169</vt:lpwstr>
      </vt:variant>
      <vt:variant>
        <vt:i4>1900597</vt:i4>
      </vt:variant>
      <vt:variant>
        <vt:i4>110</vt:i4>
      </vt:variant>
      <vt:variant>
        <vt:i4>0</vt:i4>
      </vt:variant>
      <vt:variant>
        <vt:i4>5</vt:i4>
      </vt:variant>
      <vt:variant>
        <vt:lpwstr/>
      </vt:variant>
      <vt:variant>
        <vt:lpwstr>_Toc180155168</vt:lpwstr>
      </vt:variant>
      <vt:variant>
        <vt:i4>1900597</vt:i4>
      </vt:variant>
      <vt:variant>
        <vt:i4>104</vt:i4>
      </vt:variant>
      <vt:variant>
        <vt:i4>0</vt:i4>
      </vt:variant>
      <vt:variant>
        <vt:i4>5</vt:i4>
      </vt:variant>
      <vt:variant>
        <vt:lpwstr/>
      </vt:variant>
      <vt:variant>
        <vt:lpwstr>_Toc180155164</vt:lpwstr>
      </vt:variant>
      <vt:variant>
        <vt:i4>1900597</vt:i4>
      </vt:variant>
      <vt:variant>
        <vt:i4>98</vt:i4>
      </vt:variant>
      <vt:variant>
        <vt:i4>0</vt:i4>
      </vt:variant>
      <vt:variant>
        <vt:i4>5</vt:i4>
      </vt:variant>
      <vt:variant>
        <vt:lpwstr/>
      </vt:variant>
      <vt:variant>
        <vt:lpwstr>_Toc180155162</vt:lpwstr>
      </vt:variant>
      <vt:variant>
        <vt:i4>1900597</vt:i4>
      </vt:variant>
      <vt:variant>
        <vt:i4>92</vt:i4>
      </vt:variant>
      <vt:variant>
        <vt:i4>0</vt:i4>
      </vt:variant>
      <vt:variant>
        <vt:i4>5</vt:i4>
      </vt:variant>
      <vt:variant>
        <vt:lpwstr/>
      </vt:variant>
      <vt:variant>
        <vt:lpwstr>_Toc180155161</vt:lpwstr>
      </vt:variant>
      <vt:variant>
        <vt:i4>1966133</vt:i4>
      </vt:variant>
      <vt:variant>
        <vt:i4>86</vt:i4>
      </vt:variant>
      <vt:variant>
        <vt:i4>0</vt:i4>
      </vt:variant>
      <vt:variant>
        <vt:i4>5</vt:i4>
      </vt:variant>
      <vt:variant>
        <vt:lpwstr/>
      </vt:variant>
      <vt:variant>
        <vt:lpwstr>_Toc180155158</vt:lpwstr>
      </vt:variant>
      <vt:variant>
        <vt:i4>1966133</vt:i4>
      </vt:variant>
      <vt:variant>
        <vt:i4>80</vt:i4>
      </vt:variant>
      <vt:variant>
        <vt:i4>0</vt:i4>
      </vt:variant>
      <vt:variant>
        <vt:i4>5</vt:i4>
      </vt:variant>
      <vt:variant>
        <vt:lpwstr/>
      </vt:variant>
      <vt:variant>
        <vt:lpwstr>_Toc180155157</vt:lpwstr>
      </vt:variant>
      <vt:variant>
        <vt:i4>1966133</vt:i4>
      </vt:variant>
      <vt:variant>
        <vt:i4>74</vt:i4>
      </vt:variant>
      <vt:variant>
        <vt:i4>0</vt:i4>
      </vt:variant>
      <vt:variant>
        <vt:i4>5</vt:i4>
      </vt:variant>
      <vt:variant>
        <vt:lpwstr/>
      </vt:variant>
      <vt:variant>
        <vt:lpwstr>_Toc180155156</vt:lpwstr>
      </vt:variant>
      <vt:variant>
        <vt:i4>1966133</vt:i4>
      </vt:variant>
      <vt:variant>
        <vt:i4>68</vt:i4>
      </vt:variant>
      <vt:variant>
        <vt:i4>0</vt:i4>
      </vt:variant>
      <vt:variant>
        <vt:i4>5</vt:i4>
      </vt:variant>
      <vt:variant>
        <vt:lpwstr/>
      </vt:variant>
      <vt:variant>
        <vt:lpwstr>_Toc180155155</vt:lpwstr>
      </vt:variant>
      <vt:variant>
        <vt:i4>1966133</vt:i4>
      </vt:variant>
      <vt:variant>
        <vt:i4>62</vt:i4>
      </vt:variant>
      <vt:variant>
        <vt:i4>0</vt:i4>
      </vt:variant>
      <vt:variant>
        <vt:i4>5</vt:i4>
      </vt:variant>
      <vt:variant>
        <vt:lpwstr/>
      </vt:variant>
      <vt:variant>
        <vt:lpwstr>_Toc180155154</vt:lpwstr>
      </vt:variant>
      <vt:variant>
        <vt:i4>1966133</vt:i4>
      </vt:variant>
      <vt:variant>
        <vt:i4>56</vt:i4>
      </vt:variant>
      <vt:variant>
        <vt:i4>0</vt:i4>
      </vt:variant>
      <vt:variant>
        <vt:i4>5</vt:i4>
      </vt:variant>
      <vt:variant>
        <vt:lpwstr/>
      </vt:variant>
      <vt:variant>
        <vt:lpwstr>_Toc180155153</vt:lpwstr>
      </vt:variant>
      <vt:variant>
        <vt:i4>1966133</vt:i4>
      </vt:variant>
      <vt:variant>
        <vt:i4>50</vt:i4>
      </vt:variant>
      <vt:variant>
        <vt:i4>0</vt:i4>
      </vt:variant>
      <vt:variant>
        <vt:i4>5</vt:i4>
      </vt:variant>
      <vt:variant>
        <vt:lpwstr/>
      </vt:variant>
      <vt:variant>
        <vt:lpwstr>_Toc180155152</vt:lpwstr>
      </vt:variant>
      <vt:variant>
        <vt:i4>1966133</vt:i4>
      </vt:variant>
      <vt:variant>
        <vt:i4>44</vt:i4>
      </vt:variant>
      <vt:variant>
        <vt:i4>0</vt:i4>
      </vt:variant>
      <vt:variant>
        <vt:i4>5</vt:i4>
      </vt:variant>
      <vt:variant>
        <vt:lpwstr/>
      </vt:variant>
      <vt:variant>
        <vt:lpwstr>_Toc180155151</vt:lpwstr>
      </vt:variant>
      <vt:variant>
        <vt:i4>2031669</vt:i4>
      </vt:variant>
      <vt:variant>
        <vt:i4>38</vt:i4>
      </vt:variant>
      <vt:variant>
        <vt:i4>0</vt:i4>
      </vt:variant>
      <vt:variant>
        <vt:i4>5</vt:i4>
      </vt:variant>
      <vt:variant>
        <vt:lpwstr/>
      </vt:variant>
      <vt:variant>
        <vt:lpwstr>_Toc180155149</vt:lpwstr>
      </vt:variant>
      <vt:variant>
        <vt:i4>2031669</vt:i4>
      </vt:variant>
      <vt:variant>
        <vt:i4>32</vt:i4>
      </vt:variant>
      <vt:variant>
        <vt:i4>0</vt:i4>
      </vt:variant>
      <vt:variant>
        <vt:i4>5</vt:i4>
      </vt:variant>
      <vt:variant>
        <vt:lpwstr/>
      </vt:variant>
      <vt:variant>
        <vt:lpwstr>_Toc180155147</vt:lpwstr>
      </vt:variant>
      <vt:variant>
        <vt:i4>2031669</vt:i4>
      </vt:variant>
      <vt:variant>
        <vt:i4>26</vt:i4>
      </vt:variant>
      <vt:variant>
        <vt:i4>0</vt:i4>
      </vt:variant>
      <vt:variant>
        <vt:i4>5</vt:i4>
      </vt:variant>
      <vt:variant>
        <vt:lpwstr/>
      </vt:variant>
      <vt:variant>
        <vt:lpwstr>_Toc180155146</vt:lpwstr>
      </vt:variant>
      <vt:variant>
        <vt:i4>2031669</vt:i4>
      </vt:variant>
      <vt:variant>
        <vt:i4>20</vt:i4>
      </vt:variant>
      <vt:variant>
        <vt:i4>0</vt:i4>
      </vt:variant>
      <vt:variant>
        <vt:i4>5</vt:i4>
      </vt:variant>
      <vt:variant>
        <vt:lpwstr/>
      </vt:variant>
      <vt:variant>
        <vt:lpwstr>_Toc180155145</vt:lpwstr>
      </vt:variant>
      <vt:variant>
        <vt:i4>2031669</vt:i4>
      </vt:variant>
      <vt:variant>
        <vt:i4>14</vt:i4>
      </vt:variant>
      <vt:variant>
        <vt:i4>0</vt:i4>
      </vt:variant>
      <vt:variant>
        <vt:i4>5</vt:i4>
      </vt:variant>
      <vt:variant>
        <vt:lpwstr/>
      </vt:variant>
      <vt:variant>
        <vt:lpwstr>_Toc180155144</vt:lpwstr>
      </vt:variant>
      <vt:variant>
        <vt:i4>2031669</vt:i4>
      </vt:variant>
      <vt:variant>
        <vt:i4>8</vt:i4>
      </vt:variant>
      <vt:variant>
        <vt:i4>0</vt:i4>
      </vt:variant>
      <vt:variant>
        <vt:i4>5</vt:i4>
      </vt:variant>
      <vt:variant>
        <vt:lpwstr/>
      </vt:variant>
      <vt:variant>
        <vt:lpwstr>_Toc180155143</vt:lpwstr>
      </vt:variant>
      <vt:variant>
        <vt:i4>2031669</vt:i4>
      </vt:variant>
      <vt:variant>
        <vt:i4>2</vt:i4>
      </vt:variant>
      <vt:variant>
        <vt:i4>0</vt:i4>
      </vt:variant>
      <vt:variant>
        <vt:i4>5</vt:i4>
      </vt:variant>
      <vt:variant>
        <vt:lpwstr/>
      </vt:variant>
      <vt:variant>
        <vt:lpwstr>_Toc180155142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Roberts, Corinne</dc:creator>
  <cp:keywords>[SEC=PROTECTED]</cp:keywords>
  <dc:description/>
  <cp:lastModifiedBy>Roberts, Corinne</cp:lastModifiedBy>
  <cp:revision>2</cp:revision>
  <cp:lastPrinted>2024-11-13T04:02:00Z</cp:lastPrinted>
  <dcterms:created xsi:type="dcterms:W3CDTF">2024-11-19T08:52:00Z</dcterms:created>
  <dcterms:modified xsi:type="dcterms:W3CDTF">2024-11-19T08:52:00Z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Namespace">
    <vt:lpwstr>gov.au</vt:lpwstr>
  </property>
  <property fmtid="{D5CDD505-2E9C-101B-9397-08002B2CF9AE}" pid="3" name="PM_Version">
    <vt:lpwstr>2018.4</vt:lpwstr>
  </property>
  <property fmtid="{D5CDD505-2E9C-101B-9397-08002B2CF9AE}" pid="4" name="PM_SecurityClassification">
    <vt:lpwstr>PROTECTED</vt:lpwstr>
  </property>
  <property fmtid="{D5CDD505-2E9C-101B-9397-08002B2CF9AE}" pid="5" name="PM_Qualifier">
    <vt:lpwstr/>
  </property>
  <property fmtid="{D5CDD505-2E9C-101B-9397-08002B2CF9AE}" pid="6" name="PM_Note">
    <vt:lpwstr/>
  </property>
  <property fmtid="{D5CDD505-2E9C-101B-9397-08002B2CF9AE}" pid="7" name="PM_ProtectiveMarkingValue_Header">
    <vt:lpwstr>PROTECTED</vt:lpwstr>
  </property>
  <property fmtid="{D5CDD505-2E9C-101B-9397-08002B2CF9AE}" pid="8" name="PM_OriginationTimeStamp">
    <vt:lpwstr>2024-03-12T08:39:46Z</vt:lpwstr>
  </property>
  <property fmtid="{D5CDD505-2E9C-101B-9397-08002B2CF9AE}" pid="9" name="PM_Markers">
    <vt:lpwstr/>
  </property>
  <property fmtid="{D5CDD505-2E9C-101B-9397-08002B2CF9AE}" pid="10" name="PM_InsertionValue">
    <vt:lpwstr>PROTECTED</vt:lpwstr>
  </property>
  <property fmtid="{D5CDD505-2E9C-101B-9397-08002B2CF9AE}" pid="11" name="PM_DisplayValueSecClassificationWithQualifier">
    <vt:lpwstr>PROTECTED</vt:lpwstr>
  </property>
  <property fmtid="{D5CDD505-2E9C-101B-9397-08002B2CF9AE}" pid="12" name="PM_ProtectiveMarkingValue_Footer">
    <vt:lpwstr>PROTECTED</vt:lpwstr>
  </property>
  <property fmtid="{D5CDD505-2E9C-101B-9397-08002B2CF9AE}" pid="13" name="PM_Originating_FileId">
    <vt:lpwstr>27623C846D914EE386834A664CAA0410</vt:lpwstr>
  </property>
  <property fmtid="{D5CDD505-2E9C-101B-9397-08002B2CF9AE}" pid="14" name="PM_ProtectiveMarkingImage_Header">
    <vt:lpwstr>C:\Program Files (x86)\Common Files\janusNET Shared\janusSEAL\Images\DocumentSlashBlue.png</vt:lpwstr>
  </property>
  <property fmtid="{D5CDD505-2E9C-101B-9397-08002B2CF9AE}" pid="15" name="PM_ProtectiveMarkingImage_Footer">
    <vt:lpwstr>C:\Program Files (x86)\Common Files\janusNET Shared\janusSEAL\Images\DocumentSlashBlue.png</vt:lpwstr>
  </property>
  <property fmtid="{D5CDD505-2E9C-101B-9397-08002B2CF9AE}" pid="16" name="PM_Display">
    <vt:lpwstr>PROTECTED</vt:lpwstr>
  </property>
  <property fmtid="{D5CDD505-2E9C-101B-9397-08002B2CF9AE}" pid="17" name="PM_OriginatorDomainName_SHA256">
    <vt:lpwstr>6F3591835F3B2A8A025B00B5BA6418010DA3A17C9C26EA9C049FFD28039489A2</vt:lpwstr>
  </property>
  <property fmtid="{D5CDD505-2E9C-101B-9397-08002B2CF9AE}" pid="18" name="PMUuid">
    <vt:lpwstr>v=2022.2;d=gov.au;g=7E31BE3E-3640-52A7-9BBC-ACC7C3EAF284</vt:lpwstr>
  </property>
  <property fmtid="{D5CDD505-2E9C-101B-9397-08002B2CF9AE}" pid="19" name="PM_Hash_Version">
    <vt:lpwstr>2022.1</vt:lpwstr>
  </property>
  <property fmtid="{D5CDD505-2E9C-101B-9397-08002B2CF9AE}" pid="20" name="PM_SecurityClassification_Prev">
    <vt:lpwstr>PROTECTED</vt:lpwstr>
  </property>
  <property fmtid="{D5CDD505-2E9C-101B-9397-08002B2CF9AE}" pid="21" name="PM_Qualifier_Prev">
    <vt:lpwstr/>
  </property>
  <property fmtid="{D5CDD505-2E9C-101B-9397-08002B2CF9AE}" pid="22" name="PM_Caveats_Count">
    <vt:lpwstr>0</vt:lpwstr>
  </property>
  <property fmtid="{D5CDD505-2E9C-101B-9397-08002B2CF9AE}" pid="23" name="GrammarlyDocumentId">
    <vt:lpwstr>4571eaa4a7dcfeb5014d1364bb8badbe85449ebf0e17804e5a86188a8e271ea9</vt:lpwstr>
  </property>
  <property fmtid="{D5CDD505-2E9C-101B-9397-08002B2CF9AE}" pid="24" name="PMHMAC">
    <vt:lpwstr>v=2022.1;a=SHA256;h=0A1719B3E21420DADA93D342E69A628F6DD83483954CD16149E4B18F21FFAD3F</vt:lpwstr>
  </property>
  <property fmtid="{D5CDD505-2E9C-101B-9397-08002B2CF9AE}" pid="25" name="PM_Hash_Salt_Prev">
    <vt:lpwstr>9BD5137DB1DBA687DDEC76F9EB0E405A</vt:lpwstr>
  </property>
  <property fmtid="{D5CDD505-2E9C-101B-9397-08002B2CF9AE}" pid="26" name="PM_Hash_Salt">
    <vt:lpwstr>46E75B7264A20C1C38E026A595B4E5B5</vt:lpwstr>
  </property>
  <property fmtid="{D5CDD505-2E9C-101B-9397-08002B2CF9AE}" pid="27" name="PM_Hash_SHA1">
    <vt:lpwstr>E6178B759BBE83B3CD041273A1435D47F1F5F3F3</vt:lpwstr>
  </property>
  <property fmtid="{D5CDD505-2E9C-101B-9397-08002B2CF9AE}" pid="28" name="PM_Originator_Hash_SHA1">
    <vt:lpwstr>44C7C27825B8E0DE4D68E13C4C2DAB3B19ECD676</vt:lpwstr>
  </property>
  <property fmtid="{D5CDD505-2E9C-101B-9397-08002B2CF9AE}" pid="29" name="PM_OriginatorUserAccountName_SHA256">
    <vt:lpwstr>F91160FDB99E5F8A341E60914C5AD679EC865884DD6677EF0E2A11B139B057CB</vt:lpwstr>
  </property>
  <property fmtid="{D5CDD505-2E9C-101B-9397-08002B2CF9AE}" pid="30" name="ContentTypeId">
    <vt:lpwstr>0x0101007288E9E0A66ABB4BA82BECA5696FD96B</vt:lpwstr>
  </property>
  <property fmtid="{D5CDD505-2E9C-101B-9397-08002B2CF9AE}" pid="31" name="MediaServiceImageTags">
    <vt:lpwstr/>
  </property>
</Properties>
</file>